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方正大标宋简体" w:hAnsi="方正大标宋简体" w:eastAsia="方正大标宋简体" w:cs="方正大标宋简体"/>
          <w:b w:val="0"/>
          <w:bCs w:val="0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方正大标宋简体" w:hAnsi="方正大标宋简体" w:eastAsia="方正大标宋简体" w:cs="方正大标宋简体"/>
          <w:b w:val="0"/>
          <w:bCs w:val="0"/>
          <w:color w:val="333333"/>
          <w:kern w:val="0"/>
          <w:sz w:val="32"/>
          <w:szCs w:val="32"/>
        </w:rPr>
        <w:t>内蒙古辖区拟上市辅导备案企业基本情况表</w:t>
      </w:r>
    </w:p>
    <w:p>
      <w:pPr>
        <w:widowControl/>
        <w:spacing w:after="313" w:afterLines="100"/>
        <w:jc w:val="center"/>
        <w:rPr>
          <w:rFonts w:ascii="仿宋_GB2312" w:hAnsi="宋体" w:eastAsia="仿宋_GB2312" w:cs="宋体"/>
          <w:b w:val="0"/>
          <w:bCs w:val="0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 w:val="0"/>
          <w:color w:val="333333"/>
          <w:kern w:val="0"/>
          <w:sz w:val="32"/>
          <w:szCs w:val="32"/>
        </w:rPr>
        <w:t>（截至202</w:t>
      </w:r>
      <w:r>
        <w:rPr>
          <w:rFonts w:hint="eastAsia" w:ascii="仿宋_GB2312" w:hAnsi="宋体" w:eastAsia="仿宋_GB2312" w:cs="宋体"/>
          <w:b w:val="0"/>
          <w:bCs w:val="0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b w:val="0"/>
          <w:bCs w:val="0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b w:val="0"/>
          <w:bCs w:val="0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b w:val="0"/>
          <w:bCs w:val="0"/>
          <w:color w:val="333333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b w:val="0"/>
          <w:bCs w:val="0"/>
          <w:color w:val="333333"/>
          <w:kern w:val="0"/>
          <w:sz w:val="32"/>
          <w:szCs w:val="32"/>
          <w:lang w:val="en-US" w:eastAsia="zh-CN"/>
        </w:rPr>
        <w:t>18</w:t>
      </w:r>
      <w:r>
        <w:rPr>
          <w:rFonts w:hint="eastAsia" w:ascii="仿宋_GB2312" w:hAnsi="宋体" w:eastAsia="仿宋_GB2312" w:cs="宋体"/>
          <w:b w:val="0"/>
          <w:bCs w:val="0"/>
          <w:color w:val="333333"/>
          <w:kern w:val="0"/>
          <w:sz w:val="32"/>
          <w:szCs w:val="32"/>
        </w:rPr>
        <w:t>日）</w:t>
      </w:r>
    </w:p>
    <w:tbl>
      <w:tblPr>
        <w:tblStyle w:val="5"/>
        <w:tblW w:w="945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8"/>
        <w:gridCol w:w="2176"/>
        <w:gridCol w:w="906"/>
        <w:gridCol w:w="2087"/>
        <w:gridCol w:w="1119"/>
        <w:gridCol w:w="1281"/>
        <w:gridCol w:w="124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6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inherit" w:hAnsi="inherit" w:cs="宋体"/>
                <w:b/>
                <w:color w:val="000000"/>
                <w:kern w:val="0"/>
                <w:sz w:val="17"/>
                <w:szCs w:val="17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highlight w:val="none"/>
              </w:rPr>
              <w:t>序号</w:t>
            </w:r>
          </w:p>
        </w:tc>
        <w:tc>
          <w:tcPr>
            <w:tcW w:w="21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inherit" w:hAnsi="inherit" w:cs="宋体"/>
                <w:color w:val="000000"/>
                <w:kern w:val="0"/>
                <w:sz w:val="17"/>
                <w:szCs w:val="17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highlight w:val="none"/>
              </w:rPr>
              <w:t>公司名称</w:t>
            </w:r>
          </w:p>
        </w:tc>
        <w:tc>
          <w:tcPr>
            <w:tcW w:w="9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inherit" w:hAnsi="inherit" w:cs="宋体"/>
                <w:color w:val="000000"/>
                <w:kern w:val="0"/>
                <w:sz w:val="17"/>
                <w:szCs w:val="17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highlight w:val="none"/>
              </w:rPr>
              <w:t>注册地</w:t>
            </w:r>
          </w:p>
        </w:tc>
        <w:tc>
          <w:tcPr>
            <w:tcW w:w="20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inherit" w:hAnsi="inherit" w:cs="宋体"/>
                <w:color w:val="000000"/>
                <w:kern w:val="0"/>
                <w:sz w:val="17"/>
                <w:szCs w:val="17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highlight w:val="none"/>
              </w:rPr>
              <w:t>主营业务</w:t>
            </w:r>
          </w:p>
        </w:tc>
        <w:tc>
          <w:tcPr>
            <w:tcW w:w="1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inherit" w:hAnsi="inherit" w:cs="宋体"/>
                <w:color w:val="000000"/>
                <w:kern w:val="0"/>
                <w:sz w:val="17"/>
                <w:szCs w:val="17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highlight w:val="none"/>
              </w:rPr>
              <w:t>保荐机构</w:t>
            </w:r>
          </w:p>
        </w:tc>
        <w:tc>
          <w:tcPr>
            <w:tcW w:w="12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highlight w:val="none"/>
              </w:rPr>
              <w:t>拟申报</w:t>
            </w:r>
          </w:p>
          <w:p>
            <w:pPr>
              <w:widowControl/>
              <w:jc w:val="center"/>
              <w:rPr>
                <w:rFonts w:ascii="inherit" w:hAnsi="inherit" w:cs="宋体"/>
                <w:color w:val="000000"/>
                <w:kern w:val="0"/>
                <w:sz w:val="17"/>
                <w:szCs w:val="17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highlight w:val="none"/>
              </w:rPr>
              <w:t>板块</w:t>
            </w:r>
          </w:p>
        </w:tc>
        <w:tc>
          <w:tcPr>
            <w:tcW w:w="12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highlight w:val="none"/>
              </w:rPr>
              <w:t>辅导备案</w:t>
            </w:r>
          </w:p>
          <w:p>
            <w:pPr>
              <w:widowControl/>
              <w:jc w:val="center"/>
              <w:rPr>
                <w:rFonts w:ascii="inherit" w:hAnsi="inherit" w:cs="宋体"/>
                <w:color w:val="000000"/>
                <w:kern w:val="0"/>
                <w:sz w:val="17"/>
                <w:szCs w:val="17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highlight w:val="none"/>
              </w:rPr>
              <w:t>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  <w:jc w:val="center"/>
        </w:trPr>
        <w:tc>
          <w:tcPr>
            <w:tcW w:w="6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inherit" w:hAnsi="inherit" w:cs="宋体"/>
                <w:b/>
                <w:color w:val="000000"/>
                <w:kern w:val="0"/>
                <w:sz w:val="17"/>
                <w:szCs w:val="17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包头市威丰稀土电磁材料股份有限公司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包头市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曲向硅钢研发、生产和销售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国融证券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深交所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创业板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2020.7.9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  <w:jc w:val="center"/>
        </w:trPr>
        <w:tc>
          <w:tcPr>
            <w:tcW w:w="6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inherit" w:hAnsi="inherit" w:eastAsia="宋体" w:cs="宋体"/>
                <w:b/>
                <w:color w:val="000000"/>
                <w:kern w:val="0"/>
                <w:sz w:val="17"/>
                <w:szCs w:val="17"/>
                <w:highlight w:val="none"/>
                <w:lang w:val="en" w:eastAsia="zh-CN" w:bidi="ar-SA"/>
              </w:rPr>
            </w:pPr>
            <w:r>
              <w:rPr>
                <w:rFonts w:hint="default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" w:eastAsia="zh-CN" w:bidi="ar-SA"/>
              </w:rPr>
              <w:t>2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包头北辰饲料科技股份有限公司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包头市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ascii="宋体" w:hAnsi="宋体" w:eastAsia="宋体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动物饲料的研发、生产及销售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国融证券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深交所主板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2021.6.22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  <w:jc w:val="center"/>
        </w:trPr>
        <w:tc>
          <w:tcPr>
            <w:tcW w:w="6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" w:eastAsia="zh-CN" w:bidi="ar-SA"/>
              </w:rPr>
            </w:pPr>
            <w:r>
              <w:rPr>
                <w:rFonts w:hint="default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" w:eastAsia="zh-CN" w:bidi="ar-SA"/>
              </w:rPr>
              <w:t>3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内蒙古西部天然气股份有限公司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鄂尔多斯市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ascii="宋体" w:hAnsi="宋体" w:eastAsia="宋体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管道天然气、代输天然气、城市燃气、LNG/CNG销售、燃气工程安装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招商证券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深交所主板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2021.9.10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  <w:jc w:val="center"/>
        </w:trPr>
        <w:tc>
          <w:tcPr>
            <w:tcW w:w="6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" w:eastAsia="zh-CN" w:bidi="ar-SA"/>
              </w:rPr>
            </w:pPr>
            <w:r>
              <w:rPr>
                <w:rFonts w:hint="default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" w:eastAsia="zh-CN" w:bidi="ar-SA"/>
              </w:rPr>
              <w:t>4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内蒙古显鸿科技股份有限公司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呼和浩特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市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芯片设计、物联网标识应用解决方案系统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兴业证券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北交所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2021.11.2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 w:hRule="atLeast"/>
          <w:jc w:val="center"/>
        </w:trPr>
        <w:tc>
          <w:tcPr>
            <w:tcW w:w="6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" w:eastAsia="zh-CN" w:bidi="ar-SA"/>
              </w:rPr>
            </w:pPr>
            <w:r>
              <w:rPr>
                <w:rFonts w:hint="default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" w:eastAsia="zh-CN" w:bidi="ar-SA"/>
              </w:rPr>
              <w:t>5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内蒙古草原红太阳食品股份有限公司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呼和浩特市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食品预包装、调味料的生产加工及销售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东兴证券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上交所</w:t>
            </w:r>
          </w:p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主板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2022.6.7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6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Cs w:val="21"/>
                <w:highlight w:val="none"/>
                <w:lang w:val="en"/>
              </w:rPr>
            </w:pPr>
            <w:r>
              <w:rPr>
                <w:rFonts w:hint="default" w:ascii="宋体" w:hAnsi="宋体" w:cs="宋体"/>
                <w:b/>
                <w:bCs/>
                <w:color w:val="000000"/>
                <w:kern w:val="0"/>
                <w:szCs w:val="21"/>
                <w:highlight w:val="none"/>
                <w:lang w:val="en"/>
              </w:rPr>
              <w:t>6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华耀光电科技股份有限公司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呼和浩特市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光伏行业单晶硅片、硅棒的研发、生产、销售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银河证券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深交所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创业板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2022.7.25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6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" w:eastAsia="zh-CN" w:bidi="ar-SA"/>
              </w:rPr>
            </w:pPr>
            <w:r>
              <w:rPr>
                <w:rFonts w:hint="default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" w:eastAsia="zh-CN" w:bidi="ar-SA"/>
              </w:rPr>
              <w:t>7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内蒙古超牌新材料股份有限公司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呼和浩特市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highlight w:val="none"/>
              </w:rPr>
              <w:t>煤矸石固废资源的高值化利用，煅烧高岭土产品的产销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五矿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证券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深交所</w:t>
            </w:r>
          </w:p>
          <w:p>
            <w:pPr>
              <w:widowControl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创业板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202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.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.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6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" w:eastAsia="zh-CN" w:bidi="ar-SA"/>
              </w:rPr>
            </w:pPr>
            <w:r>
              <w:rPr>
                <w:rFonts w:hint="default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" w:eastAsia="zh-CN" w:bidi="ar-SA"/>
              </w:rPr>
              <w:t>8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" w:eastAsia="zh-CN"/>
              </w:rPr>
              <w:t>包头市塞北机械设备股份有限公司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包头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市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特种车辆的传动系统、转向系统、行动系统、武器系统、动力辅助系统等部件及总成的研发、制造和销售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中航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证券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北交所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202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.</w:t>
            </w:r>
            <w:r>
              <w:rPr>
                <w:rFonts w:hint="default" w:ascii="宋体" w:hAnsi="宋体"/>
                <w:color w:val="000000"/>
                <w:szCs w:val="21"/>
                <w:highlight w:val="none"/>
                <w:lang w:val="en"/>
              </w:rPr>
              <w:t>8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.</w:t>
            </w:r>
            <w:r>
              <w:rPr>
                <w:rFonts w:hint="default" w:ascii="宋体" w:hAnsi="宋体"/>
                <w:color w:val="000000"/>
                <w:szCs w:val="21"/>
                <w:highlight w:val="none"/>
                <w:lang w:val="en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6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highlight w:val="none"/>
                <w:lang w:val="en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内蒙古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云科数据服务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股份有限公司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呼和浩特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市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云科数据产品销售及系统集成服务、运维服务、软件开发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中泰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证券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深交所</w:t>
            </w:r>
          </w:p>
          <w:p>
            <w:pPr>
              <w:widowControl/>
              <w:jc w:val="center"/>
              <w:rPr>
                <w:rFonts w:hint="eastAsia"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创业板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202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.1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.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6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内蒙古都成矿业</w:t>
            </w:r>
            <w:r>
              <w:rPr>
                <w:rFonts w:hint="eastAsia" w:ascii="宋体" w:hAnsi="宋体" w:eastAsia="宋体" w:cs="Times New Roman"/>
                <w:color w:val="000000"/>
                <w:sz w:val="21"/>
                <w:szCs w:val="21"/>
                <w:highlight w:val="none"/>
              </w:rPr>
              <w:t>股份有限公司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呼伦贝尔市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有色金属勘探、采矿、选矿、贸易一体化业务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海通证券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上交所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主板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2023.1.17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6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highlight w:val="none"/>
                <w:lang w:val="en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内蒙古东源环保科技</w:t>
            </w:r>
            <w:r>
              <w:rPr>
                <w:rFonts w:hint="eastAsia" w:ascii="宋体" w:hAnsi="宋体" w:eastAsia="宋体" w:cs="Times New Roman"/>
                <w:color w:val="000000"/>
                <w:sz w:val="21"/>
                <w:szCs w:val="21"/>
                <w:highlight w:val="none"/>
              </w:rPr>
              <w:t>股份有限公司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鄂尔多斯市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自来水生产与供应、污水处理与污水资源化中水回用、市政水务工程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海通证券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深交所</w:t>
            </w:r>
          </w:p>
          <w:p>
            <w:pPr>
              <w:widowControl/>
              <w:jc w:val="center"/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主板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2023.1.17</w:t>
            </w:r>
          </w:p>
        </w:tc>
      </w:tr>
    </w:tbl>
    <w:p>
      <w:pPr>
        <w:widowControl/>
        <w:shd w:val="clear" w:color="auto" w:fill="FFFFFF"/>
        <w:spacing w:line="480" w:lineRule="auto"/>
        <w:jc w:val="left"/>
        <w:rPr>
          <w:rFonts w:hint="eastAsia" w:ascii="inherit" w:hAnsi="inherit" w:eastAsia="宋体" w:cs="宋体"/>
          <w:color w:val="333333"/>
          <w:kern w:val="0"/>
          <w:sz w:val="17"/>
          <w:szCs w:val="17"/>
        </w:rPr>
      </w:pPr>
    </w:p>
    <w:sectPr>
      <w:pgSz w:w="11906" w:h="16838"/>
      <w:pgMar w:top="1440" w:right="1800" w:bottom="121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eb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trackRevisions w:val="true"/>
  <w:documentProtection w:edit="readOnly" w:formatting="1"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0.0.79.251:80/NMGZJJ/OfficeServer;jsessionid=F12E01A607384CB6AE74DF8E8455D2F7.jvm249"/>
  </w:docVars>
  <w:rsids>
    <w:rsidRoot w:val="007A7BD1"/>
    <w:rsid w:val="00001641"/>
    <w:rsid w:val="00034B13"/>
    <w:rsid w:val="00050599"/>
    <w:rsid w:val="00077D9F"/>
    <w:rsid w:val="000858E7"/>
    <w:rsid w:val="0009044B"/>
    <w:rsid w:val="000A7ECE"/>
    <w:rsid w:val="000B3785"/>
    <w:rsid w:val="000D213E"/>
    <w:rsid w:val="000E4658"/>
    <w:rsid w:val="000F5D78"/>
    <w:rsid w:val="0016023C"/>
    <w:rsid w:val="001856C8"/>
    <w:rsid w:val="001F581B"/>
    <w:rsid w:val="00205312"/>
    <w:rsid w:val="00223FDC"/>
    <w:rsid w:val="00243608"/>
    <w:rsid w:val="00255519"/>
    <w:rsid w:val="002702C5"/>
    <w:rsid w:val="00295F35"/>
    <w:rsid w:val="002B638B"/>
    <w:rsid w:val="002C41BD"/>
    <w:rsid w:val="00326D88"/>
    <w:rsid w:val="003370AC"/>
    <w:rsid w:val="0035262D"/>
    <w:rsid w:val="003533A1"/>
    <w:rsid w:val="00382DDE"/>
    <w:rsid w:val="003A3F6A"/>
    <w:rsid w:val="003B3CAC"/>
    <w:rsid w:val="004260B8"/>
    <w:rsid w:val="00456CA1"/>
    <w:rsid w:val="004623C3"/>
    <w:rsid w:val="00466B29"/>
    <w:rsid w:val="004722C8"/>
    <w:rsid w:val="004A0110"/>
    <w:rsid w:val="004B248C"/>
    <w:rsid w:val="004D5D12"/>
    <w:rsid w:val="00581D33"/>
    <w:rsid w:val="005A37D5"/>
    <w:rsid w:val="005D4FE4"/>
    <w:rsid w:val="005E6C34"/>
    <w:rsid w:val="00614B4E"/>
    <w:rsid w:val="006C0CA2"/>
    <w:rsid w:val="006F0CD4"/>
    <w:rsid w:val="006F79B0"/>
    <w:rsid w:val="007108F2"/>
    <w:rsid w:val="00757FFE"/>
    <w:rsid w:val="007634D8"/>
    <w:rsid w:val="007A7BD1"/>
    <w:rsid w:val="00860527"/>
    <w:rsid w:val="008E4066"/>
    <w:rsid w:val="008E41E0"/>
    <w:rsid w:val="00947653"/>
    <w:rsid w:val="009641E5"/>
    <w:rsid w:val="00971269"/>
    <w:rsid w:val="0099300A"/>
    <w:rsid w:val="009C1749"/>
    <w:rsid w:val="009C2DDA"/>
    <w:rsid w:val="009D06F5"/>
    <w:rsid w:val="009F3F44"/>
    <w:rsid w:val="00A93AAF"/>
    <w:rsid w:val="00AB3015"/>
    <w:rsid w:val="00AC5213"/>
    <w:rsid w:val="00AF3270"/>
    <w:rsid w:val="00AF36D6"/>
    <w:rsid w:val="00B0739F"/>
    <w:rsid w:val="00B932DB"/>
    <w:rsid w:val="00BA5E85"/>
    <w:rsid w:val="00BC29B8"/>
    <w:rsid w:val="00BF311A"/>
    <w:rsid w:val="00BF5894"/>
    <w:rsid w:val="00C07713"/>
    <w:rsid w:val="00C45E66"/>
    <w:rsid w:val="00C50AD1"/>
    <w:rsid w:val="00C524CF"/>
    <w:rsid w:val="00CB22FA"/>
    <w:rsid w:val="00D13688"/>
    <w:rsid w:val="00D339A3"/>
    <w:rsid w:val="00D527CB"/>
    <w:rsid w:val="00D979D0"/>
    <w:rsid w:val="00DC18F5"/>
    <w:rsid w:val="00E02603"/>
    <w:rsid w:val="00E73550"/>
    <w:rsid w:val="00F152CA"/>
    <w:rsid w:val="00F519F1"/>
    <w:rsid w:val="00FA7DFE"/>
    <w:rsid w:val="00FB1D48"/>
    <w:rsid w:val="2F924BD1"/>
    <w:rsid w:val="33FFDDC6"/>
    <w:rsid w:val="39DF2EBB"/>
    <w:rsid w:val="556ED3CB"/>
    <w:rsid w:val="5AEB167D"/>
    <w:rsid w:val="5BBE486A"/>
    <w:rsid w:val="5EFA0924"/>
    <w:rsid w:val="5FFADF0F"/>
    <w:rsid w:val="66F5E5F2"/>
    <w:rsid w:val="6FD75E1F"/>
    <w:rsid w:val="77FD1220"/>
    <w:rsid w:val="7B9BF73F"/>
    <w:rsid w:val="7BE7C961"/>
    <w:rsid w:val="7F2BC2E8"/>
    <w:rsid w:val="7F41B27F"/>
    <w:rsid w:val="7F67F2D0"/>
    <w:rsid w:val="7FFF143B"/>
    <w:rsid w:val="7FFFCF12"/>
    <w:rsid w:val="9DFFD22F"/>
    <w:rsid w:val="A5FF6A71"/>
    <w:rsid w:val="ADB7D4BC"/>
    <w:rsid w:val="AFBFB5F9"/>
    <w:rsid w:val="B9AF3EEE"/>
    <w:rsid w:val="BB5DE163"/>
    <w:rsid w:val="BDF7652F"/>
    <w:rsid w:val="C23F428E"/>
    <w:rsid w:val="C5F7EE01"/>
    <w:rsid w:val="CC725542"/>
    <w:rsid w:val="D7BCF036"/>
    <w:rsid w:val="DD5FEB23"/>
    <w:rsid w:val="DEBF5C7F"/>
    <w:rsid w:val="DF2FA3C9"/>
    <w:rsid w:val="E5FDAF5A"/>
    <w:rsid w:val="E9DF92A7"/>
    <w:rsid w:val="ECDA0911"/>
    <w:rsid w:val="EFB7F1E5"/>
    <w:rsid w:val="EFEC61ED"/>
    <w:rsid w:val="EFFD72BE"/>
    <w:rsid w:val="FBBE6CE0"/>
    <w:rsid w:val="FBBE9086"/>
    <w:rsid w:val="FBFEB8BA"/>
    <w:rsid w:val="FBFEEE8D"/>
    <w:rsid w:val="FE77B7D2"/>
    <w:rsid w:val="FEFF2B73"/>
    <w:rsid w:val="FF7FA218"/>
    <w:rsid w:val="FFDB6F0A"/>
    <w:rsid w:val="FFEFEC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597</Characters>
  <Lines>4</Lines>
  <Paragraphs>1</Paragraphs>
  <TotalTime>4</TotalTime>
  <ScaleCrop>false</ScaleCrop>
  <LinksUpToDate>false</LinksUpToDate>
  <CharactersWithSpaces>700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2021-08-21T00:20:00Z</dcterms:created>
  <dc:creator>袁慧娟：承办处室办理人</dc:creator>
  <cp:lastModifiedBy>王滨</cp:lastModifiedBy>
  <cp:lastPrinted>2021-06-25T17:10:00Z</cp:lastPrinted>
  <dcterms:modified xsi:type="dcterms:W3CDTF">2023-01-20T14:57:40Z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</Properties>
</file>