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40" w:lineRule="exact"/>
        <w:ind w:firstLine="260" w:firstLineChars="50"/>
        <w:jc w:val="both"/>
        <w:rPr>
          <w:rFonts w:hint="eastAsia" w:ascii="Times New Roman" w:hAnsi="Times New Roman" w:eastAsia="方正小标宋简体"/>
          <w:color w:val="FF0000"/>
          <w:sz w:val="52"/>
        </w:rPr>
      </w:pPr>
      <w:bookmarkStart w:id="0" w:name="quanwen"/>
      <w:r>
        <w:rPr>
          <w:rFonts w:hint="eastAsia" w:ascii="Times New Roman" w:hAnsi="Times New Roman" w:eastAsia="方正小标宋简体"/>
          <w:color w:val="FF0000"/>
          <w:sz w:val="52"/>
        </w:rPr>
        <w:t>中国证券监督管理委员会河南监管局</w:t>
      </w:r>
    </w:p>
    <w:p>
      <w:pPr>
        <w:spacing w:line="240" w:lineRule="auto"/>
        <w:ind w:firstLine="0" w:firstLineChars="0"/>
        <w:jc w:val="center"/>
        <w:rPr>
          <w:rFonts w:hint="eastAsia" w:ascii="Times New Roman" w:hAnsi="Times New Roman" w:cs="仿宋_GB2312"/>
          <w:lang w:eastAsia="zh-CN"/>
        </w:rPr>
      </w:pPr>
      <w:r>
        <w:rPr>
          <w:rFonts w:hint="eastAsia" w:ascii="Times New Roman" w:hAnsi="Times New Roman" w:eastAsia="方正小标宋简体"/>
          <w:color w:val="FF0000"/>
          <w:sz w:val="72"/>
          <w:szCs w:val="72"/>
        </w:rPr>
        <w:t>行 政 处 罚 决 定 书</w:t>
      </w:r>
      <w:bookmarkStart w:id="1" w:name="WH"/>
      <w:bookmarkEnd w:id="1"/>
    </w:p>
    <w:p>
      <w:pPr>
        <w:keepNext w:val="0"/>
        <w:keepLines w:val="0"/>
        <w:pageBreakBefore w:val="0"/>
        <w:kinsoku/>
        <w:overflowPunct/>
        <w:topLinePunct w:val="0"/>
        <w:bidi w:val="0"/>
        <w:spacing w:line="560" w:lineRule="exact"/>
        <w:ind w:firstLine="0" w:firstLineChars="0"/>
        <w:textAlignment w:val="auto"/>
        <w:rPr>
          <w:rFonts w:hint="eastAsia" w:ascii="Times New Roman" w:hAnsi="Times New Roman"/>
        </w:rPr>
      </w:pPr>
      <w:bookmarkStart w:id="2" w:name="BT"/>
      <w:bookmarkEnd w:id="2"/>
    </w:p>
    <w:p>
      <w:pPr>
        <w:keepNext w:val="0"/>
        <w:keepLines w:val="0"/>
        <w:pageBreakBefore w:val="0"/>
        <w:kinsoku/>
        <w:overflowPunct/>
        <w:topLinePunct w:val="0"/>
        <w:bidi w:val="0"/>
        <w:spacing w:line="560" w:lineRule="exact"/>
        <w:ind w:firstLine="0" w:firstLineChars="0"/>
        <w:textAlignment w:val="auto"/>
        <w:rPr>
          <w:rFonts w:hint="eastAsia" w:ascii="Times New Roman" w:hAnsi="Times New Roman"/>
        </w:rPr>
      </w:pPr>
    </w:p>
    <w:p>
      <w:pPr>
        <w:keepNext w:val="0"/>
        <w:keepLines w:val="0"/>
        <w:pageBreakBefore w:val="0"/>
        <w:kinsoku/>
        <w:overflowPunct/>
        <w:topLinePunct w:val="0"/>
        <w:autoSpaceDE w:val="0"/>
        <w:autoSpaceDN w:val="0"/>
        <w:bidi w:val="0"/>
        <w:adjustRightInd w:val="0"/>
        <w:snapToGrid w:val="0"/>
        <w:spacing w:beforeLines="0" w:afterLines="0" w:line="560" w:lineRule="exact"/>
        <w:ind w:firstLine="640"/>
        <w:jc w:val="both"/>
        <w:textAlignment w:val="auto"/>
        <w:rPr>
          <w:rFonts w:hint="default" w:ascii="Times New Roman" w:hAnsi="Times New Roman" w:eastAsia="仿宋_GB2312" w:cs="仿宋_GB2312"/>
          <w:b w:val="0"/>
          <w:bCs w:val="0"/>
          <w:color w:val="000000"/>
          <w:sz w:val="32"/>
          <w:szCs w:val="32"/>
          <w:lang w:val="en-US" w:eastAsia="zh-CN"/>
        </w:rPr>
      </w:pPr>
      <w:r>
        <w:rPr>
          <w:rFonts w:hint="eastAsia" w:ascii="Times New Roman" w:hAnsi="Times New Roman" w:eastAsia="仿宋_GB2312" w:cs="Times New Roman"/>
          <w:sz w:val="32"/>
          <w:szCs w:val="32"/>
          <w:highlight w:val="none"/>
          <w:lang w:val="en-US" w:eastAsia="zh-CN"/>
        </w:rPr>
        <w:t>当事人：</w:t>
      </w:r>
      <w:r>
        <w:rPr>
          <w:rFonts w:hint="eastAsia" w:ascii="Times New Roman" w:hAnsi="Times New Roman" w:eastAsia="仿宋_GB2312" w:cs="仿宋_GB2312"/>
          <w:bCs/>
          <w:color w:val="auto"/>
          <w:sz w:val="32"/>
          <w:szCs w:val="24"/>
        </w:rPr>
        <w:t>河南瑞贝卡发制品股份有限公司</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以下简称</w:t>
      </w:r>
      <w:r>
        <w:rPr>
          <w:rFonts w:hint="eastAsia" w:ascii="Times New Roman" w:hAnsi="Times New Roman" w:eastAsia="仿宋_GB2312" w:cs="Times New Roman"/>
          <w:sz w:val="32"/>
          <w:szCs w:val="32"/>
          <w:highlight w:val="none"/>
          <w:lang w:eastAsia="zh-CN"/>
        </w:rPr>
        <w:t>瑞贝卡或公司</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，住所：</w:t>
      </w:r>
      <w:r>
        <w:rPr>
          <w:rFonts w:hint="default" w:ascii="Times New Roman" w:hAnsi="Times New Roman" w:eastAsia="仿宋_GB2312" w:cs="仿宋_GB2312"/>
          <w:b w:val="0"/>
          <w:bCs w:val="0"/>
          <w:color w:val="000000"/>
          <w:sz w:val="32"/>
          <w:szCs w:val="32"/>
          <w:lang w:val="en-US" w:eastAsia="zh-CN"/>
        </w:rPr>
        <w:t>河南省许昌市</w:t>
      </w:r>
      <w:r>
        <w:rPr>
          <w:rFonts w:hint="eastAsia" w:ascii="Times New Roman" w:hAnsi="Times New Roman" w:eastAsia="仿宋_GB2312" w:cs="仿宋_GB2312"/>
          <w:b w:val="0"/>
          <w:bCs w:val="0"/>
          <w:color w:val="000000"/>
          <w:sz w:val="32"/>
          <w:szCs w:val="32"/>
          <w:lang w:val="en-US" w:eastAsia="zh-CN"/>
        </w:rPr>
        <w:t>建安区</w:t>
      </w:r>
      <w:r>
        <w:rPr>
          <w:rFonts w:hint="default" w:ascii="Times New Roman" w:hAnsi="Times New Roman" w:eastAsia="仿宋_GB2312" w:cs="仿宋_GB2312"/>
          <w:b w:val="0"/>
          <w:bCs w:val="0"/>
          <w:color w:val="000000"/>
          <w:sz w:val="32"/>
          <w:szCs w:val="32"/>
          <w:lang w:val="en-US" w:eastAsia="zh-CN"/>
        </w:rPr>
        <w:t>。</w:t>
      </w:r>
    </w:p>
    <w:p>
      <w:pPr>
        <w:keepNext w:val="0"/>
        <w:keepLines w:val="0"/>
        <w:pageBreakBefore w:val="0"/>
        <w:kinsoku/>
        <w:overflowPunct/>
        <w:topLinePunct w:val="0"/>
        <w:autoSpaceDE w:val="0"/>
        <w:autoSpaceDN w:val="0"/>
        <w:bidi w:val="0"/>
        <w:adjustRightInd w:val="0"/>
        <w:snapToGrid w:val="0"/>
        <w:spacing w:beforeLines="0" w:afterLines="0" w:line="560" w:lineRule="exact"/>
        <w:ind w:firstLine="640"/>
        <w:jc w:val="both"/>
        <w:textAlignment w:val="auto"/>
        <w:rPr>
          <w:rFonts w:hint="default" w:ascii="Times New Roman" w:hAnsi="Times New Roman" w:eastAsia="仿宋_GB2312" w:cs="仿宋_GB2312"/>
          <w:b w:val="0"/>
          <w:bCs w:val="0"/>
          <w:color w:val="000000"/>
          <w:sz w:val="32"/>
          <w:szCs w:val="32"/>
          <w:lang w:val="en-US" w:eastAsia="zh-CN"/>
        </w:rPr>
      </w:pPr>
      <w:r>
        <w:rPr>
          <w:rFonts w:hint="eastAsia" w:ascii="Times New Roman" w:hAnsi="Times New Roman" w:eastAsia="仿宋_GB2312" w:cs="仿宋_GB2312"/>
          <w:bCs/>
          <w:color w:val="auto"/>
          <w:sz w:val="32"/>
          <w:szCs w:val="24"/>
        </w:rPr>
        <w:t>河南瑞贝卡控股有限责任公司</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以下简称</w:t>
      </w:r>
      <w:r>
        <w:rPr>
          <w:rFonts w:hint="eastAsia" w:ascii="Times New Roman" w:hAnsi="Times New Roman" w:eastAsia="仿宋_GB2312" w:cs="Times New Roman"/>
          <w:sz w:val="32"/>
          <w:szCs w:val="32"/>
          <w:highlight w:val="none"/>
          <w:lang w:eastAsia="zh-CN"/>
        </w:rPr>
        <w:t>瑞贝卡控股</w:t>
      </w:r>
      <w:r>
        <w:rPr>
          <w:rFonts w:hint="eastAsia" w:ascii="Times New Roman" w:hAnsi="Times New Roman" w:eastAsia="仿宋_GB2312" w:cs="Times New Roman"/>
          <w:sz w:val="32"/>
          <w:szCs w:val="32"/>
          <w:highlight w:val="none"/>
          <w:lang w:val="en-US" w:eastAsia="zh-CN"/>
        </w:rPr>
        <w:t>），住所：</w:t>
      </w:r>
      <w:r>
        <w:rPr>
          <w:rFonts w:hint="default" w:ascii="Times New Roman" w:hAnsi="Times New Roman" w:eastAsia="仿宋_GB2312" w:cs="仿宋_GB2312"/>
          <w:b w:val="0"/>
          <w:bCs w:val="0"/>
          <w:color w:val="000000"/>
          <w:sz w:val="32"/>
          <w:szCs w:val="32"/>
          <w:lang w:val="en-US" w:eastAsia="zh-CN"/>
        </w:rPr>
        <w:t>河南省许昌市</w:t>
      </w:r>
      <w:r>
        <w:rPr>
          <w:rFonts w:hint="eastAsia" w:ascii="Times New Roman" w:hAnsi="Times New Roman" w:eastAsia="仿宋_GB2312" w:cs="仿宋_GB2312"/>
          <w:b w:val="0"/>
          <w:bCs w:val="0"/>
          <w:color w:val="000000"/>
          <w:sz w:val="32"/>
          <w:szCs w:val="32"/>
          <w:lang w:val="en-US" w:eastAsia="zh-CN"/>
        </w:rPr>
        <w:t>建安区</w:t>
      </w:r>
      <w:r>
        <w:rPr>
          <w:rFonts w:hint="default" w:ascii="Times New Roman" w:hAnsi="Times New Roman" w:eastAsia="仿宋_GB2312" w:cs="仿宋_GB2312"/>
          <w:b w:val="0"/>
          <w:bCs w:val="0"/>
          <w:color w:val="000000"/>
          <w:sz w:val="32"/>
          <w:szCs w:val="32"/>
          <w:lang w:val="en-US" w:eastAsia="zh-CN"/>
        </w:rPr>
        <w:t>。</w:t>
      </w:r>
    </w:p>
    <w:p>
      <w:pPr>
        <w:keepNext w:val="0"/>
        <w:keepLines w:val="0"/>
        <w:pageBreakBefore w:val="0"/>
        <w:kinsoku/>
        <w:overflowPunct/>
        <w:topLinePunct w:val="0"/>
        <w:autoSpaceDE w:val="0"/>
        <w:autoSpaceDN w:val="0"/>
        <w:bidi w:val="0"/>
        <w:adjustRightInd w:val="0"/>
        <w:snapToGrid w:val="0"/>
        <w:spacing w:beforeLines="0" w:afterLines="0" w:line="560" w:lineRule="exact"/>
        <w:ind w:firstLine="640"/>
        <w:jc w:val="both"/>
        <w:textAlignment w:val="auto"/>
        <w:rPr>
          <w:rFonts w:hint="eastAsia" w:ascii="Times New Roman" w:hAnsi="Times New Roman" w:eastAsia="仿宋_GB2312" w:cs="仿宋_GB2312"/>
          <w:bCs/>
          <w:color w:val="auto"/>
          <w:sz w:val="32"/>
          <w:szCs w:val="24"/>
          <w:highlight w:val="none"/>
          <w:lang w:eastAsia="zh-CN"/>
        </w:rPr>
      </w:pPr>
      <w:r>
        <w:rPr>
          <w:rFonts w:hint="eastAsia" w:ascii="Times New Roman" w:hAnsi="Times New Roman" w:eastAsia="仿宋_GB2312" w:cs="仿宋_GB2312"/>
          <w:bCs/>
          <w:color w:val="auto"/>
          <w:sz w:val="32"/>
          <w:szCs w:val="24"/>
        </w:rPr>
        <w:t>郑文青</w:t>
      </w:r>
      <w:r>
        <w:rPr>
          <w:rFonts w:hint="eastAsia" w:ascii="Times New Roman" w:hAnsi="Times New Roman" w:eastAsia="仿宋_GB2312" w:cs="仿宋_GB2312"/>
          <w:bCs/>
          <w:color w:val="auto"/>
          <w:sz w:val="32"/>
          <w:szCs w:val="24"/>
          <w:lang w:eastAsia="zh-CN"/>
        </w:rPr>
        <w:t>，女，</w:t>
      </w:r>
      <w:r>
        <w:rPr>
          <w:rFonts w:hint="eastAsia" w:ascii="Times New Roman" w:hAnsi="Times New Roman" w:eastAsia="仿宋_GB2312" w:cs="仿宋_GB2312"/>
          <w:b w:val="0"/>
          <w:bCs w:val="0"/>
          <w:color w:val="000000"/>
          <w:sz w:val="32"/>
          <w:szCs w:val="32"/>
          <w:highlight w:val="none"/>
          <w:lang w:val="en-US" w:eastAsia="zh-CN"/>
        </w:rPr>
        <w:t>瑞贝卡</w:t>
      </w:r>
      <w:r>
        <w:rPr>
          <w:rFonts w:hint="default"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t>董事长、</w:t>
      </w:r>
      <w:r>
        <w:rPr>
          <w:rFonts w:hint="eastAsia"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t>总经理、瑞贝卡控股董事，</w:t>
      </w:r>
      <w:r>
        <w:rPr>
          <w:rFonts w:hint="eastAsia" w:ascii="Times New Roman" w:hAnsi="Times New Roman" w:eastAsia="仿宋_GB2312" w:cs="仿宋_GB2312"/>
          <w:b w:val="0"/>
          <w:bCs w:val="0"/>
          <w:color w:val="000000"/>
          <w:sz w:val="32"/>
          <w:szCs w:val="32"/>
          <w:highlight w:val="none"/>
          <w:lang w:val="en-US" w:eastAsia="zh-CN"/>
        </w:rPr>
        <w:t>住址：</w:t>
      </w:r>
      <w:r>
        <w:rPr>
          <w:rFonts w:hint="default" w:ascii="Times New Roman" w:hAnsi="Times New Roman" w:eastAsia="仿宋_GB2312" w:cs="仿宋_GB2312"/>
          <w:b w:val="0"/>
          <w:bCs w:val="0"/>
          <w:color w:val="000000"/>
          <w:sz w:val="32"/>
          <w:szCs w:val="32"/>
          <w:highlight w:val="none"/>
          <w:lang w:val="en-US" w:eastAsia="zh-CN"/>
        </w:rPr>
        <w:t>河南</w:t>
      </w:r>
      <w:r>
        <w:rPr>
          <w:rFonts w:hint="eastAsia" w:ascii="Times New Roman" w:hAnsi="Times New Roman" w:eastAsia="仿宋_GB2312" w:cs="仿宋_GB2312"/>
          <w:b w:val="0"/>
          <w:bCs w:val="0"/>
          <w:color w:val="000000"/>
          <w:sz w:val="32"/>
          <w:szCs w:val="32"/>
          <w:highlight w:val="none"/>
          <w:lang w:val="en-US" w:eastAsia="zh-CN"/>
        </w:rPr>
        <w:t>省</w:t>
      </w:r>
      <w:r>
        <w:rPr>
          <w:rFonts w:hint="default" w:ascii="Times New Roman" w:hAnsi="Times New Roman" w:eastAsia="仿宋_GB2312" w:cs="仿宋_GB2312"/>
          <w:b w:val="0"/>
          <w:bCs w:val="0"/>
          <w:color w:val="000000"/>
          <w:sz w:val="32"/>
          <w:szCs w:val="32"/>
          <w:highlight w:val="none"/>
          <w:lang w:val="en-US" w:eastAsia="zh-CN"/>
        </w:rPr>
        <w:t>许昌</w:t>
      </w:r>
      <w:r>
        <w:rPr>
          <w:rFonts w:hint="eastAsia" w:ascii="Times New Roman" w:hAnsi="Times New Roman" w:eastAsia="仿宋_GB2312" w:cs="仿宋_GB2312"/>
          <w:b w:val="0"/>
          <w:bCs w:val="0"/>
          <w:color w:val="000000"/>
          <w:sz w:val="32"/>
          <w:szCs w:val="32"/>
          <w:highlight w:val="none"/>
          <w:lang w:val="en-US" w:eastAsia="zh-CN"/>
        </w:rPr>
        <w:t>市魏都区。</w:t>
      </w:r>
    </w:p>
    <w:p>
      <w:pPr>
        <w:keepNext w:val="0"/>
        <w:keepLines w:val="0"/>
        <w:pageBreakBefore w:val="0"/>
        <w:widowControl w:val="0"/>
        <w:numPr>
          <w:ilvl w:val="0"/>
          <w:numId w:val="0"/>
        </w:numPr>
        <w:kinsoku/>
        <w:wordWrap w:val="0"/>
        <w:overflowPunct/>
        <w:topLinePunct w:val="0"/>
        <w:autoSpaceDE/>
        <w:autoSpaceDN/>
        <w:bidi w:val="0"/>
        <w:adjustRightInd/>
        <w:spacing w:line="560" w:lineRule="exact"/>
        <w:ind w:left="0" w:firstLine="640" w:firstLineChars="200"/>
        <w:jc w:val="both"/>
        <w:textAlignment w:val="auto"/>
        <w:rPr>
          <w:rFonts w:hint="default" w:ascii="Times New Roman" w:hAnsi="Times New Roman" w:eastAsia="仿宋_GB2312" w:cs="仿宋_GB2312"/>
          <w:b w:val="0"/>
          <w:bCs w:val="0"/>
          <w:color w:val="000000"/>
          <w:sz w:val="32"/>
          <w:szCs w:val="32"/>
          <w:highlight w:val="none"/>
          <w:lang w:val="en-US" w:eastAsia="zh-CN"/>
        </w:rPr>
      </w:pPr>
      <w:r>
        <w:rPr>
          <w:rFonts w:hint="eastAsia" w:ascii="Times New Roman" w:hAnsi="Times New Roman" w:eastAsia="仿宋_GB2312" w:cs="仿宋_GB2312"/>
          <w:bCs/>
          <w:color w:val="auto"/>
          <w:sz w:val="32"/>
          <w:szCs w:val="24"/>
          <w:highlight w:val="none"/>
        </w:rPr>
        <w:t>朱建锐</w:t>
      </w:r>
      <w:r>
        <w:rPr>
          <w:rFonts w:hint="eastAsia" w:ascii="Times New Roman" w:hAnsi="Times New Roman" w:eastAsia="仿宋_GB2312" w:cs="仿宋_GB2312"/>
          <w:bCs/>
          <w:color w:val="auto"/>
          <w:sz w:val="32"/>
          <w:szCs w:val="24"/>
          <w:highlight w:val="none"/>
          <w:lang w:eastAsia="zh-CN"/>
        </w:rPr>
        <w:t>，男，</w:t>
      </w:r>
      <w:r>
        <w:rPr>
          <w:rFonts w:hint="eastAsia"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t>瑞贝卡</w:t>
      </w:r>
      <w:r>
        <w:rPr>
          <w:rFonts w:hint="default" w:ascii="Times New Roman" w:hAnsi="Times New Roman" w:eastAsia="仿宋_GB2312" w:cs="仿宋_GB2312"/>
          <w:b w:val="0"/>
          <w:bCs w:val="0"/>
          <w:color w:val="000000"/>
          <w:sz w:val="32"/>
          <w:szCs w:val="32"/>
          <w:highlight w:val="none"/>
          <w:lang w:val="en-US" w:eastAsia="zh-CN"/>
        </w:rPr>
        <w:t>董事、财务总监</w:t>
      </w:r>
      <w:r>
        <w:rPr>
          <w:rFonts w:hint="eastAsia" w:ascii="Times New Roman" w:hAnsi="Times New Roman" w:eastAsia="仿宋_GB2312" w:cs="仿宋_GB2312"/>
          <w:b w:val="0"/>
          <w:bCs w:val="0"/>
          <w:color w:val="000000"/>
          <w:sz w:val="32"/>
          <w:szCs w:val="32"/>
          <w:highlight w:val="none"/>
          <w:lang w:val="en-US" w:eastAsia="zh-CN"/>
        </w:rPr>
        <w:t>，住址</w:t>
      </w:r>
      <w:r>
        <w:rPr>
          <w:rFonts w:hint="default" w:ascii="Times New Roman" w:hAnsi="Times New Roman" w:eastAsia="仿宋_GB2312" w:cs="仿宋_GB2312"/>
          <w:b w:val="0"/>
          <w:bCs w:val="0"/>
          <w:color w:val="000000"/>
          <w:sz w:val="32"/>
          <w:szCs w:val="32"/>
          <w:highlight w:val="none"/>
          <w:lang w:val="en-US" w:eastAsia="zh-CN"/>
        </w:rPr>
        <w:t>：</w:t>
      </w:r>
      <w:r>
        <w:rPr>
          <w:rFonts w:hint="eastAsia" w:ascii="Times New Roman" w:hAnsi="Times New Roman" w:eastAsia="仿宋_GB2312" w:cs="仿宋_GB2312"/>
          <w:b w:val="0"/>
          <w:bCs w:val="0"/>
          <w:color w:val="000000"/>
          <w:sz w:val="32"/>
          <w:szCs w:val="32"/>
          <w:highlight w:val="none"/>
          <w:lang w:val="en-US" w:eastAsia="zh-CN"/>
        </w:rPr>
        <w:t>河南省</w:t>
      </w:r>
      <w:r>
        <w:rPr>
          <w:rFonts w:hint="default" w:ascii="Times New Roman" w:hAnsi="Times New Roman" w:eastAsia="仿宋_GB2312" w:cs="仿宋_GB2312"/>
          <w:b w:val="0"/>
          <w:bCs w:val="0"/>
          <w:color w:val="000000"/>
          <w:sz w:val="32"/>
          <w:szCs w:val="32"/>
          <w:highlight w:val="none"/>
          <w:lang w:val="en-US" w:eastAsia="zh-CN"/>
        </w:rPr>
        <w:t>许昌市魏都区。</w:t>
      </w:r>
    </w:p>
    <w:p>
      <w:pPr>
        <w:keepNext w:val="0"/>
        <w:keepLines w:val="0"/>
        <w:pageBreakBefore w:val="0"/>
        <w:kinsoku/>
        <w:overflowPunct/>
        <w:topLinePunct w:val="0"/>
        <w:autoSpaceDE w:val="0"/>
        <w:autoSpaceDN w:val="0"/>
        <w:bidi w:val="0"/>
        <w:adjustRightInd w:val="0"/>
        <w:snapToGrid w:val="0"/>
        <w:spacing w:beforeLines="0" w:afterLines="0" w:line="560" w:lineRule="exact"/>
        <w:ind w:firstLine="640"/>
        <w:jc w:val="both"/>
        <w:textAlignment w:val="auto"/>
        <w:rPr>
          <w:rFonts w:hint="eastAsia" w:ascii="Times New Roman" w:hAnsi="Times New Roman" w:eastAsia="仿宋_GB2312" w:cs="仿宋_GB2312"/>
          <w:bCs/>
          <w:color w:val="auto"/>
          <w:sz w:val="32"/>
          <w:szCs w:val="24"/>
          <w:highlight w:val="none"/>
          <w:lang w:eastAsia="zh-CN"/>
        </w:rPr>
      </w:pPr>
      <w:r>
        <w:rPr>
          <w:rFonts w:hint="eastAsia" w:ascii="Times New Roman" w:hAnsi="Times New Roman" w:eastAsia="仿宋_GB2312" w:cs="仿宋_GB2312"/>
          <w:bCs/>
          <w:color w:val="auto"/>
          <w:sz w:val="32"/>
          <w:szCs w:val="24"/>
          <w:highlight w:val="none"/>
        </w:rPr>
        <w:t>陆小林</w:t>
      </w:r>
      <w:r>
        <w:rPr>
          <w:rFonts w:hint="eastAsia" w:ascii="Times New Roman" w:hAnsi="Times New Roman" w:eastAsia="仿宋_GB2312" w:cs="仿宋_GB2312"/>
          <w:bCs/>
          <w:color w:val="auto"/>
          <w:sz w:val="32"/>
          <w:szCs w:val="24"/>
          <w:highlight w:val="none"/>
          <w:lang w:eastAsia="zh-CN"/>
        </w:rPr>
        <w:t>，女，</w:t>
      </w:r>
      <w:r>
        <w:rPr>
          <w:rFonts w:hint="default" w:ascii="Times New Roman" w:hAnsi="Times New Roman" w:eastAsia="仿宋_GB2312" w:cs="仿宋_GB2312"/>
          <w:b w:val="0"/>
          <w:bCs w:val="0"/>
          <w:color w:val="000000"/>
          <w:sz w:val="32"/>
          <w:szCs w:val="32"/>
          <w:highlight w:val="none"/>
          <w:lang w:val="en-US" w:eastAsia="zh-CN"/>
        </w:rPr>
        <w:t>瑞贝卡监事会监事长</w:t>
      </w:r>
      <w:r>
        <w:rPr>
          <w:rFonts w:hint="eastAsia" w:ascii="Times New Roman" w:hAnsi="Times New Roman" w:eastAsia="仿宋_GB2312" w:cs="仿宋_GB2312"/>
          <w:b w:val="0"/>
          <w:bCs w:val="0"/>
          <w:color w:val="000000"/>
          <w:sz w:val="32"/>
          <w:szCs w:val="32"/>
          <w:highlight w:val="none"/>
          <w:lang w:val="en-US" w:eastAsia="zh-CN"/>
        </w:rPr>
        <w:t>、</w:t>
      </w:r>
      <w:r>
        <w:rPr>
          <w:rFonts w:hint="default" w:ascii="Times New Roman" w:hAnsi="Times New Roman" w:eastAsia="仿宋_GB2312" w:cs="仿宋_GB2312"/>
          <w:b w:val="0"/>
          <w:bCs w:val="0"/>
          <w:color w:val="000000"/>
          <w:sz w:val="32"/>
          <w:szCs w:val="32"/>
          <w:highlight w:val="none"/>
          <w:lang w:val="en-US" w:eastAsia="zh-CN"/>
        </w:rPr>
        <w:t>融资结算部部长</w:t>
      </w:r>
      <w:r>
        <w:rPr>
          <w:rFonts w:hint="eastAsia" w:ascii="Times New Roman" w:hAnsi="Times New Roman" w:eastAsia="仿宋_GB2312" w:cs="仿宋_GB2312"/>
          <w:b w:val="0"/>
          <w:bCs w:val="0"/>
          <w:color w:val="000000"/>
          <w:sz w:val="32"/>
          <w:szCs w:val="32"/>
          <w:highlight w:val="none"/>
          <w:lang w:val="en-US" w:eastAsia="zh-CN"/>
        </w:rPr>
        <w:t>，住址：河南省</w:t>
      </w:r>
      <w:r>
        <w:rPr>
          <w:rFonts w:hint="default" w:ascii="Times New Roman" w:hAnsi="Times New Roman" w:eastAsia="仿宋_GB2312" w:cs="仿宋_GB2312"/>
          <w:b w:val="0"/>
          <w:bCs w:val="0"/>
          <w:color w:val="000000"/>
          <w:sz w:val="32"/>
          <w:szCs w:val="32"/>
          <w:highlight w:val="none"/>
          <w:lang w:val="en-US" w:eastAsia="zh-CN"/>
        </w:rPr>
        <w:t>许昌市魏都区。</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pPr>
      <w:r>
        <w:rPr>
          <w:rFonts w:hint="eastAsia" w:ascii="Times New Roman" w:hAnsi="Times New Roman" w:eastAsia="仿宋_GB2312" w:cs="仿宋_GB2312"/>
          <w:bCs/>
          <w:color w:val="auto"/>
          <w:sz w:val="32"/>
          <w:szCs w:val="24"/>
          <w:highlight w:val="none"/>
        </w:rPr>
        <w:t>胡丽平</w:t>
      </w:r>
      <w:r>
        <w:rPr>
          <w:rFonts w:hint="eastAsia" w:ascii="Times New Roman" w:hAnsi="Times New Roman" w:eastAsia="仿宋_GB2312" w:cs="仿宋_GB2312"/>
          <w:bCs/>
          <w:color w:val="auto"/>
          <w:sz w:val="32"/>
          <w:szCs w:val="24"/>
          <w:highlight w:val="none"/>
          <w:lang w:eastAsia="zh-CN"/>
        </w:rPr>
        <w:t>，女，</w:t>
      </w:r>
      <w:r>
        <w:rPr>
          <w:rFonts w:hint="eastAsia"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t>瑞贝卡董事、董事会秘书</w:t>
      </w:r>
      <w:r>
        <w:rPr>
          <w:rFonts w:hint="default" w:ascii="Times New Roman" w:hAnsi="Times New Roman" w:eastAsia="仿宋_GB2312" w:cs="仿宋_GB2312"/>
          <w:b w:val="0"/>
          <w:bCs w:val="0"/>
          <w:color w:val="000000"/>
          <w:sz w:val="32"/>
          <w:szCs w:val="32"/>
          <w:highlight w:val="none"/>
          <w:lang w:val="en-US" w:eastAsia="zh-CN"/>
        </w:rPr>
        <w:t>，住址：</w:t>
      </w:r>
      <w:r>
        <w:rPr>
          <w:rFonts w:hint="eastAsia" w:ascii="Times New Roman" w:hAnsi="Times New Roman" w:eastAsia="仿宋_GB2312" w:cs="仿宋_GB2312"/>
          <w:b w:val="0"/>
          <w:bCs w:val="0"/>
          <w:color w:val="000000"/>
          <w:sz w:val="32"/>
          <w:szCs w:val="32"/>
          <w:highlight w:val="none"/>
          <w:lang w:val="en-US" w:eastAsia="zh-CN"/>
        </w:rPr>
        <w:t>河南省</w:t>
      </w:r>
      <w:r>
        <w:rPr>
          <w:rFonts w:hint="default" w:ascii="Times New Roman" w:hAnsi="Times New Roman" w:eastAsia="仿宋_GB2312" w:cs="仿宋_GB2312"/>
          <w:b w:val="0"/>
          <w:bCs w:val="0"/>
          <w:color w:val="000000"/>
          <w:sz w:val="32"/>
          <w:szCs w:val="32"/>
          <w:highlight w:val="none"/>
          <w:lang w:val="en-US" w:eastAsia="zh-CN"/>
        </w:rPr>
        <w:t>许昌市</w:t>
      </w:r>
      <w:r>
        <w:rPr>
          <w:rFonts w:hint="eastAsia" w:ascii="Times New Roman" w:hAnsi="Times New Roman" w:eastAsia="仿宋_GB2312" w:cs="仿宋_GB2312"/>
          <w:b w:val="0"/>
          <w:bCs w:val="0"/>
          <w:color w:val="000000"/>
          <w:sz w:val="32"/>
          <w:szCs w:val="32"/>
          <w:highlight w:val="none"/>
          <w:lang w:val="en-US" w:eastAsia="zh-CN"/>
        </w:rPr>
        <w:t>魏都区</w:t>
      </w:r>
      <w:r>
        <w:rPr>
          <w:rFonts w:hint="eastAsia"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t>。</w:t>
      </w:r>
    </w:p>
    <w:p>
      <w:pPr>
        <w:keepNext w:val="0"/>
        <w:keepLines w:val="0"/>
        <w:pageBreakBefore w:val="0"/>
        <w:widowControl w:val="0"/>
        <w:numPr>
          <w:ilvl w:val="0"/>
          <w:numId w:val="0"/>
        </w:numPr>
        <w:kinsoku/>
        <w:wordWrap w:val="0"/>
        <w:overflowPunct/>
        <w:topLinePunct w:val="0"/>
        <w:autoSpaceDE/>
        <w:autoSpaceDN/>
        <w:bidi w:val="0"/>
        <w:adjustRightInd/>
        <w:spacing w:line="560" w:lineRule="exact"/>
        <w:ind w:left="0" w:firstLine="640" w:firstLineChars="200"/>
        <w:jc w:val="both"/>
        <w:textAlignment w:val="auto"/>
        <w:rPr>
          <w:rFonts w:hint="default" w:ascii="Times New Roman" w:hAnsi="Times New Roman" w:eastAsia="仿宋_GB2312" w:cs="仿宋_GB2312"/>
          <w:b w:val="0"/>
          <w:bCs w:val="0"/>
          <w:color w:val="000000"/>
          <w:sz w:val="32"/>
          <w:szCs w:val="32"/>
          <w:lang w:val="en-US" w:eastAsia="zh-CN"/>
        </w:rPr>
      </w:pPr>
      <w:r>
        <w:rPr>
          <w:rFonts w:hint="eastAsia" w:ascii="Times New Roman" w:hAnsi="Times New Roman" w:eastAsia="仿宋_GB2312" w:cs="仿宋_GB2312"/>
          <w:bCs/>
          <w:color w:val="auto"/>
          <w:sz w:val="32"/>
          <w:szCs w:val="24"/>
          <w:highlight w:val="none"/>
        </w:rPr>
        <w:t>郑有全</w:t>
      </w:r>
      <w:r>
        <w:rPr>
          <w:rFonts w:hint="eastAsia" w:ascii="Times New Roman" w:hAnsi="Times New Roman" w:eastAsia="仿宋_GB2312" w:cs="仿宋_GB2312"/>
          <w:bCs/>
          <w:color w:val="auto"/>
          <w:sz w:val="32"/>
          <w:szCs w:val="24"/>
          <w:highlight w:val="none"/>
          <w:lang w:eastAsia="zh-CN"/>
        </w:rPr>
        <w:t>，男，</w:t>
      </w:r>
      <w:r>
        <w:rPr>
          <w:rFonts w:hint="eastAsia" w:ascii="Times New Roman" w:hAnsi="Times New Roman" w:eastAsia="仿宋_GB2312" w:cs="仿宋_GB2312"/>
          <w:b w:val="0"/>
          <w:bCs w:val="0"/>
          <w:i w:val="0"/>
          <w:caps w:val="0"/>
          <w:color w:val="000000"/>
          <w:spacing w:val="0"/>
          <w:kern w:val="2"/>
          <w:sz w:val="32"/>
          <w:szCs w:val="32"/>
          <w:highlight w:val="none"/>
          <w:u w:val="none"/>
          <w:shd w:val="clear" w:color="auto" w:fill="auto"/>
          <w:lang w:val="en-US" w:eastAsia="zh-CN" w:bidi="ar"/>
        </w:rPr>
        <w:t>瑞贝卡</w:t>
      </w:r>
      <w:r>
        <w:rPr>
          <w:rFonts w:hint="default" w:ascii="Times New Roman" w:hAnsi="Times New Roman" w:eastAsia="仿宋_GB2312" w:cs="仿宋_GB2312"/>
          <w:b w:val="0"/>
          <w:bCs w:val="0"/>
          <w:color w:val="000000"/>
          <w:sz w:val="32"/>
          <w:szCs w:val="32"/>
          <w:highlight w:val="none"/>
          <w:lang w:val="en-US" w:eastAsia="zh-CN"/>
        </w:rPr>
        <w:t>实际控制人</w:t>
      </w:r>
      <w:r>
        <w:rPr>
          <w:rFonts w:hint="eastAsia" w:ascii="Times New Roman" w:hAnsi="Times New Roman" w:eastAsia="仿宋_GB2312" w:cs="仿宋_GB2312"/>
          <w:b w:val="0"/>
          <w:bCs w:val="0"/>
          <w:color w:val="000000"/>
          <w:sz w:val="32"/>
          <w:szCs w:val="32"/>
          <w:highlight w:val="none"/>
          <w:lang w:val="en-US" w:eastAsia="zh-CN"/>
        </w:rPr>
        <w:t>、</w:t>
      </w:r>
      <w:r>
        <w:rPr>
          <w:rFonts w:hint="default" w:ascii="Times New Roman" w:hAnsi="Times New Roman" w:eastAsia="仿宋_GB2312" w:cs="仿宋_GB2312"/>
          <w:b w:val="0"/>
          <w:bCs w:val="0"/>
          <w:color w:val="000000"/>
          <w:sz w:val="32"/>
          <w:szCs w:val="32"/>
          <w:lang w:val="en-US" w:eastAsia="zh-CN"/>
        </w:rPr>
        <w:t>瑞贝卡控股董事</w:t>
      </w:r>
      <w:r>
        <w:rPr>
          <w:rFonts w:hint="eastAsia" w:ascii="Times New Roman" w:hAnsi="Times New Roman" w:eastAsia="仿宋_GB2312" w:cs="仿宋_GB2312"/>
          <w:b w:val="0"/>
          <w:bCs w:val="0"/>
          <w:color w:val="000000"/>
          <w:sz w:val="32"/>
          <w:szCs w:val="32"/>
          <w:lang w:val="en-US" w:eastAsia="zh-CN"/>
        </w:rPr>
        <w:t>局</w:t>
      </w:r>
      <w:r>
        <w:rPr>
          <w:rFonts w:hint="default" w:ascii="Times New Roman" w:hAnsi="Times New Roman" w:eastAsia="仿宋_GB2312" w:cs="仿宋_GB2312"/>
          <w:b w:val="0"/>
          <w:bCs w:val="0"/>
          <w:color w:val="000000"/>
          <w:sz w:val="32"/>
          <w:szCs w:val="32"/>
          <w:lang w:val="en-US" w:eastAsia="zh-CN"/>
        </w:rPr>
        <w:t>主席</w:t>
      </w:r>
      <w:r>
        <w:rPr>
          <w:rFonts w:hint="eastAsia" w:ascii="Times New Roman" w:hAnsi="Times New Roman" w:eastAsia="仿宋_GB2312" w:cs="仿宋_GB2312"/>
          <w:b w:val="0"/>
          <w:bCs w:val="0"/>
          <w:color w:val="000000"/>
          <w:sz w:val="32"/>
          <w:szCs w:val="32"/>
          <w:lang w:val="en-US" w:eastAsia="zh-CN"/>
        </w:rPr>
        <w:t>，住址：河南省许昌市魏都区</w:t>
      </w:r>
      <w:r>
        <w:rPr>
          <w:rFonts w:hint="default" w:ascii="Times New Roman" w:hAnsi="Times New Roman" w:eastAsia="仿宋_GB2312" w:cs="仿宋_GB2312"/>
          <w:b w:val="0"/>
          <w:bCs w:val="0"/>
          <w:color w:val="000000"/>
          <w:sz w:val="32"/>
          <w:szCs w:val="32"/>
          <w:lang w:val="en-US" w:eastAsia="zh-CN"/>
        </w:rPr>
        <w:t>。</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Lines="0" w:afterLines="0" w:line="560" w:lineRule="exact"/>
        <w:ind w:firstLine="640" w:firstLineChars="200"/>
        <w:jc w:val="both"/>
        <w:textAlignment w:val="auto"/>
        <w:rPr>
          <w:rFonts w:hint="eastAsia" w:ascii="Times New Roman" w:hAnsi="Times New Roman" w:eastAsia="仿宋_GB2312" w:cs="仿宋_GB2312"/>
          <w:b w:val="0"/>
          <w:bCs w:val="0"/>
          <w:color w:val="000000"/>
          <w:sz w:val="32"/>
          <w:szCs w:val="32"/>
          <w:lang w:val="en-US" w:eastAsia="zh-CN"/>
        </w:rPr>
      </w:pPr>
      <w:r>
        <w:rPr>
          <w:rFonts w:hint="eastAsia" w:ascii="Times New Roman" w:hAnsi="Times New Roman" w:eastAsia="仿宋_GB2312" w:cs="仿宋_GB2312"/>
          <w:bCs/>
          <w:color w:val="auto"/>
          <w:sz w:val="32"/>
          <w:szCs w:val="24"/>
        </w:rPr>
        <w:t>陆素月</w:t>
      </w:r>
      <w:r>
        <w:rPr>
          <w:rFonts w:hint="eastAsia" w:ascii="Times New Roman" w:hAnsi="Times New Roman" w:eastAsia="仿宋_GB2312" w:cs="仿宋_GB2312"/>
          <w:bCs/>
          <w:color w:val="auto"/>
          <w:sz w:val="32"/>
          <w:szCs w:val="24"/>
          <w:lang w:eastAsia="zh-CN"/>
        </w:rPr>
        <w:t>，女，</w:t>
      </w:r>
      <w:r>
        <w:rPr>
          <w:rFonts w:hint="default" w:ascii="Times New Roman" w:hAnsi="Times New Roman" w:eastAsia="仿宋_GB2312" w:cs="仿宋_GB2312"/>
          <w:b w:val="0"/>
          <w:bCs w:val="0"/>
          <w:color w:val="000000"/>
          <w:sz w:val="32"/>
          <w:szCs w:val="32"/>
          <w:lang w:val="en-US" w:eastAsia="zh-CN"/>
        </w:rPr>
        <w:t>瑞贝卡控股董事</w:t>
      </w:r>
      <w:r>
        <w:rPr>
          <w:rFonts w:hint="eastAsia" w:ascii="Times New Roman" w:hAnsi="Times New Roman" w:eastAsia="仿宋_GB2312" w:cs="仿宋_GB2312"/>
          <w:b w:val="0"/>
          <w:bCs w:val="0"/>
          <w:color w:val="000000"/>
          <w:sz w:val="32"/>
          <w:szCs w:val="32"/>
          <w:lang w:val="en-US" w:eastAsia="zh-CN"/>
        </w:rPr>
        <w:t>、</w:t>
      </w:r>
      <w:r>
        <w:rPr>
          <w:rFonts w:hint="default" w:ascii="Times New Roman" w:hAnsi="Times New Roman" w:eastAsia="仿宋_GB2312" w:cs="仿宋_GB2312"/>
          <w:b w:val="0"/>
          <w:bCs w:val="0"/>
          <w:color w:val="000000"/>
          <w:sz w:val="32"/>
          <w:szCs w:val="32"/>
          <w:lang w:val="en-US" w:eastAsia="zh-CN"/>
        </w:rPr>
        <w:t>副总裁，住址：河南</w:t>
      </w:r>
      <w:r>
        <w:rPr>
          <w:rFonts w:hint="eastAsia" w:ascii="Times New Roman" w:hAnsi="Times New Roman" w:eastAsia="仿宋_GB2312" w:cs="仿宋_GB2312"/>
          <w:b w:val="0"/>
          <w:bCs w:val="0"/>
          <w:color w:val="000000"/>
          <w:sz w:val="32"/>
          <w:szCs w:val="32"/>
          <w:lang w:val="en-US" w:eastAsia="zh-CN"/>
        </w:rPr>
        <w:t>省</w:t>
      </w:r>
      <w:r>
        <w:rPr>
          <w:rFonts w:hint="default" w:ascii="Times New Roman" w:hAnsi="Times New Roman" w:eastAsia="仿宋_GB2312" w:cs="仿宋_GB2312"/>
          <w:b w:val="0"/>
          <w:bCs w:val="0"/>
          <w:color w:val="000000"/>
          <w:sz w:val="32"/>
          <w:szCs w:val="32"/>
          <w:lang w:val="en-US" w:eastAsia="zh-CN"/>
        </w:rPr>
        <w:t>许昌</w:t>
      </w:r>
      <w:r>
        <w:rPr>
          <w:rFonts w:hint="eastAsia" w:ascii="Times New Roman" w:hAnsi="Times New Roman" w:eastAsia="仿宋_GB2312" w:cs="仿宋_GB2312"/>
          <w:b w:val="0"/>
          <w:bCs w:val="0"/>
          <w:color w:val="000000"/>
          <w:sz w:val="32"/>
          <w:szCs w:val="32"/>
          <w:lang w:val="en-US" w:eastAsia="zh-CN"/>
        </w:rPr>
        <w:t>市魏都区。</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Lines="0" w:afterLines="0" w:line="560" w:lineRule="exact"/>
        <w:ind w:firstLine="640" w:firstLineChars="200"/>
        <w:jc w:val="both"/>
        <w:textAlignment w:val="auto"/>
        <w:rPr>
          <w:rFonts w:hint="default" w:ascii="Times New Roman" w:hAnsi="Times New Roman" w:eastAsia="仿宋_GB2312" w:cs="仿宋_GB2312"/>
          <w:b w:val="0"/>
          <w:bCs w:val="0"/>
          <w:color w:val="000000"/>
          <w:sz w:val="32"/>
          <w:szCs w:val="32"/>
          <w:lang w:val="en-US" w:eastAsia="zh-CN"/>
        </w:rPr>
      </w:pPr>
      <w:r>
        <w:rPr>
          <w:rFonts w:hint="eastAsia" w:ascii="Times New Roman" w:hAnsi="Times New Roman" w:eastAsia="仿宋_GB2312" w:cs="仿宋_GB2312"/>
          <w:b w:val="0"/>
          <w:bCs w:val="0"/>
          <w:color w:val="000000"/>
          <w:sz w:val="32"/>
          <w:szCs w:val="32"/>
          <w:lang w:val="en" w:eastAsia="zh-CN"/>
        </w:rPr>
        <w:t>依据《中华人民共和国证券法》（以下简称《证券法》）的有关规定，</w:t>
      </w:r>
      <w:r>
        <w:rPr>
          <w:rFonts w:hint="eastAsia" w:ascii="Times New Roman" w:hAnsi="Times New Roman" w:eastAsia="仿宋_GB2312" w:cs="仿宋_GB2312"/>
          <w:b w:val="0"/>
          <w:bCs w:val="0"/>
          <w:color w:val="000000"/>
          <w:sz w:val="32"/>
          <w:szCs w:val="32"/>
          <w:lang w:val="en-US" w:eastAsia="zh-CN"/>
        </w:rPr>
        <w:t>我局</w:t>
      </w:r>
      <w:r>
        <w:rPr>
          <w:rFonts w:hint="eastAsia" w:ascii="Times New Roman" w:hAnsi="Times New Roman" w:eastAsia="仿宋_GB2312" w:cs="仿宋_GB2312"/>
          <w:b w:val="0"/>
          <w:bCs w:val="0"/>
          <w:color w:val="000000"/>
          <w:sz w:val="32"/>
          <w:szCs w:val="32"/>
          <w:lang w:val="en" w:eastAsia="zh-CN"/>
        </w:rPr>
        <w:t>对瑞贝卡、</w:t>
      </w:r>
      <w:r>
        <w:rPr>
          <w:rFonts w:hint="eastAsia" w:ascii="Times New Roman" w:hAnsi="Times New Roman" w:eastAsia="仿宋_GB2312" w:cs="仿宋_GB2312"/>
          <w:b w:val="0"/>
          <w:bCs w:val="0"/>
          <w:color w:val="000000"/>
          <w:sz w:val="32"/>
          <w:szCs w:val="32"/>
          <w:lang w:val="en-US" w:eastAsia="zh-CN"/>
        </w:rPr>
        <w:t>瑞贝卡控股信息披露违法违规行为</w:t>
      </w:r>
      <w:r>
        <w:rPr>
          <w:rFonts w:hint="default" w:ascii="Times New Roman" w:hAnsi="Times New Roman" w:eastAsia="仿宋_GB2312" w:cs="仿宋_GB2312"/>
          <w:b w:val="0"/>
          <w:bCs w:val="0"/>
          <w:color w:val="000000"/>
          <w:sz w:val="32"/>
          <w:szCs w:val="32"/>
          <w:lang w:val="en-US" w:eastAsia="zh-CN"/>
        </w:rPr>
        <w:t>进行了立案调查</w:t>
      </w:r>
      <w:r>
        <w:rPr>
          <w:rFonts w:hint="eastAsia" w:ascii="Times New Roman" w:hAnsi="Times New Roman" w:eastAsia="仿宋_GB2312" w:cs="仿宋_GB2312"/>
          <w:b w:val="0"/>
          <w:bCs w:val="0"/>
          <w:color w:val="000000"/>
          <w:sz w:val="32"/>
          <w:szCs w:val="32"/>
          <w:lang w:val="en-US" w:eastAsia="zh-CN"/>
        </w:rPr>
        <w:t>，</w:t>
      </w:r>
      <w:r>
        <w:rPr>
          <w:rFonts w:hint="default" w:ascii="Times New Roman" w:hAnsi="Times New Roman" w:eastAsia="仿宋_GB2312" w:cs="仿宋_GB2312"/>
          <w:b w:val="0"/>
          <w:bCs w:val="0"/>
          <w:color w:val="000000"/>
          <w:sz w:val="32"/>
          <w:szCs w:val="32"/>
          <w:lang w:val="en-US" w:eastAsia="zh-CN"/>
        </w:rPr>
        <w:t>依法向当事人告知了作出行政处罚的事实、理由、依据及当事人依法享有的权利，</w:t>
      </w:r>
      <w:r>
        <w:rPr>
          <w:rFonts w:hint="default" w:ascii="Times New Roman" w:hAnsi="Times New Roman" w:eastAsia="仿宋_GB2312" w:cs="Times New Roman"/>
          <w:color w:val="auto"/>
          <w:sz w:val="32"/>
          <w:szCs w:val="32"/>
        </w:rPr>
        <w:t>当事人</w:t>
      </w:r>
      <w:r>
        <w:rPr>
          <w:rFonts w:hint="eastAsia" w:ascii="Times New Roman" w:hAnsi="Times New Roman" w:eastAsia="仿宋_GB2312" w:cs="Times New Roman"/>
          <w:color w:val="auto"/>
          <w:sz w:val="32"/>
          <w:szCs w:val="32"/>
          <w:lang w:eastAsia="zh-CN"/>
        </w:rPr>
        <w:t>胡丽平</w:t>
      </w:r>
      <w:r>
        <w:rPr>
          <w:rFonts w:hint="default" w:ascii="Times New Roman" w:hAnsi="Times New Roman" w:eastAsia="仿宋_GB2312" w:cs="Times New Roman"/>
          <w:color w:val="auto"/>
          <w:sz w:val="32"/>
          <w:szCs w:val="32"/>
        </w:rPr>
        <w:t>进行了陈述和申辩，但未要求听证；</w:t>
      </w:r>
      <w:r>
        <w:rPr>
          <w:rFonts w:hint="eastAsia" w:ascii="Times New Roman" w:hAnsi="Times New Roman" w:eastAsia="仿宋_GB2312" w:cs="Times New Roman"/>
          <w:color w:val="auto"/>
          <w:sz w:val="32"/>
          <w:szCs w:val="32"/>
          <w:lang w:eastAsia="zh-CN"/>
        </w:rPr>
        <w:t>其他</w:t>
      </w:r>
      <w:r>
        <w:rPr>
          <w:rFonts w:hint="default" w:ascii="Times New Roman" w:hAnsi="Times New Roman" w:eastAsia="仿宋_GB2312" w:cs="仿宋_GB2312"/>
          <w:b w:val="0"/>
          <w:bCs w:val="0"/>
          <w:color w:val="000000"/>
          <w:sz w:val="32"/>
          <w:szCs w:val="32"/>
          <w:lang w:val="en-US" w:eastAsia="zh-CN"/>
        </w:rPr>
        <w:t>当事人未提出陈述、申辩意见，也未要求听证。本案现已调查、</w:t>
      </w:r>
      <w:r>
        <w:rPr>
          <w:rFonts w:hint="eastAsia" w:ascii="Times New Roman" w:hAnsi="Times New Roman" w:eastAsia="仿宋_GB2312" w:cs="仿宋_GB2312"/>
          <w:b w:val="0"/>
          <w:bCs w:val="0"/>
          <w:color w:val="000000"/>
          <w:sz w:val="32"/>
          <w:szCs w:val="32"/>
          <w:lang w:val="en-US" w:eastAsia="zh-CN"/>
        </w:rPr>
        <w:t>办理</w:t>
      </w:r>
      <w:r>
        <w:rPr>
          <w:rFonts w:hint="default" w:ascii="Times New Roman" w:hAnsi="Times New Roman" w:eastAsia="仿宋_GB2312" w:cs="仿宋_GB2312"/>
          <w:b w:val="0"/>
          <w:bCs w:val="0"/>
          <w:color w:val="000000"/>
          <w:sz w:val="32"/>
          <w:szCs w:val="32"/>
          <w:lang w:val="en-US" w:eastAsia="zh-CN"/>
        </w:rPr>
        <w:t>终结。</w:t>
      </w:r>
    </w:p>
    <w:p>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Lines="0" w:afterLines="0" w:line="560" w:lineRule="exact"/>
        <w:ind w:firstLine="640" w:firstLineChars="200"/>
        <w:jc w:val="both"/>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仿宋_GB2312"/>
          <w:b w:val="0"/>
          <w:bCs w:val="0"/>
          <w:color w:val="000000"/>
          <w:sz w:val="32"/>
          <w:szCs w:val="32"/>
          <w:lang w:val="en-US" w:eastAsia="zh-CN"/>
        </w:rPr>
        <w:t>经查明，</w:t>
      </w:r>
      <w:r>
        <w:rPr>
          <w:rFonts w:hint="eastAsia" w:ascii="Times New Roman" w:hAnsi="Times New Roman" w:eastAsia="仿宋_GB2312" w:cs="Times New Roman"/>
          <w:b w:val="0"/>
          <w:bCs w:val="0"/>
          <w:color w:val="auto"/>
          <w:sz w:val="32"/>
          <w:szCs w:val="32"/>
          <w:lang w:val="en-US" w:eastAsia="zh-CN"/>
        </w:rPr>
        <w:t>瑞贝卡</w:t>
      </w:r>
      <w:r>
        <w:rPr>
          <w:rFonts w:hint="eastAsia" w:ascii="Times New Roman" w:hAnsi="Times New Roman" w:eastAsia="仿宋_GB2312" w:cs="Times New Roman"/>
          <w:bCs/>
          <w:color w:val="auto"/>
          <w:sz w:val="32"/>
          <w:szCs w:val="32"/>
          <w:lang w:eastAsia="zh-CN"/>
        </w:rPr>
        <w:t>存在以下</w:t>
      </w:r>
      <w:r>
        <w:rPr>
          <w:rFonts w:hint="default" w:ascii="Times New Roman" w:hAnsi="Times New Roman" w:eastAsia="仿宋_GB2312" w:cs="Times New Roman"/>
          <w:bCs/>
          <w:color w:val="auto"/>
          <w:sz w:val="32"/>
          <w:szCs w:val="32"/>
        </w:rPr>
        <w:t>违法事实：</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黑体"/>
          <w:bCs/>
          <w:color w:val="auto"/>
          <w:sz w:val="32"/>
          <w:szCs w:val="24"/>
          <w:lang w:eastAsia="zh-CN"/>
        </w:rPr>
      </w:pPr>
      <w:r>
        <w:rPr>
          <w:rFonts w:hint="eastAsia" w:ascii="Times New Roman" w:hAnsi="Times New Roman" w:eastAsia="黑体" w:cs="黑体"/>
          <w:bCs/>
          <w:color w:val="auto"/>
          <w:sz w:val="32"/>
          <w:szCs w:val="24"/>
          <w:lang w:val="en-US" w:eastAsia="zh-CN"/>
        </w:rPr>
        <w:t xml:space="preserve">   </w:t>
      </w:r>
      <w:r>
        <w:rPr>
          <w:rFonts w:hint="default" w:eastAsia="黑体" w:cs="黑体"/>
          <w:bCs/>
          <w:color w:val="auto"/>
          <w:sz w:val="32"/>
          <w:szCs w:val="24"/>
          <w:lang w:val="en-US" w:eastAsia="zh-CN"/>
        </w:rPr>
        <w:t xml:space="preserve"> </w:t>
      </w:r>
      <w:r>
        <w:rPr>
          <w:rFonts w:hint="eastAsia" w:ascii="Times New Roman" w:hAnsi="Times New Roman" w:eastAsia="黑体" w:cs="黑体"/>
          <w:bCs/>
          <w:color w:val="auto"/>
          <w:sz w:val="32"/>
          <w:szCs w:val="24"/>
          <w:lang w:val="en-US" w:eastAsia="zh-CN"/>
        </w:rPr>
        <w:t>一、</w:t>
      </w:r>
      <w:r>
        <w:rPr>
          <w:rFonts w:hint="eastAsia" w:ascii="Times New Roman" w:hAnsi="Times New Roman" w:eastAsia="黑体" w:cs="黑体"/>
          <w:bCs/>
          <w:color w:val="auto"/>
          <w:sz w:val="32"/>
          <w:szCs w:val="24"/>
          <w:lang w:eastAsia="zh-CN"/>
        </w:rPr>
        <w:t>瑞贝</w:t>
      </w:r>
      <w:r>
        <w:rPr>
          <w:rFonts w:hint="eastAsia" w:ascii="Times New Roman" w:hAnsi="Times New Roman" w:eastAsia="黑体" w:cs="黑体"/>
          <w:bCs/>
          <w:color w:val="auto"/>
          <w:sz w:val="32"/>
          <w:szCs w:val="24"/>
          <w:lang w:val="en-US" w:eastAsia="zh-CN"/>
        </w:rPr>
        <w:t>卡未按规定披露</w:t>
      </w:r>
      <w:r>
        <w:rPr>
          <w:rFonts w:hint="default" w:ascii="Times New Roman" w:hAnsi="Times New Roman" w:eastAsia="黑体" w:cs="黑体"/>
          <w:bCs/>
          <w:color w:val="auto"/>
          <w:sz w:val="32"/>
          <w:szCs w:val="24"/>
          <w:lang w:val="en-US" w:eastAsia="zh-CN"/>
        </w:rPr>
        <w:t>关联交易</w:t>
      </w:r>
      <w:r>
        <w:rPr>
          <w:rFonts w:hint="eastAsia" w:ascii="Times New Roman" w:hAnsi="Times New Roman" w:eastAsia="黑体" w:cs="黑体"/>
          <w:bCs/>
          <w:color w:val="auto"/>
          <w:sz w:val="32"/>
          <w:szCs w:val="24"/>
          <w:lang w:val="en-US" w:eastAsia="zh-CN"/>
        </w:rPr>
        <w:t>及</w:t>
      </w:r>
      <w:r>
        <w:rPr>
          <w:rFonts w:hint="default" w:ascii="Times New Roman" w:hAnsi="Times New Roman" w:eastAsia="黑体" w:cs="黑体"/>
          <w:bCs/>
          <w:color w:val="auto"/>
          <w:sz w:val="32"/>
          <w:szCs w:val="24"/>
          <w:lang w:val="en-US" w:eastAsia="zh-CN"/>
        </w:rPr>
        <w:t>非经营性占用资金情况</w:t>
      </w:r>
      <w:r>
        <w:rPr>
          <w:rFonts w:hint="eastAsia" w:ascii="Times New Roman" w:hAnsi="Times New Roman" w:eastAsia="黑体" w:cs="黑体"/>
          <w:bCs/>
          <w:color w:val="auto"/>
          <w:sz w:val="32"/>
          <w:szCs w:val="24"/>
          <w:lang w:val="en-US" w:eastAsia="zh-CN"/>
        </w:rPr>
        <w:t>，虚增货币资金，</w:t>
      </w:r>
      <w:r>
        <w:rPr>
          <w:rFonts w:hint="eastAsia" w:ascii="Times New Roman" w:hAnsi="Times New Roman" w:eastAsia="黑体" w:cs="黑体"/>
          <w:bCs/>
          <w:color w:val="auto"/>
          <w:sz w:val="32"/>
          <w:szCs w:val="24"/>
          <w:lang w:eastAsia="zh-CN"/>
        </w:rPr>
        <w:t>相关定期报告存在重大遗漏及虚假记载</w:t>
      </w:r>
    </w:p>
    <w:p>
      <w:pPr>
        <w:keepNext w:val="0"/>
        <w:keepLines w:val="0"/>
        <w:pageBreakBefore w:val="0"/>
        <w:widowControl/>
        <w:kinsoku/>
        <w:overflowPunct/>
        <w:topLinePunct w:val="0"/>
        <w:bidi w:val="0"/>
        <w:spacing w:line="560" w:lineRule="exact"/>
        <w:ind w:firstLine="641"/>
        <w:jc w:val="both"/>
        <w:textAlignment w:val="auto"/>
        <w:rPr>
          <w:rFonts w:hint="eastAsia" w:ascii="Times New Roman" w:hAnsi="Times New Roman" w:eastAsia="仿宋_GB2312" w:cs="仿宋_GB2312"/>
          <w:bCs/>
          <w:color w:val="auto"/>
          <w:sz w:val="32"/>
          <w:szCs w:val="24"/>
        </w:rPr>
      </w:pPr>
      <w:r>
        <w:rPr>
          <w:rFonts w:hint="eastAsia" w:ascii="Times New Roman" w:hAnsi="Times New Roman" w:eastAsia="仿宋_GB2312" w:cs="仿宋_GB2312"/>
          <w:bCs/>
          <w:color w:val="auto"/>
          <w:sz w:val="32"/>
          <w:szCs w:val="24"/>
        </w:rPr>
        <w:t>2022年至202</w:t>
      </w:r>
      <w:r>
        <w:rPr>
          <w:rFonts w:hint="eastAsia" w:ascii="Times New Roman" w:hAnsi="Times New Roman" w:eastAsia="仿宋_GB2312" w:cs="仿宋_GB2312"/>
          <w:bCs/>
          <w:color w:val="auto"/>
          <w:sz w:val="32"/>
          <w:szCs w:val="24"/>
          <w:lang w:val="en-US" w:eastAsia="zh-CN"/>
        </w:rPr>
        <w:t>4</w:t>
      </w:r>
      <w:r>
        <w:rPr>
          <w:rFonts w:hint="eastAsia" w:ascii="Times New Roman" w:hAnsi="Times New Roman" w:eastAsia="仿宋_GB2312" w:cs="仿宋_GB2312"/>
          <w:bCs/>
          <w:color w:val="auto"/>
          <w:sz w:val="32"/>
          <w:szCs w:val="24"/>
        </w:rPr>
        <w:t>年</w:t>
      </w:r>
      <w:r>
        <w:rPr>
          <w:rFonts w:hint="eastAsia" w:ascii="Times New Roman" w:hAnsi="Times New Roman" w:eastAsia="仿宋_GB2312" w:cs="仿宋_GB2312"/>
          <w:bCs/>
          <w:color w:val="auto"/>
          <w:sz w:val="32"/>
          <w:szCs w:val="24"/>
          <w:lang w:val="en-US" w:eastAsia="zh-CN"/>
        </w:rPr>
        <w:t>6月</w:t>
      </w:r>
      <w:r>
        <w:rPr>
          <w:rFonts w:hint="eastAsia" w:ascii="Times New Roman" w:hAnsi="Times New Roman" w:eastAsia="仿宋_GB2312" w:cs="仿宋_GB2312"/>
          <w:bCs/>
          <w:color w:val="auto"/>
          <w:sz w:val="32"/>
          <w:szCs w:val="24"/>
        </w:rPr>
        <w:t>，瑞贝卡</w:t>
      </w:r>
      <w:r>
        <w:rPr>
          <w:rFonts w:hint="eastAsia" w:ascii="Times New Roman" w:hAnsi="Times New Roman" w:eastAsia="仿宋_GB2312" w:cs="仿宋_GB2312"/>
          <w:bCs/>
          <w:color w:val="auto"/>
          <w:sz w:val="32"/>
          <w:szCs w:val="24"/>
          <w:lang w:eastAsia="zh-CN"/>
        </w:rPr>
        <w:t>及其全资子公司许昌瑞贝卡发制品工艺有限公司（以下简称工艺公司）向控股股东</w:t>
      </w:r>
      <w:r>
        <w:rPr>
          <w:rFonts w:hint="eastAsia" w:ascii="Times New Roman" w:hAnsi="Times New Roman" w:eastAsia="仿宋_GB2312" w:cs="仿宋_GB2312"/>
          <w:bCs/>
          <w:color w:val="auto"/>
          <w:sz w:val="32"/>
          <w:szCs w:val="24"/>
        </w:rPr>
        <w:t>瑞贝卡控股等关联方划转资金，构成关联方非经营性资金占用</w:t>
      </w:r>
      <w:r>
        <w:rPr>
          <w:rFonts w:hint="eastAsia" w:ascii="Times New Roman" w:hAnsi="Times New Roman" w:eastAsia="仿宋_GB2312" w:cs="仿宋_GB2312"/>
          <w:bCs/>
          <w:color w:val="auto"/>
          <w:sz w:val="32"/>
          <w:szCs w:val="24"/>
          <w:highlight w:val="none"/>
          <w:lang w:eastAsia="zh-CN"/>
        </w:rPr>
        <w:t>相关关联交易</w:t>
      </w:r>
      <w:r>
        <w:rPr>
          <w:rFonts w:hint="eastAsia" w:ascii="Times New Roman" w:hAnsi="Times New Roman" w:eastAsia="仿宋_GB2312" w:cs="仿宋_GB2312"/>
          <w:bCs/>
          <w:color w:val="auto"/>
          <w:sz w:val="32"/>
          <w:szCs w:val="24"/>
          <w:lang w:eastAsia="zh-CN"/>
        </w:rPr>
        <w:t>。</w:t>
      </w:r>
      <w:r>
        <w:rPr>
          <w:rFonts w:hint="eastAsia" w:ascii="Times New Roman" w:hAnsi="Times New Roman" w:eastAsia="仿宋_GB2312" w:cs="仿宋_GB2312"/>
          <w:bCs/>
          <w:color w:val="auto"/>
          <w:sz w:val="32"/>
          <w:szCs w:val="24"/>
          <w:lang w:val="en-US" w:eastAsia="zh-CN"/>
        </w:rPr>
        <w:t>2022年、2023年、2024年上半年资金占用</w:t>
      </w:r>
      <w:r>
        <w:rPr>
          <w:rFonts w:hint="eastAsia" w:ascii="Times New Roman" w:hAnsi="Times New Roman" w:eastAsia="仿宋_GB2312" w:cs="仿宋_GB2312"/>
          <w:bCs/>
          <w:color w:val="auto"/>
          <w:sz w:val="32"/>
          <w:szCs w:val="24"/>
        </w:rPr>
        <w:t>发生额分别为</w:t>
      </w:r>
      <w:r>
        <w:rPr>
          <w:rFonts w:hint="eastAsia" w:ascii="Times New Roman" w:hAnsi="Times New Roman" w:eastAsia="仿宋_GB2312" w:cs="仿宋_GB2312"/>
          <w:bCs/>
          <w:color w:val="auto"/>
          <w:sz w:val="32"/>
          <w:szCs w:val="24"/>
          <w:lang w:val="en-US" w:eastAsia="zh-CN"/>
        </w:rPr>
        <w:t>114,550万元、123,329.11万元、45,730万元</w:t>
      </w:r>
      <w:r>
        <w:rPr>
          <w:rFonts w:hint="eastAsia" w:ascii="Times New Roman" w:hAnsi="Times New Roman" w:eastAsia="仿宋_GB2312" w:cs="仿宋_GB2312"/>
          <w:bCs/>
          <w:color w:val="auto"/>
          <w:sz w:val="32"/>
          <w:szCs w:val="24"/>
        </w:rPr>
        <w:t>，</w:t>
      </w:r>
      <w:r>
        <w:rPr>
          <w:rFonts w:hint="eastAsia" w:ascii="Times New Roman" w:hAnsi="Times New Roman" w:eastAsia="仿宋_GB2312" w:cs="仿宋_GB2312"/>
          <w:bCs/>
          <w:color w:val="auto"/>
          <w:sz w:val="32"/>
          <w:szCs w:val="24"/>
          <w:lang w:eastAsia="zh-CN"/>
        </w:rPr>
        <w:t>分别</w:t>
      </w:r>
      <w:r>
        <w:rPr>
          <w:rFonts w:hint="eastAsia" w:ascii="Times New Roman" w:hAnsi="Times New Roman" w:eastAsia="仿宋_GB2312" w:cs="仿宋_GB2312"/>
          <w:bCs/>
          <w:color w:val="auto"/>
          <w:sz w:val="32"/>
          <w:szCs w:val="24"/>
        </w:rPr>
        <w:t>占公司当期披露净资产的40.50%、44.73%、16.72%；资金占用余额分别为</w:t>
      </w:r>
      <w:r>
        <w:rPr>
          <w:rFonts w:hint="eastAsia" w:ascii="Times New Roman" w:hAnsi="Times New Roman" w:eastAsia="仿宋_GB2312" w:cs="仿宋_GB2312"/>
          <w:bCs/>
          <w:color w:val="auto"/>
          <w:sz w:val="32"/>
          <w:szCs w:val="24"/>
          <w:lang w:eastAsia="zh-CN"/>
        </w:rPr>
        <w:t>2</w:t>
      </w:r>
      <w:r>
        <w:rPr>
          <w:rFonts w:hint="eastAsia" w:ascii="Times New Roman" w:hAnsi="Times New Roman" w:eastAsia="仿宋_GB2312" w:cs="仿宋_GB2312"/>
          <w:bCs/>
          <w:color w:val="auto"/>
          <w:sz w:val="32"/>
          <w:szCs w:val="24"/>
          <w:lang w:val="en-US" w:eastAsia="zh-CN"/>
        </w:rPr>
        <w:t>3,850</w:t>
      </w:r>
      <w:r>
        <w:rPr>
          <w:rFonts w:hint="eastAsia" w:ascii="Times New Roman" w:hAnsi="Times New Roman" w:eastAsia="仿宋_GB2312" w:cs="仿宋_GB2312"/>
          <w:bCs/>
          <w:color w:val="auto"/>
          <w:sz w:val="32"/>
          <w:szCs w:val="24"/>
        </w:rPr>
        <w:t>万元、</w:t>
      </w:r>
      <w:r>
        <w:rPr>
          <w:rFonts w:hint="eastAsia" w:ascii="Times New Roman" w:hAnsi="Times New Roman" w:eastAsia="仿宋_GB2312" w:cs="仿宋_GB2312"/>
          <w:bCs/>
          <w:color w:val="auto"/>
          <w:sz w:val="32"/>
          <w:szCs w:val="24"/>
          <w:lang w:eastAsia="zh-CN"/>
        </w:rPr>
        <w:t>30</w:t>
      </w:r>
      <w:r>
        <w:rPr>
          <w:rFonts w:hint="eastAsia" w:ascii="Times New Roman" w:hAnsi="Times New Roman" w:eastAsia="仿宋_GB2312" w:cs="仿宋_GB2312"/>
          <w:bCs/>
          <w:color w:val="auto"/>
          <w:sz w:val="32"/>
          <w:szCs w:val="24"/>
          <w:lang w:val="en-US" w:eastAsia="zh-CN"/>
        </w:rPr>
        <w:t>,</w:t>
      </w:r>
      <w:r>
        <w:rPr>
          <w:rFonts w:hint="eastAsia" w:ascii="Times New Roman" w:hAnsi="Times New Roman" w:eastAsia="仿宋_GB2312" w:cs="仿宋_GB2312"/>
          <w:bCs/>
          <w:color w:val="auto"/>
          <w:sz w:val="32"/>
          <w:szCs w:val="24"/>
          <w:lang w:eastAsia="zh-CN"/>
        </w:rPr>
        <w:t>97</w:t>
      </w:r>
      <w:r>
        <w:rPr>
          <w:rFonts w:hint="eastAsia" w:ascii="Times New Roman" w:hAnsi="Times New Roman" w:eastAsia="仿宋_GB2312" w:cs="仿宋_GB2312"/>
          <w:bCs/>
          <w:color w:val="auto"/>
          <w:sz w:val="32"/>
          <w:szCs w:val="24"/>
          <w:lang w:val="en-US" w:eastAsia="zh-CN"/>
        </w:rPr>
        <w:t>4万元、29,449万元</w:t>
      </w:r>
      <w:r>
        <w:rPr>
          <w:rFonts w:hint="eastAsia" w:ascii="Times New Roman" w:hAnsi="Times New Roman" w:eastAsia="仿宋_GB2312" w:cs="仿宋_GB2312"/>
          <w:bCs/>
          <w:color w:val="auto"/>
          <w:sz w:val="32"/>
          <w:szCs w:val="24"/>
        </w:rPr>
        <w:t>，</w:t>
      </w:r>
      <w:r>
        <w:rPr>
          <w:rFonts w:hint="eastAsia" w:ascii="Times New Roman" w:hAnsi="Times New Roman" w:eastAsia="仿宋_GB2312" w:cs="仿宋_GB2312"/>
          <w:bCs/>
          <w:color w:val="auto"/>
          <w:sz w:val="32"/>
          <w:szCs w:val="24"/>
          <w:lang w:eastAsia="zh-CN"/>
        </w:rPr>
        <w:t>分别</w:t>
      </w:r>
      <w:r>
        <w:rPr>
          <w:rFonts w:hint="eastAsia" w:ascii="Times New Roman" w:hAnsi="Times New Roman" w:eastAsia="仿宋_GB2312" w:cs="仿宋_GB2312"/>
          <w:bCs/>
          <w:color w:val="auto"/>
          <w:sz w:val="32"/>
          <w:szCs w:val="24"/>
        </w:rPr>
        <w:t>占公司当期披露净资产</w:t>
      </w:r>
      <w:r>
        <w:rPr>
          <w:rFonts w:hint="eastAsia" w:ascii="Times New Roman" w:hAnsi="Times New Roman" w:eastAsia="仿宋_GB2312" w:cs="仿宋_GB2312"/>
          <w:bCs/>
          <w:color w:val="auto"/>
          <w:sz w:val="32"/>
          <w:szCs w:val="24"/>
          <w:lang w:bidi="ar-SA"/>
        </w:rPr>
        <w:t>的</w:t>
      </w:r>
      <w:r>
        <w:rPr>
          <w:rFonts w:hint="eastAsia" w:ascii="Times New Roman" w:hAnsi="Times New Roman" w:eastAsia="仿宋_GB2312" w:cs="仿宋_GB2312"/>
          <w:bCs/>
          <w:color w:val="auto"/>
          <w:sz w:val="32"/>
          <w:szCs w:val="24"/>
          <w:lang w:val="en-US" w:eastAsia="zh-CN" w:bidi="ar-SA"/>
        </w:rPr>
        <w:t>8.43%、11.24%、10.77%</w:t>
      </w:r>
      <w:r>
        <w:rPr>
          <w:rFonts w:hint="eastAsia" w:ascii="Times New Roman" w:hAnsi="Times New Roman" w:eastAsia="仿宋_GB2312" w:cs="仿宋_GB2312"/>
          <w:bCs/>
          <w:color w:val="auto"/>
          <w:sz w:val="32"/>
          <w:szCs w:val="24"/>
          <w:lang w:bidi="ar-SA"/>
        </w:rPr>
        <w:t>。截至</w:t>
      </w:r>
      <w:r>
        <w:rPr>
          <w:rFonts w:hint="eastAsia" w:ascii="Times New Roman" w:hAnsi="Times New Roman" w:eastAsia="仿宋_GB2312" w:cs="仿宋_GB2312"/>
          <w:bCs/>
          <w:color w:val="auto"/>
          <w:sz w:val="32"/>
          <w:szCs w:val="24"/>
          <w:lang w:val="en-US" w:eastAsia="zh-CN" w:bidi="ar-SA"/>
        </w:rPr>
        <w:t>2024</w:t>
      </w:r>
      <w:r>
        <w:rPr>
          <w:rFonts w:hint="eastAsia" w:ascii="Times New Roman" w:hAnsi="Times New Roman" w:eastAsia="仿宋_GB2312" w:cs="仿宋_GB2312"/>
          <w:bCs/>
          <w:color w:val="auto"/>
          <w:sz w:val="32"/>
          <w:szCs w:val="24"/>
          <w:lang w:bidi="ar-SA"/>
        </w:rPr>
        <w:t>年</w:t>
      </w:r>
      <w:r>
        <w:rPr>
          <w:rFonts w:hint="eastAsia" w:ascii="Times New Roman" w:hAnsi="Times New Roman" w:eastAsia="仿宋_GB2312" w:cs="仿宋_GB2312"/>
          <w:bCs/>
          <w:color w:val="auto"/>
          <w:sz w:val="32"/>
          <w:szCs w:val="24"/>
          <w:lang w:val="en-US" w:eastAsia="zh-CN" w:bidi="ar-SA"/>
        </w:rPr>
        <w:t>12</w:t>
      </w:r>
      <w:r>
        <w:rPr>
          <w:rFonts w:hint="eastAsia" w:ascii="Times New Roman" w:hAnsi="Times New Roman" w:eastAsia="仿宋_GB2312" w:cs="仿宋_GB2312"/>
          <w:bCs/>
          <w:color w:val="auto"/>
          <w:sz w:val="32"/>
          <w:szCs w:val="24"/>
          <w:lang w:bidi="ar-SA"/>
        </w:rPr>
        <w:t>月，被占用资金已全部归还。</w:t>
      </w:r>
      <w:r>
        <w:rPr>
          <w:rFonts w:hint="eastAsia" w:ascii="Times New Roman" w:hAnsi="Times New Roman" w:eastAsia="仿宋_GB2312" w:cs="仿宋_GB2312"/>
          <w:bCs/>
          <w:color w:val="auto"/>
          <w:sz w:val="32"/>
          <w:szCs w:val="24"/>
          <w:lang w:eastAsia="zh-CN" w:bidi="ar-SA"/>
        </w:rPr>
        <w:t>瑞贝卡</w:t>
      </w:r>
      <w:r>
        <w:rPr>
          <w:rFonts w:hint="eastAsia" w:ascii="Times New Roman" w:hAnsi="Times New Roman" w:eastAsia="仿宋_GB2312" w:cs="仿宋_GB2312"/>
          <w:bCs/>
          <w:color w:val="auto"/>
          <w:sz w:val="32"/>
          <w:szCs w:val="24"/>
          <w:lang w:bidi="ar-SA"/>
        </w:rPr>
        <w:t>未</w:t>
      </w:r>
      <w:r>
        <w:rPr>
          <w:rFonts w:hint="eastAsia" w:ascii="Times New Roman" w:hAnsi="Times New Roman" w:eastAsia="仿宋_GB2312" w:cs="仿宋_GB2312"/>
          <w:bCs/>
          <w:color w:val="auto"/>
          <w:sz w:val="32"/>
          <w:szCs w:val="24"/>
          <w:lang w:eastAsia="zh-CN" w:bidi="ar-SA"/>
        </w:rPr>
        <w:t>根据</w:t>
      </w:r>
      <w:r>
        <w:rPr>
          <w:rFonts w:hint="eastAsia" w:ascii="Times New Roman" w:hAnsi="Times New Roman" w:eastAsia="仿宋_GB2312" w:cs="仿宋_GB2312"/>
          <w:bCs/>
          <w:color w:val="auto"/>
          <w:sz w:val="32"/>
          <w:szCs w:val="24"/>
          <w:lang w:val="en-US" w:eastAsia="zh-CN" w:bidi="ar-SA"/>
        </w:rPr>
        <w:t>《证券法》</w:t>
      </w:r>
      <w:r>
        <w:rPr>
          <w:rFonts w:hint="eastAsia" w:ascii="Times New Roman" w:hAnsi="Times New Roman" w:eastAsia="仿宋_GB2312" w:cs="仿宋_GB2312"/>
          <w:bCs/>
          <w:i w:val="0"/>
          <w:iCs w:val="0"/>
          <w:caps w:val="0"/>
          <w:color w:val="auto"/>
          <w:spacing w:val="0"/>
          <w:sz w:val="32"/>
          <w:szCs w:val="24"/>
          <w:shd w:val="clear" w:color="auto" w:fill="auto"/>
          <w:lang w:bidi="ar-SA"/>
        </w:rPr>
        <w:t>第七十八条</w:t>
      </w:r>
      <w:r>
        <w:rPr>
          <w:rFonts w:hint="eastAsia" w:ascii="Times New Roman" w:hAnsi="Times New Roman" w:eastAsia="仿宋_GB2312" w:cs="仿宋_GB2312"/>
          <w:bCs/>
          <w:i w:val="0"/>
          <w:iCs w:val="0"/>
          <w:caps w:val="0"/>
          <w:color w:val="auto"/>
          <w:spacing w:val="0"/>
          <w:sz w:val="32"/>
          <w:szCs w:val="24"/>
          <w:shd w:val="clear" w:color="auto" w:fill="auto"/>
          <w:lang w:eastAsia="zh-CN" w:bidi="ar-SA"/>
        </w:rPr>
        <w:t>第二款、第七十九条</w:t>
      </w:r>
      <w:r>
        <w:rPr>
          <w:rFonts w:hint="eastAsia" w:ascii="Times New Roman" w:hAnsi="Times New Roman" w:eastAsia="仿宋_GB2312" w:cs="仿宋_GB2312"/>
          <w:bCs/>
          <w:i w:val="0"/>
          <w:iCs w:val="0"/>
          <w:caps w:val="0"/>
          <w:color w:val="auto"/>
          <w:spacing w:val="0"/>
          <w:sz w:val="32"/>
          <w:szCs w:val="24"/>
          <w:shd w:val="clear" w:color="auto" w:fill="auto"/>
          <w:lang w:bidi="ar-SA"/>
        </w:rPr>
        <w:t>，</w:t>
      </w:r>
      <w:r>
        <w:rPr>
          <w:rFonts w:hint="eastAsia" w:ascii="Times New Roman" w:hAnsi="Times New Roman" w:eastAsia="仿宋_GB2312" w:cs="仿宋_GB2312"/>
          <w:bCs/>
          <w:color w:val="auto"/>
          <w:sz w:val="32"/>
          <w:szCs w:val="24"/>
          <w:lang w:bidi="ar-SA"/>
        </w:rPr>
        <w:t>《公开发行证券的公司信息披露内容与格式准则第2号</w:t>
      </w:r>
      <w:r>
        <w:rPr>
          <w:rFonts w:hint="eastAsia" w:ascii="Times New Roman" w:hAnsi="Times New Roman" w:eastAsia="仿宋_GB2312" w:cs="仿宋_GB2312"/>
          <w:bCs/>
          <w:color w:val="auto"/>
          <w:sz w:val="32"/>
          <w:szCs w:val="24"/>
          <w:lang w:eastAsia="zh-CN" w:bidi="ar-SA"/>
        </w:rPr>
        <w:t>——</w:t>
      </w:r>
      <w:r>
        <w:rPr>
          <w:rFonts w:hint="eastAsia" w:ascii="Times New Roman" w:hAnsi="Times New Roman" w:eastAsia="仿宋_GB2312" w:cs="仿宋_GB2312"/>
          <w:bCs/>
          <w:color w:val="auto"/>
          <w:sz w:val="32"/>
          <w:szCs w:val="24"/>
          <w:lang w:bidi="ar-SA"/>
        </w:rPr>
        <w:t>年度报告的内容与格式》</w:t>
      </w:r>
      <w:r>
        <w:rPr>
          <w:rFonts w:hint="eastAsia" w:ascii="Times New Roman" w:hAnsi="Times New Roman" w:eastAsia="仿宋_GB2312" w:cs="仿宋_GB2312"/>
          <w:bCs/>
          <w:color w:val="auto"/>
          <w:sz w:val="32"/>
          <w:szCs w:val="24"/>
          <w:lang w:eastAsia="zh-CN" w:bidi="ar-SA"/>
        </w:rPr>
        <w:t>（</w:t>
      </w:r>
      <w:r>
        <w:rPr>
          <w:rFonts w:hint="eastAsia" w:ascii="Times New Roman" w:hAnsi="Times New Roman" w:eastAsia="仿宋_GB2312" w:cs="仿宋_GB2312"/>
          <w:bCs/>
          <w:color w:val="auto"/>
          <w:sz w:val="32"/>
          <w:szCs w:val="24"/>
          <w:lang w:bidi="ar-SA"/>
        </w:rPr>
        <w:t>证监会公告〔2021〕15号</w:t>
      </w:r>
      <w:r>
        <w:rPr>
          <w:rFonts w:hint="eastAsia" w:ascii="Times New Roman" w:hAnsi="Times New Roman" w:eastAsia="仿宋_GB2312" w:cs="仿宋_GB2312"/>
          <w:bCs/>
          <w:color w:val="auto"/>
          <w:sz w:val="32"/>
          <w:szCs w:val="24"/>
          <w:lang w:eastAsia="zh-CN" w:bidi="ar-SA"/>
        </w:rPr>
        <w:t>）</w:t>
      </w:r>
      <w:r>
        <w:rPr>
          <w:rFonts w:hint="eastAsia" w:ascii="Times New Roman" w:hAnsi="Times New Roman" w:eastAsia="仿宋_GB2312" w:cs="仿宋_GB2312"/>
          <w:bCs/>
          <w:color w:val="auto"/>
          <w:sz w:val="32"/>
          <w:szCs w:val="24"/>
          <w:lang w:bidi="ar-SA"/>
        </w:rPr>
        <w:t>第四十五条第一款</w:t>
      </w:r>
      <w:r>
        <w:rPr>
          <w:rFonts w:hint="eastAsia" w:ascii="Times New Roman" w:hAnsi="Times New Roman" w:eastAsia="仿宋_GB2312" w:cs="仿宋_GB2312"/>
          <w:bCs/>
          <w:color w:val="auto"/>
          <w:sz w:val="32"/>
          <w:szCs w:val="24"/>
          <w:lang w:eastAsia="zh-CN" w:bidi="ar-SA"/>
        </w:rPr>
        <w:t>、</w:t>
      </w:r>
      <w:r>
        <w:rPr>
          <w:rFonts w:hint="eastAsia" w:ascii="Times New Roman" w:hAnsi="Times New Roman" w:eastAsia="仿宋_GB2312" w:cs="仿宋_GB2312"/>
          <w:bCs/>
          <w:i w:val="0"/>
          <w:iCs w:val="0"/>
          <w:caps w:val="0"/>
          <w:color w:val="auto"/>
          <w:spacing w:val="0"/>
          <w:sz w:val="32"/>
          <w:szCs w:val="24"/>
          <w:shd w:val="clear" w:color="auto" w:fill="auto"/>
          <w:lang w:bidi="ar-SA"/>
        </w:rPr>
        <w:t>第五十四条第六项</w:t>
      </w:r>
      <w:r>
        <w:rPr>
          <w:rFonts w:hint="eastAsia" w:ascii="Times New Roman" w:hAnsi="Times New Roman" w:eastAsia="仿宋_GB2312" w:cs="仿宋_GB2312"/>
          <w:bCs/>
          <w:i w:val="0"/>
          <w:iCs w:val="0"/>
          <w:caps w:val="0"/>
          <w:color w:val="auto"/>
          <w:spacing w:val="0"/>
          <w:sz w:val="32"/>
          <w:szCs w:val="24"/>
          <w:shd w:val="clear" w:color="auto" w:fill="auto"/>
          <w:lang w:eastAsia="zh-CN"/>
        </w:rPr>
        <w:t>、</w:t>
      </w:r>
      <w:r>
        <w:rPr>
          <w:rFonts w:hint="eastAsia" w:ascii="Times New Roman" w:hAnsi="Times New Roman" w:eastAsia="仿宋_GB2312" w:cs="仿宋_GB2312"/>
          <w:bCs/>
          <w:color w:val="auto"/>
          <w:sz w:val="32"/>
          <w:szCs w:val="24"/>
          <w:lang w:eastAsia="zh-CN"/>
        </w:rPr>
        <w:t>第五十七条，</w:t>
      </w:r>
      <w:r>
        <w:rPr>
          <w:rFonts w:hint="eastAsia" w:ascii="Times New Roman" w:hAnsi="Times New Roman" w:eastAsia="仿宋_GB2312" w:cs="仿宋_GB2312"/>
          <w:bCs/>
          <w:i w:val="0"/>
          <w:iCs w:val="0"/>
          <w:caps w:val="0"/>
          <w:color w:val="auto"/>
          <w:spacing w:val="0"/>
          <w:sz w:val="32"/>
          <w:szCs w:val="24"/>
          <w:shd w:val="clear" w:color="auto" w:fill="auto"/>
        </w:rPr>
        <w:t>《公开发行证券的公司信息披露内容与格式准则第3号——半年度报告的内容与格式》（证监会公告〔2021〕16号）第三十二条、第三十九条第六项</w:t>
      </w:r>
      <w:r>
        <w:rPr>
          <w:rFonts w:hint="eastAsia" w:ascii="Times New Roman" w:hAnsi="Times New Roman" w:eastAsia="仿宋_GB2312" w:cs="仿宋_GB2312"/>
          <w:bCs/>
          <w:i w:val="0"/>
          <w:iCs w:val="0"/>
          <w:caps w:val="0"/>
          <w:color w:val="auto"/>
          <w:spacing w:val="0"/>
          <w:sz w:val="32"/>
          <w:szCs w:val="24"/>
          <w:shd w:val="clear" w:color="auto" w:fill="auto"/>
          <w:lang w:eastAsia="zh-CN"/>
        </w:rPr>
        <w:t>、</w:t>
      </w:r>
      <w:r>
        <w:rPr>
          <w:rFonts w:hint="eastAsia" w:ascii="Times New Roman" w:hAnsi="Times New Roman" w:eastAsia="仿宋_GB2312" w:cs="仿宋_GB2312"/>
          <w:bCs/>
          <w:i w:val="0"/>
          <w:iCs w:val="0"/>
          <w:caps w:val="0"/>
          <w:color w:val="auto"/>
          <w:spacing w:val="0"/>
          <w:sz w:val="32"/>
          <w:szCs w:val="24"/>
          <w:shd w:val="clear" w:color="auto" w:fill="auto"/>
        </w:rPr>
        <w:t>第四十二条的规定，</w:t>
      </w:r>
      <w:r>
        <w:rPr>
          <w:rFonts w:hint="eastAsia" w:ascii="Times New Roman" w:hAnsi="Times New Roman" w:eastAsia="仿宋_GB2312" w:cs="仿宋_GB2312"/>
          <w:bCs/>
          <w:color w:val="auto"/>
          <w:sz w:val="32"/>
          <w:szCs w:val="24"/>
        </w:rPr>
        <w:t>在202</w:t>
      </w:r>
      <w:r>
        <w:rPr>
          <w:rFonts w:hint="eastAsia" w:ascii="Times New Roman" w:hAnsi="Times New Roman" w:eastAsia="仿宋_GB2312" w:cs="仿宋_GB2312"/>
          <w:bCs/>
          <w:color w:val="auto"/>
          <w:sz w:val="32"/>
          <w:szCs w:val="24"/>
          <w:lang w:val="en-US" w:eastAsia="zh-CN"/>
        </w:rPr>
        <w:t>2</w:t>
      </w:r>
      <w:r>
        <w:rPr>
          <w:rFonts w:hint="eastAsia" w:ascii="Times New Roman" w:hAnsi="Times New Roman" w:eastAsia="仿宋_GB2312" w:cs="仿宋_GB2312"/>
          <w:bCs/>
          <w:color w:val="auto"/>
          <w:sz w:val="32"/>
          <w:szCs w:val="24"/>
        </w:rPr>
        <w:t>年年度报告、2023年年度报告</w:t>
      </w:r>
      <w:r>
        <w:rPr>
          <w:rFonts w:hint="eastAsia" w:ascii="Times New Roman" w:hAnsi="Times New Roman" w:eastAsia="仿宋_GB2312" w:cs="仿宋_GB2312"/>
          <w:bCs/>
          <w:color w:val="auto"/>
          <w:sz w:val="32"/>
          <w:szCs w:val="24"/>
          <w:lang w:eastAsia="zh-CN"/>
        </w:rPr>
        <w:t>、</w:t>
      </w:r>
      <w:r>
        <w:rPr>
          <w:rFonts w:hint="eastAsia" w:ascii="Times New Roman" w:hAnsi="Times New Roman" w:eastAsia="仿宋_GB2312" w:cs="仿宋_GB2312"/>
          <w:bCs/>
          <w:color w:val="auto"/>
          <w:sz w:val="32"/>
          <w:szCs w:val="24"/>
          <w:lang w:val="en-US" w:eastAsia="zh-CN"/>
        </w:rPr>
        <w:t>2024年半年度报告</w:t>
      </w:r>
      <w:r>
        <w:rPr>
          <w:rFonts w:hint="eastAsia" w:ascii="Times New Roman" w:hAnsi="Times New Roman" w:eastAsia="仿宋_GB2312" w:cs="仿宋_GB2312"/>
          <w:bCs/>
          <w:color w:val="auto"/>
          <w:sz w:val="32"/>
          <w:szCs w:val="24"/>
        </w:rPr>
        <w:t>中披露上述关联交易及</w:t>
      </w:r>
      <w:r>
        <w:rPr>
          <w:rFonts w:hint="eastAsia" w:ascii="Times New Roman" w:hAnsi="Times New Roman" w:eastAsia="仿宋_GB2312" w:cs="仿宋_GB2312"/>
          <w:bCs/>
          <w:color w:val="auto"/>
          <w:sz w:val="32"/>
          <w:szCs w:val="24"/>
          <w:lang w:eastAsia="zh-CN"/>
        </w:rPr>
        <w:t>关联方</w:t>
      </w:r>
      <w:r>
        <w:rPr>
          <w:rFonts w:hint="eastAsia" w:ascii="Times New Roman" w:hAnsi="Times New Roman" w:eastAsia="仿宋_GB2312" w:cs="仿宋_GB2312"/>
          <w:bCs/>
          <w:color w:val="auto"/>
          <w:sz w:val="32"/>
          <w:szCs w:val="24"/>
        </w:rPr>
        <w:t>非经营性占用资金情</w:t>
      </w:r>
      <w:r>
        <w:rPr>
          <w:rFonts w:hint="eastAsia" w:ascii="Times New Roman" w:hAnsi="Times New Roman" w:eastAsia="仿宋_GB2312" w:cs="仿宋_GB2312"/>
          <w:bCs/>
          <w:color w:val="auto"/>
          <w:sz w:val="32"/>
          <w:szCs w:val="24"/>
          <w:lang w:eastAsia="zh-CN"/>
        </w:rPr>
        <w:t>况。</w:t>
      </w:r>
    </w:p>
    <w:p>
      <w:pPr>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Times New Roman" w:hAnsi="Times New Roman" w:eastAsia="仿宋_GB2312" w:cs="仿宋_GB2312"/>
          <w:bCs/>
          <w:color w:val="auto"/>
          <w:sz w:val="32"/>
          <w:szCs w:val="24"/>
        </w:rPr>
      </w:pPr>
      <w:r>
        <w:rPr>
          <w:rFonts w:hint="eastAsia" w:ascii="Times New Roman" w:hAnsi="Times New Roman" w:eastAsia="仿宋_GB2312" w:cs="仿宋_GB2312"/>
          <w:bCs/>
          <w:color w:val="auto"/>
          <w:sz w:val="32"/>
          <w:szCs w:val="24"/>
        </w:rPr>
        <w:t>20</w:t>
      </w:r>
      <w:r>
        <w:rPr>
          <w:rFonts w:hint="eastAsia" w:ascii="Times New Roman" w:hAnsi="Times New Roman" w:eastAsia="仿宋_GB2312" w:cs="仿宋_GB2312"/>
          <w:bCs/>
          <w:color w:val="auto"/>
          <w:sz w:val="32"/>
          <w:szCs w:val="24"/>
          <w:lang w:eastAsia="zh-CN"/>
        </w:rPr>
        <w:t>2</w:t>
      </w:r>
      <w:r>
        <w:rPr>
          <w:rFonts w:hint="eastAsia" w:ascii="Times New Roman" w:hAnsi="Times New Roman" w:eastAsia="仿宋_GB2312" w:cs="仿宋_GB2312"/>
          <w:bCs/>
          <w:color w:val="auto"/>
          <w:sz w:val="32"/>
          <w:szCs w:val="24"/>
          <w:lang w:val="en-US" w:eastAsia="zh-CN"/>
        </w:rPr>
        <w:t>2</w:t>
      </w:r>
      <w:r>
        <w:rPr>
          <w:rFonts w:hint="eastAsia" w:ascii="Times New Roman" w:hAnsi="Times New Roman" w:eastAsia="仿宋_GB2312" w:cs="仿宋_GB2312"/>
          <w:bCs/>
          <w:color w:val="auto"/>
          <w:sz w:val="32"/>
          <w:szCs w:val="24"/>
          <w:lang w:eastAsia="zh-CN"/>
        </w:rPr>
        <w:t>年</w:t>
      </w:r>
      <w:r>
        <w:rPr>
          <w:rFonts w:hint="eastAsia" w:ascii="Times New Roman" w:hAnsi="Times New Roman" w:eastAsia="仿宋_GB2312" w:cs="仿宋_GB2312"/>
          <w:bCs/>
          <w:color w:val="auto"/>
          <w:sz w:val="32"/>
          <w:szCs w:val="24"/>
          <w:lang w:val="en-US" w:eastAsia="zh-CN"/>
        </w:rPr>
        <w:t>12月至2024年6月，</w:t>
      </w:r>
      <w:r>
        <w:rPr>
          <w:rFonts w:hint="eastAsia" w:ascii="Times New Roman" w:hAnsi="Times New Roman" w:eastAsia="仿宋_GB2312" w:cs="仿宋_GB2312"/>
          <w:bCs/>
          <w:color w:val="auto"/>
          <w:sz w:val="32"/>
          <w:szCs w:val="24"/>
          <w:lang w:eastAsia="zh-CN"/>
        </w:rPr>
        <w:t>瑞贝卡为隐瞒上述非经营性资金占用事实，通过虚构资金入账、资金往来不记账等方式虚增货币资金，导致202</w:t>
      </w:r>
      <w:r>
        <w:rPr>
          <w:rFonts w:hint="eastAsia" w:ascii="Times New Roman" w:hAnsi="Times New Roman" w:eastAsia="仿宋_GB2312" w:cs="仿宋_GB2312"/>
          <w:bCs/>
          <w:color w:val="auto"/>
          <w:sz w:val="32"/>
          <w:szCs w:val="24"/>
          <w:lang w:val="en-US" w:eastAsia="zh-CN"/>
        </w:rPr>
        <w:t>2</w:t>
      </w:r>
      <w:r>
        <w:rPr>
          <w:rFonts w:hint="eastAsia" w:ascii="Times New Roman" w:hAnsi="Times New Roman" w:eastAsia="仿宋_GB2312" w:cs="仿宋_GB2312"/>
          <w:bCs/>
          <w:color w:val="auto"/>
          <w:sz w:val="32"/>
          <w:szCs w:val="24"/>
          <w:lang w:eastAsia="zh-CN"/>
        </w:rPr>
        <w:t>年年度报告、2023年年度报告、</w:t>
      </w:r>
      <w:r>
        <w:rPr>
          <w:rFonts w:hint="eastAsia" w:ascii="Times New Roman" w:hAnsi="Times New Roman" w:eastAsia="仿宋_GB2312" w:cs="仿宋_GB2312"/>
          <w:bCs/>
          <w:color w:val="auto"/>
          <w:sz w:val="32"/>
          <w:szCs w:val="24"/>
          <w:lang w:val="en-US" w:eastAsia="zh-CN"/>
        </w:rPr>
        <w:t>2024年半年度报告分别</w:t>
      </w:r>
      <w:r>
        <w:rPr>
          <w:rFonts w:hint="eastAsia" w:ascii="Times New Roman" w:hAnsi="Times New Roman" w:eastAsia="仿宋_GB2312" w:cs="仿宋_GB2312"/>
          <w:bCs/>
          <w:color w:val="auto"/>
          <w:sz w:val="32"/>
          <w:szCs w:val="24"/>
          <w:lang w:eastAsia="zh-CN"/>
        </w:rPr>
        <w:t>虚增货币资金2</w:t>
      </w:r>
      <w:r>
        <w:rPr>
          <w:rFonts w:hint="eastAsia" w:ascii="Times New Roman" w:hAnsi="Times New Roman" w:eastAsia="仿宋_GB2312" w:cs="仿宋_GB2312"/>
          <w:bCs/>
          <w:color w:val="auto"/>
          <w:sz w:val="32"/>
          <w:szCs w:val="24"/>
          <w:lang w:val="en-US" w:eastAsia="zh-CN"/>
        </w:rPr>
        <w:t>2,850</w:t>
      </w:r>
      <w:r>
        <w:rPr>
          <w:rFonts w:hint="eastAsia" w:ascii="Times New Roman" w:hAnsi="Times New Roman" w:eastAsia="仿宋_GB2312" w:cs="仿宋_GB2312"/>
          <w:bCs/>
          <w:color w:val="auto"/>
          <w:sz w:val="32"/>
          <w:szCs w:val="24"/>
          <w:lang w:eastAsia="zh-CN"/>
        </w:rPr>
        <w:t>万元、3</w:t>
      </w:r>
      <w:r>
        <w:rPr>
          <w:rFonts w:hint="eastAsia" w:ascii="Times New Roman" w:hAnsi="Times New Roman" w:eastAsia="仿宋_GB2312" w:cs="仿宋_GB2312"/>
          <w:bCs/>
          <w:color w:val="auto"/>
          <w:sz w:val="32"/>
          <w:szCs w:val="24"/>
          <w:lang w:val="en-US" w:eastAsia="zh-CN"/>
        </w:rPr>
        <w:t>0,974万元、29,449万元，</w:t>
      </w:r>
      <w:r>
        <w:rPr>
          <w:rFonts w:hint="eastAsia" w:ascii="Times New Roman" w:hAnsi="Times New Roman" w:eastAsia="仿宋_GB2312" w:cs="仿宋_GB2312"/>
          <w:bCs/>
          <w:color w:val="auto"/>
          <w:sz w:val="32"/>
          <w:szCs w:val="24"/>
        </w:rPr>
        <w:t>分别占公司当期披露资产</w:t>
      </w:r>
      <w:r>
        <w:rPr>
          <w:rFonts w:hint="eastAsia" w:ascii="Times New Roman" w:hAnsi="Times New Roman" w:eastAsia="仿宋_GB2312" w:cs="仿宋_GB2312"/>
          <w:bCs/>
          <w:color w:val="auto"/>
          <w:sz w:val="32"/>
          <w:szCs w:val="24"/>
          <w:lang w:eastAsia="zh-CN"/>
        </w:rPr>
        <w:t>总额</w:t>
      </w:r>
      <w:r>
        <w:rPr>
          <w:rFonts w:hint="eastAsia" w:ascii="Times New Roman" w:hAnsi="Times New Roman" w:eastAsia="仿宋_GB2312" w:cs="仿宋_GB2312"/>
          <w:bCs/>
          <w:color w:val="auto"/>
          <w:sz w:val="32"/>
          <w:szCs w:val="24"/>
        </w:rPr>
        <w:t>的</w:t>
      </w:r>
      <w:r>
        <w:rPr>
          <w:rFonts w:hint="eastAsia" w:ascii="Times New Roman" w:hAnsi="Times New Roman" w:eastAsia="仿宋_GB2312" w:cs="仿宋_GB2312"/>
          <w:bCs/>
          <w:color w:val="auto"/>
          <w:sz w:val="32"/>
          <w:szCs w:val="24"/>
          <w:highlight w:val="none"/>
          <w:lang w:val="en-US" w:eastAsia="zh-CN"/>
        </w:rPr>
        <w:t>4.35</w:t>
      </w:r>
      <w:r>
        <w:rPr>
          <w:rFonts w:hint="eastAsia" w:ascii="Times New Roman" w:hAnsi="Times New Roman" w:eastAsia="仿宋_GB2312" w:cs="仿宋_GB2312"/>
          <w:bCs/>
          <w:color w:val="auto"/>
          <w:sz w:val="32"/>
          <w:szCs w:val="24"/>
          <w:lang w:val="en-US" w:eastAsia="zh-CN"/>
        </w:rPr>
        <w:t>%、</w:t>
      </w:r>
      <w:r>
        <w:rPr>
          <w:rFonts w:hint="eastAsia" w:ascii="Times New Roman" w:hAnsi="Times New Roman" w:eastAsia="仿宋_GB2312" w:cs="仿宋_GB2312"/>
          <w:bCs/>
          <w:color w:val="auto"/>
          <w:sz w:val="32"/>
          <w:szCs w:val="24"/>
          <w:highlight w:val="none"/>
          <w:lang w:val="en-US" w:eastAsia="zh-CN"/>
        </w:rPr>
        <w:t>5.86</w:t>
      </w:r>
      <w:r>
        <w:rPr>
          <w:rFonts w:hint="eastAsia" w:ascii="Times New Roman" w:hAnsi="Times New Roman" w:eastAsia="仿宋_GB2312" w:cs="仿宋_GB2312"/>
          <w:bCs/>
          <w:color w:val="auto"/>
          <w:sz w:val="32"/>
          <w:szCs w:val="24"/>
          <w:lang w:val="en-US" w:eastAsia="zh-CN"/>
        </w:rPr>
        <w:t>%、</w:t>
      </w:r>
      <w:r>
        <w:rPr>
          <w:rFonts w:hint="eastAsia" w:ascii="Times New Roman" w:hAnsi="Times New Roman" w:eastAsia="仿宋_GB2312" w:cs="仿宋_GB2312"/>
          <w:bCs/>
          <w:color w:val="auto"/>
          <w:sz w:val="32"/>
          <w:szCs w:val="24"/>
          <w:highlight w:val="none"/>
          <w:lang w:val="en-US" w:eastAsia="zh-CN"/>
        </w:rPr>
        <w:t>5.64</w:t>
      </w:r>
      <w:r>
        <w:rPr>
          <w:rFonts w:hint="eastAsia" w:ascii="Times New Roman" w:hAnsi="Times New Roman" w:eastAsia="仿宋_GB2312" w:cs="仿宋_GB2312"/>
          <w:bCs/>
          <w:color w:val="auto"/>
          <w:sz w:val="32"/>
          <w:szCs w:val="24"/>
          <w:lang w:val="en-US" w:eastAsia="zh-CN"/>
        </w:rPr>
        <w:t>%</w:t>
      </w:r>
      <w:r>
        <w:rPr>
          <w:rFonts w:hint="eastAsia" w:ascii="Times New Roman" w:hAnsi="Times New Roman" w:eastAsia="仿宋_GB2312" w:cs="仿宋_GB2312"/>
          <w:bCs/>
          <w:color w:val="auto"/>
          <w:sz w:val="32"/>
          <w:szCs w:val="24"/>
        </w:rPr>
        <w:t>。</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shd w:val="clear" w:color="auto" w:fill="auto"/>
        </w:rPr>
      </w:pPr>
      <w:r>
        <w:rPr>
          <w:rFonts w:hint="eastAsia" w:ascii="Times New Roman" w:hAnsi="Times New Roman" w:eastAsia="仿宋_GB2312" w:cs="仿宋_GB2312"/>
          <w:bCs/>
          <w:color w:val="auto"/>
          <w:sz w:val="32"/>
          <w:szCs w:val="24"/>
          <w:lang w:eastAsia="zh-CN"/>
        </w:rPr>
        <w:t>瑞贝卡</w:t>
      </w:r>
      <w:r>
        <w:rPr>
          <w:rFonts w:hint="eastAsia" w:ascii="Times New Roman" w:hAnsi="Times New Roman" w:eastAsia="仿宋_GB2312" w:cs="仿宋_GB2312"/>
          <w:bCs/>
          <w:color w:val="auto"/>
          <w:sz w:val="32"/>
          <w:szCs w:val="24"/>
        </w:rPr>
        <w:t>202</w:t>
      </w:r>
      <w:r>
        <w:rPr>
          <w:rFonts w:hint="eastAsia" w:ascii="Times New Roman" w:hAnsi="Times New Roman" w:eastAsia="仿宋_GB2312" w:cs="仿宋_GB2312"/>
          <w:bCs/>
          <w:color w:val="auto"/>
          <w:sz w:val="32"/>
          <w:szCs w:val="24"/>
          <w:lang w:val="en-US" w:eastAsia="zh-CN"/>
        </w:rPr>
        <w:t>2</w:t>
      </w:r>
      <w:r>
        <w:rPr>
          <w:rFonts w:hint="eastAsia" w:ascii="Times New Roman" w:hAnsi="Times New Roman" w:eastAsia="仿宋_GB2312" w:cs="仿宋_GB2312"/>
          <w:bCs/>
          <w:color w:val="auto"/>
          <w:sz w:val="32"/>
          <w:szCs w:val="24"/>
        </w:rPr>
        <w:t>年年度报告、2023年年度报告</w:t>
      </w:r>
      <w:r>
        <w:rPr>
          <w:rFonts w:hint="eastAsia" w:ascii="Times New Roman" w:hAnsi="Times New Roman" w:eastAsia="仿宋_GB2312" w:cs="仿宋_GB2312"/>
          <w:bCs/>
          <w:color w:val="auto"/>
          <w:sz w:val="32"/>
          <w:szCs w:val="24"/>
          <w:lang w:eastAsia="zh-CN"/>
        </w:rPr>
        <w:t>、</w:t>
      </w:r>
      <w:r>
        <w:rPr>
          <w:rFonts w:hint="eastAsia" w:ascii="Times New Roman" w:hAnsi="Times New Roman" w:eastAsia="仿宋_GB2312" w:cs="仿宋_GB2312"/>
          <w:bCs/>
          <w:color w:val="auto"/>
          <w:sz w:val="32"/>
          <w:szCs w:val="24"/>
          <w:lang w:val="en-US" w:eastAsia="zh-CN"/>
        </w:rPr>
        <w:t>2024年半年度报告</w:t>
      </w:r>
      <w:r>
        <w:rPr>
          <w:rFonts w:hint="default" w:ascii="Times New Roman" w:hAnsi="Times New Roman" w:eastAsia="仿宋_GB2312" w:cs="仿宋_GB2312"/>
          <w:bCs/>
          <w:color w:val="auto"/>
          <w:sz w:val="32"/>
          <w:szCs w:val="24"/>
        </w:rPr>
        <w:t>中未披露上述关联交易及</w:t>
      </w:r>
      <w:r>
        <w:rPr>
          <w:rFonts w:hint="eastAsia" w:ascii="Times New Roman" w:hAnsi="Times New Roman" w:eastAsia="仿宋_GB2312" w:cs="仿宋_GB2312"/>
          <w:bCs/>
          <w:color w:val="auto"/>
          <w:sz w:val="32"/>
          <w:szCs w:val="24"/>
          <w:lang w:eastAsia="zh-CN"/>
        </w:rPr>
        <w:t>关联方</w:t>
      </w:r>
      <w:r>
        <w:rPr>
          <w:rFonts w:hint="default" w:ascii="Times New Roman" w:hAnsi="Times New Roman" w:eastAsia="仿宋_GB2312" w:cs="仿宋_GB2312"/>
          <w:bCs/>
          <w:color w:val="auto"/>
          <w:sz w:val="32"/>
          <w:szCs w:val="24"/>
        </w:rPr>
        <w:t>非经营</w:t>
      </w:r>
      <w:r>
        <w:rPr>
          <w:rFonts w:hint="eastAsia" w:ascii="Times New Roman" w:hAnsi="Times New Roman" w:eastAsia="仿宋_GB2312" w:cs="仿宋_GB2312"/>
          <w:bCs/>
          <w:color w:val="auto"/>
          <w:sz w:val="32"/>
          <w:szCs w:val="24"/>
        </w:rPr>
        <w:t>性占用资金情</w:t>
      </w:r>
      <w:r>
        <w:rPr>
          <w:rFonts w:hint="eastAsia" w:ascii="Times New Roman" w:hAnsi="Times New Roman" w:eastAsia="仿宋_GB2312" w:cs="仿宋_GB2312"/>
          <w:bCs/>
          <w:color w:val="auto"/>
          <w:sz w:val="32"/>
          <w:szCs w:val="24"/>
          <w:lang w:eastAsia="zh-CN"/>
        </w:rPr>
        <w:t>况，存在重大</w:t>
      </w:r>
      <w:r>
        <w:rPr>
          <w:rFonts w:hint="eastAsia" w:ascii="Times New Roman" w:hAnsi="Times New Roman" w:eastAsia="仿宋_GB2312" w:cs="仿宋_GB2312"/>
          <w:bCs/>
          <w:color w:val="auto"/>
          <w:sz w:val="32"/>
          <w:szCs w:val="24"/>
        </w:rPr>
        <w:t>遗漏</w:t>
      </w:r>
      <w:r>
        <w:rPr>
          <w:rFonts w:hint="eastAsia" w:ascii="Times New Roman" w:hAnsi="Times New Roman" w:eastAsia="仿宋_GB2312" w:cs="仿宋_GB2312"/>
          <w:bCs/>
          <w:color w:val="auto"/>
          <w:sz w:val="32"/>
          <w:szCs w:val="24"/>
          <w:shd w:val="clear" w:color="auto" w:fill="auto"/>
          <w:lang w:eastAsia="zh-CN"/>
        </w:rPr>
        <w:t>，</w:t>
      </w:r>
      <w:r>
        <w:rPr>
          <w:rFonts w:hint="eastAsia" w:ascii="Times New Roman" w:hAnsi="Times New Roman" w:eastAsia="仿宋_GB2312" w:cs="仿宋_GB2312"/>
          <w:bCs/>
          <w:color w:val="auto"/>
          <w:sz w:val="32"/>
          <w:szCs w:val="24"/>
          <w:lang w:val="en-US" w:eastAsia="zh-CN"/>
        </w:rPr>
        <w:t>虚增货币资金，存在虚假记载，违反了《证券法》</w:t>
      </w:r>
      <w:r>
        <w:rPr>
          <w:rFonts w:hint="eastAsia" w:ascii="Times New Roman" w:hAnsi="Times New Roman" w:eastAsia="仿宋_GB2312" w:cs="仿宋_GB2312"/>
          <w:bCs/>
          <w:i w:val="0"/>
          <w:iCs w:val="0"/>
          <w:caps w:val="0"/>
          <w:color w:val="auto"/>
          <w:spacing w:val="0"/>
          <w:sz w:val="32"/>
          <w:szCs w:val="24"/>
          <w:shd w:val="clear" w:color="auto" w:fill="auto"/>
        </w:rPr>
        <w:t>第七十八条</w:t>
      </w:r>
      <w:r>
        <w:rPr>
          <w:rFonts w:hint="eastAsia" w:ascii="Times New Roman" w:hAnsi="Times New Roman" w:eastAsia="仿宋_GB2312" w:cs="仿宋_GB2312"/>
          <w:bCs/>
          <w:i w:val="0"/>
          <w:iCs w:val="0"/>
          <w:caps w:val="0"/>
          <w:color w:val="auto"/>
          <w:spacing w:val="0"/>
          <w:sz w:val="32"/>
          <w:szCs w:val="24"/>
          <w:shd w:val="clear" w:color="auto" w:fill="auto"/>
          <w:lang w:eastAsia="zh-CN"/>
        </w:rPr>
        <w:t>第二款的规定，</w:t>
      </w:r>
      <w:r>
        <w:rPr>
          <w:rFonts w:hint="eastAsia" w:ascii="Times New Roman" w:hAnsi="Times New Roman" w:eastAsia="仿宋_GB2312" w:cs="仿宋_GB2312"/>
          <w:bCs/>
          <w:i w:val="0"/>
          <w:iCs w:val="0"/>
          <w:caps w:val="0"/>
          <w:color w:val="auto"/>
          <w:spacing w:val="0"/>
          <w:sz w:val="32"/>
          <w:szCs w:val="24"/>
          <w:shd w:val="clear" w:color="auto" w:fill="auto"/>
        </w:rPr>
        <w:t>构成《证券法》第一百九十七条第二款所述违法行为。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黑体" w:cs="黑体"/>
          <w:bCs/>
          <w:color w:val="auto"/>
          <w:sz w:val="32"/>
          <w:szCs w:val="24"/>
          <w:lang w:val="en-US" w:eastAsia="zh-CN"/>
        </w:rPr>
        <w:t>二、瑞贝卡</w:t>
      </w:r>
      <w:r>
        <w:rPr>
          <w:rFonts w:hint="default" w:ascii="Times New Roman" w:hAnsi="Times New Roman" w:eastAsia="黑体" w:cs="黑体"/>
          <w:bCs/>
          <w:color w:val="auto"/>
          <w:sz w:val="32"/>
          <w:szCs w:val="24"/>
          <w:lang w:val="en-US" w:eastAsia="zh-CN"/>
        </w:rPr>
        <w:t>未</w:t>
      </w:r>
      <w:r>
        <w:rPr>
          <w:rFonts w:hint="eastAsia" w:ascii="Times New Roman" w:hAnsi="Times New Roman" w:eastAsia="黑体" w:cs="黑体"/>
          <w:bCs/>
          <w:color w:val="auto"/>
          <w:sz w:val="32"/>
          <w:szCs w:val="24"/>
          <w:lang w:val="en-US" w:eastAsia="zh-CN"/>
        </w:rPr>
        <w:t>按规定</w:t>
      </w:r>
      <w:r>
        <w:rPr>
          <w:rFonts w:hint="default" w:ascii="Times New Roman" w:hAnsi="Times New Roman" w:eastAsia="黑体" w:cs="黑体"/>
          <w:bCs/>
          <w:color w:val="auto"/>
          <w:sz w:val="32"/>
          <w:szCs w:val="24"/>
          <w:lang w:val="en-US" w:eastAsia="zh-CN"/>
        </w:rPr>
        <w:t>及时披露非经营性资金占用关联交易</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highlight w:val="none"/>
          <w:lang w:val="en-US" w:eastAsia="zh-CN"/>
        </w:rPr>
      </w:pPr>
      <w:r>
        <w:rPr>
          <w:rFonts w:hint="eastAsia" w:ascii="Times New Roman" w:hAnsi="Times New Roman" w:eastAsia="仿宋_GB2312" w:cs="仿宋_GB2312"/>
          <w:bCs/>
          <w:color w:val="auto"/>
          <w:sz w:val="32"/>
          <w:szCs w:val="24"/>
          <w:lang w:val="en-US" w:eastAsia="zh-CN"/>
        </w:rPr>
        <w:t>2022年至2025年6月，瑞贝卡及工艺公司向瑞贝卡控股等关联方划转资金，或代瑞贝卡控</w:t>
      </w:r>
      <w:r>
        <w:rPr>
          <w:rFonts w:hint="eastAsia" w:ascii="Times New Roman" w:hAnsi="Times New Roman" w:eastAsia="仿宋_GB2312" w:cs="仿宋_GB2312"/>
          <w:bCs/>
          <w:color w:val="auto"/>
          <w:sz w:val="32"/>
          <w:szCs w:val="24"/>
          <w:highlight w:val="none"/>
          <w:lang w:val="en-US" w:eastAsia="zh-CN"/>
        </w:rPr>
        <w:t>股偿还债务，构成关联方非经营性资金占用</w:t>
      </w:r>
      <w:r>
        <w:rPr>
          <w:rFonts w:hint="eastAsia" w:ascii="Times New Roman" w:hAnsi="Times New Roman" w:eastAsia="仿宋_GB2312" w:cs="仿宋_GB2312"/>
          <w:bCs/>
          <w:color w:val="auto"/>
          <w:sz w:val="32"/>
          <w:szCs w:val="24"/>
          <w:highlight w:val="none"/>
          <w:lang w:eastAsia="zh-CN"/>
        </w:rPr>
        <w:t>相关关联交易</w:t>
      </w:r>
      <w:r>
        <w:rPr>
          <w:rFonts w:hint="eastAsia" w:ascii="Times New Roman" w:hAnsi="Times New Roman" w:eastAsia="仿宋_GB2312" w:cs="仿宋_GB2312"/>
          <w:bCs/>
          <w:color w:val="auto"/>
          <w:sz w:val="32"/>
          <w:szCs w:val="24"/>
          <w:highlight w:val="none"/>
          <w:lang w:val="en-US" w:eastAsia="zh-CN"/>
        </w:rPr>
        <w:t>。</w:t>
      </w:r>
      <w:r>
        <w:rPr>
          <w:rFonts w:hint="eastAsia" w:ascii="Times New Roman" w:hAnsi="Times New Roman" w:eastAsia="仿宋_GB2312" w:cs="仿宋_GB2312"/>
          <w:bCs/>
          <w:color w:val="auto"/>
          <w:sz w:val="32"/>
          <w:szCs w:val="24"/>
        </w:rPr>
        <w:t>2022年、2023年、2024</w:t>
      </w:r>
      <w:r>
        <w:rPr>
          <w:rFonts w:hint="eastAsia" w:ascii="Times New Roman" w:hAnsi="Times New Roman" w:eastAsia="仿宋_GB2312" w:cs="仿宋_GB2312"/>
          <w:bCs/>
          <w:color w:val="auto"/>
          <w:sz w:val="32"/>
          <w:szCs w:val="24"/>
          <w:lang w:eastAsia="zh-CN"/>
        </w:rPr>
        <w:t>年</w:t>
      </w:r>
      <w:r>
        <w:rPr>
          <w:rFonts w:hint="eastAsia" w:ascii="Times New Roman" w:hAnsi="Times New Roman" w:eastAsia="仿宋_GB2312" w:cs="仿宋_GB2312"/>
          <w:bCs/>
          <w:color w:val="auto"/>
          <w:sz w:val="32"/>
          <w:szCs w:val="24"/>
        </w:rPr>
        <w:t>、2025年上半年发生额分别</w:t>
      </w:r>
      <w:r>
        <w:rPr>
          <w:rFonts w:hint="eastAsia" w:ascii="Times New Roman" w:hAnsi="Times New Roman" w:eastAsia="仿宋_GB2312" w:cs="仿宋_GB2312"/>
          <w:bCs/>
          <w:color w:val="auto"/>
          <w:sz w:val="32"/>
          <w:szCs w:val="24"/>
          <w:lang w:eastAsia="zh-CN"/>
        </w:rPr>
        <w:t>为</w:t>
      </w:r>
      <w:r>
        <w:rPr>
          <w:rFonts w:hint="eastAsia" w:ascii="Times New Roman" w:hAnsi="Times New Roman" w:eastAsia="仿宋_GB2312" w:cs="仿宋_GB2312"/>
          <w:bCs/>
          <w:color w:val="auto"/>
          <w:sz w:val="32"/>
          <w:szCs w:val="24"/>
        </w:rPr>
        <w:t>114,550万元、123,329.11万元、118,249万元、31,686.86万元</w:t>
      </w:r>
      <w:r>
        <w:rPr>
          <w:rFonts w:hint="eastAsia" w:ascii="Times New Roman" w:hAnsi="Times New Roman" w:eastAsia="仿宋_GB2312" w:cs="仿宋_GB2312"/>
          <w:bCs/>
          <w:color w:val="auto"/>
          <w:sz w:val="32"/>
          <w:szCs w:val="24"/>
          <w:highlight w:val="none"/>
          <w:lang w:val="en-US" w:eastAsia="zh-CN"/>
        </w:rPr>
        <w:t>，分别占公司最近一期经审计净资产的41.05%、43.60%、42.89%、12.06%。截至2025年6</w:t>
      </w:r>
      <w:r>
        <w:rPr>
          <w:rFonts w:hint="eastAsia" w:ascii="Times New Roman" w:hAnsi="Times New Roman" w:eastAsia="仿宋_GB2312" w:cs="仿宋_GB2312"/>
          <w:bCs/>
          <w:color w:val="auto"/>
          <w:sz w:val="32"/>
          <w:szCs w:val="24"/>
          <w:highlight w:val="none"/>
          <w:lang w:eastAsia="zh-CN"/>
        </w:rPr>
        <w:t>月，被占用资金已全部归还。</w:t>
      </w:r>
      <w:r>
        <w:rPr>
          <w:rFonts w:hint="eastAsia" w:ascii="Times New Roman" w:hAnsi="Times New Roman" w:eastAsia="仿宋_GB2312" w:cs="仿宋_GB2312"/>
          <w:bCs/>
          <w:i w:val="0"/>
          <w:iCs w:val="0"/>
          <w:caps w:val="0"/>
          <w:color w:val="auto"/>
          <w:spacing w:val="0"/>
          <w:sz w:val="32"/>
          <w:szCs w:val="24"/>
          <w:highlight w:val="none"/>
          <w:shd w:val="clear" w:color="auto" w:fill="auto"/>
        </w:rPr>
        <w:t>根据《证券法》第七十八条第一款、第八十条第一款及第二款第三项</w:t>
      </w:r>
      <w:r>
        <w:rPr>
          <w:rFonts w:hint="eastAsia" w:ascii="Times New Roman" w:hAnsi="Times New Roman" w:eastAsia="仿宋_GB2312" w:cs="仿宋_GB2312"/>
          <w:bCs/>
          <w:i w:val="0"/>
          <w:iCs w:val="0"/>
          <w:caps w:val="0"/>
          <w:color w:val="auto"/>
          <w:spacing w:val="0"/>
          <w:sz w:val="32"/>
          <w:szCs w:val="24"/>
          <w:highlight w:val="none"/>
          <w:shd w:val="clear" w:color="auto" w:fill="auto"/>
          <w:lang w:eastAsia="zh-CN"/>
        </w:rPr>
        <w:t>的</w:t>
      </w:r>
      <w:r>
        <w:rPr>
          <w:rFonts w:hint="eastAsia" w:ascii="Times New Roman" w:hAnsi="Times New Roman" w:eastAsia="仿宋_GB2312" w:cs="仿宋_GB2312"/>
          <w:bCs/>
          <w:i w:val="0"/>
          <w:iCs w:val="0"/>
          <w:caps w:val="0"/>
          <w:color w:val="auto"/>
          <w:spacing w:val="0"/>
          <w:sz w:val="32"/>
          <w:szCs w:val="24"/>
          <w:highlight w:val="none"/>
          <w:shd w:val="clear" w:color="auto" w:fill="auto"/>
        </w:rPr>
        <w:t>规定，上述事项属于应当及时披露的关联交易，</w:t>
      </w:r>
      <w:r>
        <w:rPr>
          <w:rFonts w:hint="eastAsia" w:ascii="Times New Roman" w:hAnsi="Times New Roman" w:eastAsia="仿宋_GB2312" w:cs="仿宋_GB2312"/>
          <w:bCs/>
          <w:color w:val="auto"/>
          <w:sz w:val="32"/>
          <w:szCs w:val="24"/>
          <w:highlight w:val="none"/>
          <w:lang w:eastAsia="zh-CN"/>
        </w:rPr>
        <w:t>瑞贝卡未按规定及时披露上述关联</w:t>
      </w:r>
      <w:r>
        <w:rPr>
          <w:rFonts w:hint="eastAsia" w:ascii="Times New Roman" w:hAnsi="Times New Roman" w:eastAsia="仿宋_GB2312" w:cs="仿宋_GB2312"/>
          <w:bCs/>
          <w:color w:val="auto"/>
          <w:sz w:val="32"/>
          <w:szCs w:val="24"/>
          <w:highlight w:val="none"/>
          <w:lang w:val="en-US" w:eastAsia="zh-CN"/>
        </w:rPr>
        <w:t>交易</w:t>
      </w:r>
      <w:r>
        <w:rPr>
          <w:rFonts w:hint="eastAsia" w:ascii="Times New Roman" w:hAnsi="Times New Roman" w:eastAsia="仿宋_GB2312" w:cs="仿宋_GB2312"/>
          <w:bCs/>
          <w:color w:val="auto"/>
          <w:sz w:val="32"/>
          <w:szCs w:val="24"/>
          <w:highlight w:val="none"/>
          <w:shd w:val="clear" w:color="auto" w:fill="auto"/>
          <w:lang w:eastAsia="zh-CN"/>
        </w:rPr>
        <w:t>，</w:t>
      </w:r>
      <w:r>
        <w:rPr>
          <w:rFonts w:hint="eastAsia" w:ascii="Times New Roman" w:hAnsi="Times New Roman" w:eastAsia="仿宋_GB2312" w:cs="仿宋_GB2312"/>
          <w:bCs/>
          <w:color w:val="auto"/>
          <w:sz w:val="32"/>
          <w:szCs w:val="24"/>
          <w:highlight w:val="none"/>
          <w:lang w:val="en-US" w:eastAsia="zh-CN"/>
        </w:rPr>
        <w:t>违反了《证券法》</w:t>
      </w:r>
      <w:r>
        <w:rPr>
          <w:rFonts w:hint="eastAsia" w:ascii="Times New Roman" w:hAnsi="Times New Roman" w:eastAsia="仿宋_GB2312" w:cs="仿宋_GB2312"/>
          <w:bCs/>
          <w:i w:val="0"/>
          <w:iCs w:val="0"/>
          <w:caps w:val="0"/>
          <w:color w:val="auto"/>
          <w:spacing w:val="0"/>
          <w:sz w:val="32"/>
          <w:szCs w:val="24"/>
          <w:highlight w:val="none"/>
          <w:shd w:val="clear" w:color="auto" w:fill="auto"/>
        </w:rPr>
        <w:t>第七十八条</w:t>
      </w:r>
      <w:r>
        <w:rPr>
          <w:rFonts w:hint="eastAsia" w:ascii="Times New Roman" w:hAnsi="Times New Roman" w:eastAsia="仿宋_GB2312" w:cs="仿宋_GB2312"/>
          <w:bCs/>
          <w:i w:val="0"/>
          <w:iCs w:val="0"/>
          <w:caps w:val="0"/>
          <w:color w:val="auto"/>
          <w:spacing w:val="0"/>
          <w:sz w:val="32"/>
          <w:szCs w:val="24"/>
          <w:highlight w:val="none"/>
          <w:shd w:val="clear" w:color="auto" w:fill="auto"/>
          <w:lang w:eastAsia="zh-CN"/>
        </w:rPr>
        <w:t>第一款的规定，</w:t>
      </w:r>
      <w:r>
        <w:rPr>
          <w:rFonts w:hint="eastAsia" w:ascii="Times New Roman" w:hAnsi="Times New Roman" w:eastAsia="仿宋_GB2312" w:cs="仿宋_GB2312"/>
          <w:bCs/>
          <w:i w:val="0"/>
          <w:iCs w:val="0"/>
          <w:caps w:val="0"/>
          <w:color w:val="auto"/>
          <w:spacing w:val="0"/>
          <w:sz w:val="32"/>
          <w:szCs w:val="24"/>
          <w:highlight w:val="none"/>
          <w:shd w:val="clear" w:color="auto" w:fill="auto"/>
        </w:rPr>
        <w:t>构成《证券法》第一百九十七条第</w:t>
      </w:r>
      <w:r>
        <w:rPr>
          <w:rFonts w:hint="eastAsia" w:ascii="Times New Roman" w:hAnsi="Times New Roman" w:eastAsia="仿宋_GB2312" w:cs="仿宋_GB2312"/>
          <w:bCs/>
          <w:i w:val="0"/>
          <w:iCs w:val="0"/>
          <w:caps w:val="0"/>
          <w:color w:val="auto"/>
          <w:spacing w:val="0"/>
          <w:sz w:val="32"/>
          <w:szCs w:val="24"/>
          <w:highlight w:val="none"/>
          <w:shd w:val="clear" w:color="auto" w:fill="auto"/>
          <w:lang w:val="en-US"/>
        </w:rPr>
        <w:t>一</w:t>
      </w:r>
      <w:r>
        <w:rPr>
          <w:rFonts w:hint="eastAsia" w:ascii="Times New Roman" w:hAnsi="Times New Roman" w:eastAsia="仿宋_GB2312" w:cs="仿宋_GB2312"/>
          <w:bCs/>
          <w:i w:val="0"/>
          <w:iCs w:val="0"/>
          <w:caps w:val="0"/>
          <w:color w:val="auto"/>
          <w:spacing w:val="0"/>
          <w:sz w:val="32"/>
          <w:szCs w:val="24"/>
          <w:highlight w:val="none"/>
          <w:shd w:val="clear" w:color="auto" w:fill="auto"/>
        </w:rPr>
        <w:t>款所述违法行为。</w:t>
      </w:r>
      <w:r>
        <w:rPr>
          <w:rFonts w:hint="eastAsia" w:ascii="Times New Roman" w:hAnsi="Times New Roman" w:eastAsia="仿宋_GB2312" w:cs="仿宋_GB2312"/>
          <w:bCs/>
          <w:color w:val="auto"/>
          <w:sz w:val="32"/>
          <w:szCs w:val="24"/>
          <w:highlight w:val="none"/>
          <w:lang w:val="en-US" w:eastAsia="zh-CN"/>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上述违法事实，有公司公告、相关银行账户流水、询问笔录及情况说明等证据证明</w:t>
      </w:r>
      <w:r>
        <w:rPr>
          <w:rFonts w:hint="default" w:ascii="Times New Roman" w:hAnsi="Times New Roman" w:eastAsia="仿宋_GB2312" w:cs="Times New Roman"/>
          <w:color w:val="auto"/>
          <w:sz w:val="32"/>
          <w:szCs w:val="32"/>
        </w:rPr>
        <w:t>，足以认定</w:t>
      </w:r>
      <w:r>
        <w:rPr>
          <w:rFonts w:hint="eastAsia" w:ascii="Times New Roman" w:hAnsi="Times New Roman" w:eastAsia="仿宋_GB2312" w:cs="仿宋_GB2312"/>
          <w:bCs/>
          <w:color w:val="auto"/>
          <w:sz w:val="32"/>
          <w:szCs w:val="24"/>
          <w:lang w:val="en-US"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highlight w:val="none"/>
          <w:lang w:val="en-US" w:eastAsia="zh-CN"/>
        </w:rPr>
      </w:pPr>
      <w:r>
        <w:rPr>
          <w:rFonts w:hint="eastAsia" w:ascii="Times New Roman" w:hAnsi="Times New Roman" w:eastAsia="仿宋_GB2312" w:cs="仿宋_GB2312"/>
          <w:bCs/>
          <w:color w:val="auto"/>
          <w:sz w:val="32"/>
          <w:szCs w:val="24"/>
          <w:lang w:val="en-US" w:eastAsia="zh-CN"/>
        </w:rPr>
        <w:t>瑞贝卡</w:t>
      </w:r>
      <w:r>
        <w:rPr>
          <w:rFonts w:hint="default" w:ascii="Times New Roman" w:hAnsi="Times New Roman" w:eastAsia="仿宋_GB2312" w:cs="仿宋_GB2312"/>
          <w:bCs/>
          <w:color w:val="auto"/>
          <w:sz w:val="32"/>
          <w:szCs w:val="24"/>
          <w:lang w:val="en-US" w:eastAsia="zh-CN"/>
        </w:rPr>
        <w:t>的上</w:t>
      </w:r>
      <w:r>
        <w:rPr>
          <w:rFonts w:hint="eastAsia" w:ascii="Times New Roman" w:hAnsi="Times New Roman" w:eastAsia="仿宋_GB2312" w:cs="仿宋_GB2312"/>
          <w:bCs/>
          <w:color w:val="auto"/>
          <w:sz w:val="32"/>
          <w:szCs w:val="24"/>
          <w:highlight w:val="none"/>
          <w:lang w:val="en-US" w:eastAsia="zh-CN"/>
        </w:rPr>
        <w:t>述行为违反《证券法》第七十八条第一款、第二款的规定，构成《证券法》第一百九十七条第一款、第二款所述的违法行为。</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瑞贝卡董事长、总经理郑文青知悉并放任案涉非经营性资金占用事项，</w:t>
      </w:r>
      <w:r>
        <w:rPr>
          <w:rFonts w:hint="default" w:ascii="Times New Roman" w:hAnsi="Times New Roman" w:eastAsia="仿宋_GB2312" w:cs="仿宋_GB2312"/>
          <w:bCs/>
          <w:color w:val="auto"/>
          <w:sz w:val="32"/>
          <w:szCs w:val="24"/>
          <w:highlight w:val="none"/>
          <w:lang w:val="en-US" w:eastAsia="zh-CN"/>
        </w:rPr>
        <w:t>未及时督促组织披露</w:t>
      </w:r>
      <w:r>
        <w:rPr>
          <w:rFonts w:hint="eastAsia" w:ascii="Times New Roman" w:hAnsi="Times New Roman" w:eastAsia="仿宋_GB2312" w:cs="仿宋_GB2312"/>
          <w:bCs/>
          <w:color w:val="auto"/>
          <w:sz w:val="32"/>
          <w:szCs w:val="24"/>
          <w:highlight w:val="none"/>
          <w:lang w:val="en-US" w:eastAsia="zh-CN"/>
        </w:rPr>
        <w:t>案涉</w:t>
      </w:r>
      <w:r>
        <w:rPr>
          <w:rFonts w:hint="default" w:ascii="Times New Roman" w:hAnsi="Times New Roman" w:eastAsia="仿宋_GB2312" w:cs="仿宋_GB2312"/>
          <w:bCs/>
          <w:color w:val="auto"/>
          <w:sz w:val="32"/>
          <w:szCs w:val="24"/>
          <w:highlight w:val="none"/>
          <w:lang w:val="en-US" w:eastAsia="zh-CN"/>
        </w:rPr>
        <w:t>关联交易，未审慎关注</w:t>
      </w:r>
      <w:r>
        <w:rPr>
          <w:rFonts w:hint="eastAsia" w:ascii="Times New Roman" w:hAnsi="Times New Roman" w:eastAsia="仿宋_GB2312" w:cs="仿宋_GB2312"/>
          <w:bCs/>
          <w:color w:val="auto"/>
          <w:sz w:val="32"/>
          <w:szCs w:val="24"/>
          <w:lang w:val="en-US" w:eastAsia="zh-CN"/>
        </w:rPr>
        <w:t>案涉虚增货币资金事项，在202</w:t>
      </w:r>
      <w:r>
        <w:rPr>
          <w:rFonts w:hint="eastAsia" w:ascii="Times New Roman" w:hAnsi="Times New Roman" w:eastAsia="仿宋_GB2312" w:cs="仿宋_GB2312"/>
          <w:bCs/>
          <w:color w:val="auto"/>
          <w:sz w:val="32"/>
          <w:szCs w:val="24"/>
          <w:highlight w:val="none"/>
          <w:lang w:val="en-US" w:eastAsia="zh-CN"/>
        </w:rPr>
        <w:t>2年年度报告、2023年年度报告、2024年半年度报告上签字保证真实、准确、完整，</w:t>
      </w:r>
      <w:r>
        <w:rPr>
          <w:rFonts w:hint="default" w:ascii="Times New Roman" w:hAnsi="Times New Roman" w:eastAsia="仿宋_GB2312" w:cs="仿宋_GB2312"/>
          <w:bCs/>
          <w:i w:val="0"/>
          <w:iCs w:val="0"/>
          <w:caps w:val="0"/>
          <w:color w:val="auto"/>
          <w:spacing w:val="0"/>
          <w:sz w:val="32"/>
          <w:szCs w:val="24"/>
          <w:highlight w:val="none"/>
          <w:shd w:val="clear" w:color="auto" w:fill="auto"/>
        </w:rPr>
        <w:t>违反《证券法》第八十二条第三款的规定，</w:t>
      </w:r>
      <w:r>
        <w:rPr>
          <w:rFonts w:hint="eastAsia" w:ascii="Times New Roman" w:hAnsi="Times New Roman" w:eastAsia="仿宋_GB2312" w:cs="仿宋_GB2312"/>
          <w:bCs/>
          <w:color w:val="auto"/>
          <w:sz w:val="32"/>
          <w:szCs w:val="24"/>
          <w:highlight w:val="none"/>
          <w:lang w:val="en-US" w:eastAsia="zh-CN"/>
        </w:rPr>
        <w:t>未勤勉尽责，是案</w:t>
      </w:r>
      <w:r>
        <w:rPr>
          <w:rFonts w:hint="eastAsia" w:ascii="Times New Roman" w:hAnsi="Times New Roman" w:eastAsia="仿宋_GB2312" w:cs="仿宋_GB2312"/>
          <w:bCs/>
          <w:color w:val="auto"/>
          <w:sz w:val="32"/>
          <w:szCs w:val="24"/>
          <w:lang w:val="en-US" w:eastAsia="zh-CN"/>
        </w:rPr>
        <w:t>涉瑞贝卡定期报告存在重大遗漏、虚假记载及</w:t>
      </w:r>
      <w:r>
        <w:rPr>
          <w:rFonts w:hint="default" w:ascii="Times New Roman" w:hAnsi="Times New Roman" w:eastAsia="仿宋_GB2312" w:cs="仿宋_GB2312"/>
          <w:bCs/>
          <w:color w:val="auto"/>
          <w:sz w:val="32"/>
          <w:szCs w:val="24"/>
          <w:lang w:val="en-US" w:eastAsia="zh-CN"/>
        </w:rPr>
        <w:t>未</w:t>
      </w:r>
      <w:r>
        <w:rPr>
          <w:rFonts w:hint="eastAsia" w:ascii="Times New Roman" w:hAnsi="Times New Roman" w:eastAsia="仿宋_GB2312" w:cs="仿宋_GB2312"/>
          <w:bCs/>
          <w:color w:val="auto"/>
          <w:sz w:val="32"/>
          <w:szCs w:val="24"/>
          <w:lang w:val="en-US" w:eastAsia="zh-CN"/>
        </w:rPr>
        <w:t>按规定</w:t>
      </w:r>
      <w:r>
        <w:rPr>
          <w:rFonts w:hint="default" w:ascii="Times New Roman" w:hAnsi="Times New Roman" w:eastAsia="仿宋_GB2312" w:cs="仿宋_GB2312"/>
          <w:bCs/>
          <w:color w:val="auto"/>
          <w:sz w:val="32"/>
          <w:szCs w:val="24"/>
          <w:lang w:val="en-US" w:eastAsia="zh-CN"/>
        </w:rPr>
        <w:t>及时披露</w:t>
      </w:r>
      <w:r>
        <w:rPr>
          <w:rFonts w:hint="eastAsia" w:ascii="Times New Roman" w:hAnsi="Times New Roman" w:eastAsia="仿宋_GB2312" w:cs="仿宋_GB2312"/>
          <w:bCs/>
          <w:color w:val="auto"/>
          <w:sz w:val="32"/>
          <w:szCs w:val="24"/>
          <w:lang w:val="en-US" w:eastAsia="zh-CN"/>
        </w:rPr>
        <w:t>关联交易违法行为直接负责的主管人员。</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瑞贝卡董事、财务总监朱建锐知悉案涉非经营性资金占用事项，决策、实施案涉虚增货币资金事项，在2022年年度报告、2023年年度报告、2024</w:t>
      </w:r>
      <w:r>
        <w:rPr>
          <w:rFonts w:hint="eastAsia" w:ascii="Times New Roman" w:hAnsi="Times New Roman" w:eastAsia="仿宋_GB2312" w:cs="仿宋_GB2312"/>
          <w:bCs/>
          <w:color w:val="auto"/>
          <w:sz w:val="32"/>
          <w:szCs w:val="24"/>
          <w:highlight w:val="none"/>
          <w:lang w:val="en-US" w:eastAsia="zh-CN"/>
        </w:rPr>
        <w:t>年半年度报告上签字保证真实、准确、完整，</w:t>
      </w:r>
      <w:r>
        <w:rPr>
          <w:rFonts w:hint="eastAsia" w:ascii="Times New Roman" w:hAnsi="Times New Roman" w:eastAsia="仿宋_GB2312" w:cs="仿宋_GB2312"/>
          <w:bCs/>
          <w:i w:val="0"/>
          <w:iCs w:val="0"/>
          <w:caps w:val="0"/>
          <w:color w:val="auto"/>
          <w:spacing w:val="0"/>
          <w:sz w:val="32"/>
          <w:szCs w:val="24"/>
          <w:highlight w:val="none"/>
          <w:shd w:val="clear" w:color="auto" w:fill="auto"/>
        </w:rPr>
        <w:t>违反《证券法》第八十二条第三款的规定，</w:t>
      </w:r>
      <w:r>
        <w:rPr>
          <w:rFonts w:hint="eastAsia" w:ascii="Times New Roman" w:hAnsi="Times New Roman" w:eastAsia="仿宋_GB2312" w:cs="仿宋_GB2312"/>
          <w:bCs/>
          <w:color w:val="auto"/>
          <w:sz w:val="32"/>
          <w:szCs w:val="24"/>
          <w:highlight w:val="none"/>
          <w:lang w:val="en-US" w:eastAsia="zh-CN"/>
        </w:rPr>
        <w:t>未勤勉尽责，是案涉瑞贝卡定期报告存在重大遗漏、虚假记载</w:t>
      </w:r>
      <w:r>
        <w:rPr>
          <w:rFonts w:hint="eastAsia" w:ascii="Times New Roman" w:hAnsi="Times New Roman" w:eastAsia="仿宋_GB2312" w:cs="仿宋_GB2312"/>
          <w:bCs/>
          <w:color w:val="auto"/>
          <w:sz w:val="32"/>
          <w:szCs w:val="24"/>
          <w:lang w:val="en-US" w:eastAsia="zh-CN"/>
        </w:rPr>
        <w:t>违法行为直接负责的主管人员。</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瑞贝卡监事、资金部门负责人陆小林具体实施案涉被占用资金划转事项及虚增货币资金事项，在2022年年度报告、2023年年度报告、2024年半年度报告上签字保证真实、准确、完整，</w:t>
      </w:r>
      <w:r>
        <w:rPr>
          <w:rFonts w:hint="eastAsia" w:ascii="Times New Roman" w:hAnsi="Times New Roman" w:eastAsia="仿宋_GB2312" w:cs="仿宋_GB2312"/>
          <w:bCs/>
          <w:i w:val="0"/>
          <w:iCs w:val="0"/>
          <w:caps w:val="0"/>
          <w:color w:val="auto"/>
          <w:spacing w:val="0"/>
          <w:sz w:val="32"/>
          <w:szCs w:val="24"/>
          <w:shd w:val="clear" w:color="auto" w:fill="auto"/>
        </w:rPr>
        <w:t>违反《证券法》第八十二条第三款的规定，</w:t>
      </w:r>
      <w:r>
        <w:rPr>
          <w:rFonts w:hint="eastAsia" w:ascii="Times New Roman" w:hAnsi="Times New Roman" w:eastAsia="仿宋_GB2312" w:cs="仿宋_GB2312"/>
          <w:bCs/>
          <w:color w:val="auto"/>
          <w:sz w:val="32"/>
          <w:szCs w:val="24"/>
          <w:lang w:val="en-US" w:eastAsia="zh-CN"/>
        </w:rPr>
        <w:t>未勤勉尽责，是案涉瑞贝卡定期报告存在重大遗漏、虚假记载违法行为直接负责的主管人员。</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瑞贝卡董事、董事会秘书胡丽平</w:t>
      </w:r>
      <w:r>
        <w:rPr>
          <w:rFonts w:hint="default" w:ascii="Times New Roman" w:hAnsi="Times New Roman" w:eastAsia="仿宋_GB2312" w:cs="仿宋_GB2312"/>
          <w:bCs/>
          <w:color w:val="auto"/>
          <w:sz w:val="32"/>
          <w:szCs w:val="24"/>
          <w:highlight w:val="none"/>
          <w:lang w:val="en-US" w:eastAsia="zh-CN"/>
        </w:rPr>
        <w:t>未审慎关注</w:t>
      </w:r>
      <w:r>
        <w:rPr>
          <w:rFonts w:hint="eastAsia" w:ascii="Times New Roman" w:hAnsi="Times New Roman" w:eastAsia="仿宋_GB2312" w:cs="仿宋_GB2312"/>
          <w:bCs/>
          <w:color w:val="auto"/>
          <w:sz w:val="32"/>
          <w:szCs w:val="24"/>
          <w:highlight w:val="none"/>
          <w:lang w:val="en-US" w:eastAsia="zh-CN"/>
        </w:rPr>
        <w:t>案涉非经营性资金占用事项，未及时组织披露案涉关联交易，</w:t>
      </w:r>
      <w:r>
        <w:rPr>
          <w:rFonts w:hint="eastAsia" w:ascii="Times New Roman" w:hAnsi="Times New Roman" w:eastAsia="仿宋_GB2312" w:cs="仿宋_GB2312"/>
          <w:bCs/>
          <w:color w:val="auto"/>
          <w:sz w:val="32"/>
          <w:szCs w:val="24"/>
          <w:lang w:val="en-US" w:eastAsia="zh-CN"/>
        </w:rPr>
        <w:t>在2022年年度报告、2023年年度报告、2024年半年度报告上签字保证真实、准确、完整，</w:t>
      </w:r>
      <w:r>
        <w:rPr>
          <w:rFonts w:hint="eastAsia" w:ascii="Times New Roman" w:hAnsi="Times New Roman" w:eastAsia="仿宋_GB2312" w:cs="仿宋_GB2312"/>
          <w:bCs/>
          <w:i w:val="0"/>
          <w:iCs w:val="0"/>
          <w:caps w:val="0"/>
          <w:color w:val="auto"/>
          <w:spacing w:val="0"/>
          <w:sz w:val="32"/>
          <w:szCs w:val="24"/>
          <w:shd w:val="clear" w:color="auto" w:fill="auto"/>
        </w:rPr>
        <w:t>违反《证券法》第八十二条第三款的规定，</w:t>
      </w:r>
      <w:r>
        <w:rPr>
          <w:rFonts w:hint="eastAsia" w:ascii="Times New Roman" w:hAnsi="Times New Roman" w:eastAsia="仿宋_GB2312" w:cs="仿宋_GB2312"/>
          <w:bCs/>
          <w:color w:val="auto"/>
          <w:sz w:val="32"/>
          <w:szCs w:val="24"/>
          <w:lang w:val="en-US" w:eastAsia="zh-CN"/>
        </w:rPr>
        <w:t>未勤勉尽责，是案涉瑞贝卡定期报告存在重大遗漏及</w:t>
      </w:r>
      <w:r>
        <w:rPr>
          <w:rFonts w:hint="default" w:ascii="Times New Roman" w:hAnsi="Times New Roman" w:eastAsia="仿宋_GB2312" w:cs="仿宋_GB2312"/>
          <w:bCs/>
          <w:color w:val="auto"/>
          <w:sz w:val="32"/>
          <w:szCs w:val="24"/>
          <w:lang w:val="en-US" w:eastAsia="zh-CN"/>
        </w:rPr>
        <w:t>未</w:t>
      </w:r>
      <w:r>
        <w:rPr>
          <w:rFonts w:hint="eastAsia" w:ascii="Times New Roman" w:hAnsi="Times New Roman" w:eastAsia="仿宋_GB2312" w:cs="仿宋_GB2312"/>
          <w:bCs/>
          <w:color w:val="auto"/>
          <w:sz w:val="32"/>
          <w:szCs w:val="24"/>
          <w:lang w:val="en-US" w:eastAsia="zh-CN"/>
        </w:rPr>
        <w:t>按规定</w:t>
      </w:r>
      <w:r>
        <w:rPr>
          <w:rFonts w:hint="default" w:ascii="Times New Roman" w:hAnsi="Times New Roman" w:eastAsia="仿宋_GB2312" w:cs="仿宋_GB2312"/>
          <w:bCs/>
          <w:color w:val="auto"/>
          <w:sz w:val="32"/>
          <w:szCs w:val="24"/>
          <w:lang w:val="en-US" w:eastAsia="zh-CN"/>
        </w:rPr>
        <w:t>及时披露</w:t>
      </w:r>
      <w:r>
        <w:rPr>
          <w:rFonts w:hint="eastAsia" w:ascii="Times New Roman" w:hAnsi="Times New Roman" w:eastAsia="仿宋_GB2312" w:cs="仿宋_GB2312"/>
          <w:bCs/>
          <w:color w:val="auto"/>
          <w:sz w:val="32"/>
          <w:szCs w:val="24"/>
          <w:lang w:val="en-US" w:eastAsia="zh-CN"/>
        </w:rPr>
        <w:t>关联交易违法行为直接负责的主管人员。</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highlight w:val="none"/>
          <w:lang w:val="en-US" w:eastAsia="zh-CN"/>
        </w:rPr>
      </w:pPr>
      <w:r>
        <w:rPr>
          <w:rFonts w:hint="eastAsia" w:ascii="Times New Roman" w:hAnsi="Times New Roman" w:eastAsia="仿宋_GB2312" w:cs="仿宋_GB2312"/>
          <w:bCs/>
          <w:color w:val="auto"/>
          <w:sz w:val="32"/>
          <w:szCs w:val="24"/>
          <w:lang w:val="en-US" w:eastAsia="zh-CN"/>
        </w:rPr>
        <w:t>瑞贝卡控股股东瑞贝卡控股组织、指使实施案涉非经营性资金占用行为，构成《证券法》第一百九十七条第一款、第二款所述“控股股东、实际控制人组织、指使”的情形。瑞贝卡控股董事局主席郑有全知悉瑞贝卡控股等关联方非经营性占用上市公司资金事项，并决策部分资金占用事项，是案涉瑞贝卡控股违法行为直接负责的主管人员。瑞贝卡控股董事、副总裁陆素月分管瑞贝卡控股资金工作，决策并组织实施非经营性占用上市公司资金行为，是案涉瑞贝卡控股违法行为直接负责的主管人员。</w:t>
      </w:r>
    </w:p>
    <w:p>
      <w:pPr>
        <w:keepNext w:val="0"/>
        <w:keepLines w:val="0"/>
        <w:pageBreakBefore w:val="0"/>
        <w:widowControl/>
        <w:kinsoku/>
        <w:overflowPunct/>
        <w:topLinePunct w:val="0"/>
        <w:bidi w:val="0"/>
        <w:spacing w:line="560" w:lineRule="exact"/>
        <w:jc w:val="both"/>
        <w:textAlignment w:val="auto"/>
        <w:rPr>
          <w:rFonts w:hint="eastAsia" w:ascii="Times New Roman" w:hAnsi="Times New Roman" w:eastAsia="仿宋_GB2312" w:cs="仿宋_GB2312"/>
          <w:bCs/>
          <w:i w:val="0"/>
          <w:iCs w:val="0"/>
          <w:caps w:val="0"/>
          <w:color w:val="auto"/>
          <w:spacing w:val="0"/>
          <w:sz w:val="32"/>
          <w:szCs w:val="24"/>
          <w:shd w:val="clear" w:color="auto" w:fill="auto"/>
          <w:lang w:val="en-US" w:eastAsia="zh-CN"/>
        </w:rPr>
      </w:pPr>
      <w:r>
        <w:rPr>
          <w:rFonts w:hint="eastAsia" w:ascii="Times New Roman" w:hAnsi="Times New Roman" w:eastAsia="仿宋_GB2312" w:cs="仿宋_GB2312"/>
          <w:bCs/>
          <w:color w:val="auto"/>
          <w:sz w:val="32"/>
          <w:szCs w:val="24"/>
          <w:lang w:val="en-US" w:eastAsia="zh-CN"/>
        </w:rPr>
        <w:t xml:space="preserve">   </w:t>
      </w:r>
      <w:r>
        <w:rPr>
          <w:rFonts w:hint="eastAsia" w:ascii="Times New Roman" w:hAnsi="Times New Roman" w:eastAsia="仿宋_GB2312" w:cs="仿宋_GB2312"/>
          <w:bCs/>
          <w:i w:val="0"/>
          <w:iCs w:val="0"/>
          <w:caps w:val="0"/>
          <w:color w:val="auto"/>
          <w:spacing w:val="0"/>
          <w:sz w:val="32"/>
          <w:szCs w:val="24"/>
          <w:shd w:val="clear" w:color="auto" w:fill="auto"/>
          <w:lang w:val="en-US" w:eastAsia="zh-CN"/>
        </w:rPr>
        <w:t xml:space="preserve"> 胡丽平提出如下陈述申辩意见：</w:t>
      </w:r>
      <w:r>
        <w:rPr>
          <w:rFonts w:hint="eastAsia" w:ascii="Times New Roman" w:hAnsi="Times New Roman" w:eastAsia="仿宋_GB2312" w:cs="仿宋_GB2312"/>
          <w:bCs/>
          <w:color w:val="auto"/>
          <w:sz w:val="32"/>
          <w:szCs w:val="24"/>
          <w:shd w:val="clear" w:color="auto" w:fill="auto"/>
          <w:lang w:val="en-US" w:eastAsia="zh-CN"/>
        </w:rPr>
        <w:t>一是未参与案涉资金调拨业务环节，未从中获利，事先并不知情。二是</w:t>
      </w:r>
      <w:r>
        <w:rPr>
          <w:rFonts w:hint="eastAsia" w:ascii="Times New Roman" w:hAnsi="Times New Roman" w:eastAsia="仿宋_GB2312" w:cs="仿宋_GB2312"/>
          <w:bCs/>
          <w:color w:val="auto"/>
          <w:sz w:val="32"/>
          <w:szCs w:val="24"/>
          <w:highlight w:val="none"/>
          <w:shd w:val="clear" w:color="auto" w:fill="auto"/>
          <w:lang w:val="en-US" w:eastAsia="zh-CN"/>
        </w:rPr>
        <w:t>案涉关联交易知悉人员并未按照规定向申辩人及董事会报告，</w:t>
      </w:r>
      <w:r>
        <w:rPr>
          <w:rFonts w:hint="eastAsia" w:ascii="Times New Roman" w:hAnsi="Times New Roman" w:eastAsia="仿宋_GB2312" w:cs="仿宋_GB2312"/>
          <w:bCs/>
          <w:color w:val="auto"/>
          <w:sz w:val="32"/>
          <w:szCs w:val="24"/>
          <w:shd w:val="clear" w:color="auto" w:fill="auto"/>
          <w:lang w:val="en-US" w:eastAsia="zh-CN"/>
        </w:rPr>
        <w:t>导致申辩人无法及时组织披露，并非申辩人主观过错。三是已尽到勤勉尽责义务，对案涉事项已进行审慎关注，对财务信息无核查的法定义务。</w:t>
      </w:r>
      <w:r>
        <w:rPr>
          <w:rFonts w:hint="eastAsia" w:ascii="Times New Roman" w:hAnsi="Times New Roman" w:eastAsia="仿宋_GB2312" w:cs="仿宋_GB2312"/>
          <w:bCs/>
          <w:color w:val="auto"/>
          <w:sz w:val="32"/>
          <w:szCs w:val="24"/>
          <w:highlight w:val="none"/>
          <w:shd w:val="clear" w:color="auto" w:fill="auto"/>
          <w:lang w:val="en-US" w:eastAsia="zh-CN"/>
        </w:rPr>
        <w:t>四是无主观过错，依法应当</w:t>
      </w:r>
      <w:r>
        <w:rPr>
          <w:rFonts w:hint="eastAsia" w:ascii="Times New Roman" w:hAnsi="Times New Roman" w:eastAsia="仿宋_GB2312" w:cs="仿宋_GB2312"/>
          <w:bCs/>
          <w:color w:val="auto"/>
          <w:sz w:val="32"/>
          <w:szCs w:val="24"/>
          <w:shd w:val="clear" w:color="auto" w:fill="auto"/>
          <w:lang w:val="en-US" w:eastAsia="zh-CN"/>
        </w:rPr>
        <w:t>不予行政处罚。五是案涉资金已全部归还，未造成实际损害后果。六是量罚过重，违反过罚相当原则，与同类案例对比失衡，与其薪酬水平不匹配。综上，胡丽平请求不予处罚或从轻、减轻处罚。</w:t>
      </w:r>
    </w:p>
    <w:p>
      <w:pPr>
        <w:keepNext w:val="0"/>
        <w:keepLines w:val="0"/>
        <w:pageBreakBefore w:val="0"/>
        <w:kinsoku/>
        <w:overflowPunct/>
        <w:topLinePunct w:val="0"/>
        <w:bidi w:val="0"/>
        <w:spacing w:line="560" w:lineRule="exact"/>
        <w:ind w:firstLine="640" w:firstLineChars="200"/>
        <w:jc w:val="both"/>
        <w:textAlignment w:val="auto"/>
        <w:rPr>
          <w:rFonts w:hint="eastAsia" w:ascii="Times New Roman" w:hAnsi="Times New Roman" w:eastAsia="仿宋_GB2312" w:cs="仿宋_GB2312"/>
          <w:bCs/>
          <w:i w:val="0"/>
          <w:iCs w:val="0"/>
          <w:caps w:val="0"/>
          <w:color w:val="auto"/>
          <w:spacing w:val="0"/>
          <w:sz w:val="32"/>
          <w:szCs w:val="24"/>
          <w:highlight w:val="none"/>
          <w:shd w:val="clear" w:color="auto" w:fill="auto"/>
        </w:rPr>
      </w:pPr>
      <w:r>
        <w:rPr>
          <w:rFonts w:hint="eastAsia" w:ascii="Times New Roman" w:hAnsi="Times New Roman" w:eastAsia="仿宋_GB2312" w:cs="仿宋_GB2312"/>
          <w:bCs/>
          <w:i w:val="0"/>
          <w:iCs w:val="0"/>
          <w:caps w:val="0"/>
          <w:color w:val="auto"/>
          <w:spacing w:val="0"/>
          <w:sz w:val="32"/>
          <w:szCs w:val="24"/>
          <w:shd w:val="clear" w:color="auto" w:fill="auto"/>
          <w:lang w:val="en-US" w:eastAsia="zh-CN"/>
        </w:rPr>
        <w:t>经复核，</w:t>
      </w:r>
      <w:r>
        <w:rPr>
          <w:rFonts w:hint="eastAsia" w:ascii="Times New Roman" w:hAnsi="Times New Roman" w:eastAsia="仿宋_GB2312" w:cs="仿宋_GB2312"/>
          <w:bCs/>
          <w:i w:val="0"/>
          <w:iCs w:val="0"/>
          <w:caps w:val="0"/>
          <w:color w:val="auto"/>
          <w:spacing w:val="0"/>
          <w:sz w:val="32"/>
          <w:szCs w:val="24"/>
          <w:highlight w:val="none"/>
          <w:shd w:val="clear" w:color="auto" w:fill="auto"/>
          <w:lang w:val="en-US" w:eastAsia="zh-CN"/>
        </w:rPr>
        <w:t>我局</w:t>
      </w:r>
      <w:r>
        <w:rPr>
          <w:rFonts w:hint="eastAsia" w:cs="仿宋_GB2312"/>
          <w:bCs/>
          <w:i w:val="0"/>
          <w:iCs w:val="0"/>
          <w:caps w:val="0"/>
          <w:color w:val="auto"/>
          <w:spacing w:val="0"/>
          <w:sz w:val="32"/>
          <w:szCs w:val="24"/>
          <w:highlight w:val="none"/>
          <w:shd w:val="clear" w:color="auto" w:fill="auto"/>
          <w:lang w:val="en-US" w:eastAsia="zh-CN"/>
        </w:rPr>
        <w:t>认定并无不当，</w:t>
      </w:r>
      <w:r>
        <w:rPr>
          <w:rFonts w:hint="eastAsia" w:ascii="Times New Roman" w:hAnsi="Times New Roman" w:eastAsia="仿宋_GB2312" w:cs="仿宋_GB2312"/>
          <w:bCs/>
          <w:i w:val="0"/>
          <w:iCs w:val="0"/>
          <w:caps w:val="0"/>
          <w:color w:val="auto"/>
          <w:spacing w:val="0"/>
          <w:sz w:val="32"/>
          <w:szCs w:val="24"/>
          <w:highlight w:val="none"/>
          <w:shd w:val="clear" w:color="auto" w:fill="auto"/>
          <w:lang w:val="en-US" w:eastAsia="zh-CN"/>
        </w:rPr>
        <w:t>对胡丽平的陈述申辩意见不予采纳。</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monospace" w:cs="monospace"/>
          <w:bCs w:val="0"/>
          <w:color w:val="191919"/>
          <w:sz w:val="28"/>
          <w:szCs w:val="28"/>
          <w:shd w:val="clear" w:color="auto" w:fill="auto"/>
          <w:lang w:val="en-US" w:eastAsia="zh-CN"/>
        </w:rPr>
        <w:t xml:space="preserve">    </w:t>
      </w:r>
      <w:r>
        <w:rPr>
          <w:rFonts w:hint="eastAsia" w:ascii="Times New Roman" w:hAnsi="Times New Roman" w:eastAsia="仿宋_GB2312" w:cs="仿宋_GB2312"/>
          <w:bCs/>
          <w:color w:val="auto"/>
          <w:sz w:val="32"/>
          <w:szCs w:val="24"/>
          <w:lang w:val="en-US" w:eastAsia="zh-CN"/>
        </w:rPr>
        <w:t>根据当事人违法行为的事实、性质、情节与社会危害程度，依据《证券法》第一百九十七条第一款的规定，我局决定：</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一、对河南瑞贝卡发制品股份有限公司给予警告，并处以150万元罚款；</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二、对河南瑞贝卡控股有限责任公司处以200万元罚款；</w:t>
      </w:r>
    </w:p>
    <w:p>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三、对郑文青给予警告，并处以100万元罚款；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四、对胡丽平给予警告，并处以40万元罚款；    </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五、对郑有全处以100万罚款；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六、对陆素月处以80万元罚款。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依据《证券法》第一百九十七条第二款的规定，我局决定：</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一、对河南瑞贝卡发制品股份有限公司给予警告，并处以500万元罚款；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二、对河南瑞贝卡控股有限责任公司处以</w:t>
      </w:r>
      <w:r>
        <w:rPr>
          <w:rFonts w:hint="default" w:ascii="Times New Roman" w:hAnsi="Times New Roman" w:eastAsia="仿宋_GB2312" w:cs="仿宋_GB2312"/>
          <w:bCs/>
          <w:color w:val="auto"/>
          <w:sz w:val="32"/>
          <w:szCs w:val="24"/>
          <w:lang w:val="en-US" w:eastAsia="zh-CN"/>
        </w:rPr>
        <w:t>40</w:t>
      </w:r>
      <w:r>
        <w:rPr>
          <w:rFonts w:hint="eastAsia" w:ascii="Times New Roman" w:hAnsi="Times New Roman" w:eastAsia="仿宋_GB2312" w:cs="仿宋_GB2312"/>
          <w:bCs/>
          <w:color w:val="auto"/>
          <w:sz w:val="32"/>
          <w:szCs w:val="24"/>
          <w:lang w:val="en-US" w:eastAsia="zh-CN"/>
        </w:rPr>
        <w:t>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三、对郑文青给予警告，并处以250万元罚款；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四、对朱建锐给予警告，并处以160万元罚款；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五、对陆小林给予警告，并处以150万元罚款；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六、对胡丽平给予警告，并处以60万元罚款；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七、对郑有全处以230万元罚款；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八、对陆素月处以200万元罚款。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综合</w:t>
      </w:r>
      <w:r>
        <w:rPr>
          <w:rFonts w:hint="eastAsia" w:ascii="Times New Roman" w:hAnsi="Times New Roman" w:eastAsia="仿宋_GB2312" w:cs="仿宋_GB2312"/>
          <w:bCs/>
          <w:color w:val="auto"/>
          <w:sz w:val="32"/>
          <w:szCs w:val="24"/>
          <w:highlight w:val="none"/>
          <w:lang w:val="en-US" w:eastAsia="zh-CN"/>
        </w:rPr>
        <w:t>上述二项，我局</w:t>
      </w:r>
      <w:r>
        <w:rPr>
          <w:rFonts w:hint="eastAsia" w:ascii="Times New Roman" w:hAnsi="Times New Roman" w:eastAsia="仿宋_GB2312" w:cs="仿宋_GB2312"/>
          <w:bCs/>
          <w:color w:val="auto"/>
          <w:sz w:val="32"/>
          <w:szCs w:val="24"/>
          <w:lang w:val="en-US" w:eastAsia="zh-CN"/>
        </w:rPr>
        <w:t>决定：</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一、对河南瑞贝卡发制品股份有限公司给予警告，并处以650万元罚款；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二、对河南瑞贝卡控股有限责任公司处以600万元罚款；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三、对郑文青给予警告，并处以350万元罚款；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四、对朱建锐给予警告，并处以160万元罚款；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五、对陆小林给予警告，并处以150万元罚款；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六、对胡丽平给予警告，并处以100万元罚款；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七、对郑有全处以330万元罚款；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八、对陆素月处以280万元罚款。</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上述当事人应自收到本处罚决定书之日起15日内，将罚款直接汇交国库。具体缴款方式见本处罚决定书所附说明。同时，须将注有当事人名称的付款凭证复印件送我局备案。当事人如果对本处罚决定不服，可在收到本处罚决定书之日起</w:t>
      </w:r>
      <w:r>
        <w:rPr>
          <w:rFonts w:hint="eastAsia" w:ascii="Times New Roman" w:hAnsi="Times New Roman" w:eastAsia="仿宋_GB2312" w:cs="仿宋_GB2312"/>
          <w:color w:val="auto"/>
          <w:sz w:val="32"/>
          <w:szCs w:val="32"/>
          <w:lang w:bidi="ar-SA"/>
        </w:rPr>
        <w:t>60日内向中国证券监督管理委员会申请行政复议</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lang w:eastAsia="zh-CN"/>
        </w:rPr>
        <w:t>行政复议申请可以</w:t>
      </w:r>
      <w:r>
        <w:rPr>
          <w:rFonts w:hint="eastAsia" w:ascii="Times New Roman" w:hAnsi="Times New Roman" w:eastAsia="仿宋_GB2312" w:cs="仿宋_GB2312"/>
          <w:color w:val="auto"/>
          <w:sz w:val="32"/>
          <w:szCs w:val="32"/>
          <w:highlight w:val="none"/>
          <w:lang w:eastAsia="zh-CN"/>
        </w:rPr>
        <w:t>通过邮政快递寄送至中国证券监督管理委员会法治司）</w:t>
      </w:r>
      <w:r>
        <w:rPr>
          <w:rFonts w:hint="eastAsia" w:ascii="Times New Roman" w:hAnsi="Times New Roman" w:eastAsia="仿宋_GB2312" w:cs="仿宋_GB2312"/>
          <w:color w:val="auto"/>
          <w:sz w:val="32"/>
          <w:szCs w:val="32"/>
          <w:lang w:bidi="ar-SA"/>
        </w:rPr>
        <w:t>，也可在收到本处罚决定书之日起6个月内直接向有管辖权的人民法院提起行政诉讼。复议和诉讼期间，上述决定不停止执行。</w:t>
      </w:r>
    </w:p>
    <w:p>
      <w:pPr>
        <w:keepNext w:val="0"/>
        <w:keepLines w:val="0"/>
        <w:pageBreakBefore w:val="0"/>
        <w:kinsoku/>
        <w:overflowPunct/>
        <w:topLinePunct w:val="0"/>
        <w:autoSpaceDE w:val="0"/>
        <w:autoSpaceDN w:val="0"/>
        <w:bidi w:val="0"/>
        <w:adjustRightInd w:val="0"/>
        <w:snapToGrid w:val="0"/>
        <w:spacing w:beforeLines="0" w:afterLines="0" w:line="560" w:lineRule="exact"/>
        <w:ind w:firstLine="640"/>
        <w:jc w:val="both"/>
        <w:textAlignment w:val="auto"/>
        <w:rPr>
          <w:rFonts w:hint="eastAsia" w:ascii="Times New Roman" w:hAnsi="Times New Roman" w:eastAsia="仿宋_GB2312" w:cs="仿宋_GB2312"/>
          <w:b w:val="0"/>
          <w:bCs w:val="0"/>
          <w:color w:val="000000"/>
          <w:sz w:val="32"/>
          <w:szCs w:val="32"/>
          <w:lang w:val="en"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w:t>
      </w:r>
      <w:r>
        <w:rPr>
          <w:rFonts w:hint="eastAsia" w:cs="仿宋_GB2312"/>
          <w:bCs/>
          <w:color w:val="auto"/>
          <w:sz w:val="32"/>
          <w:szCs w:val="24"/>
          <w:lang w:val="en-US" w:eastAsia="zh-CN"/>
        </w:rPr>
        <w:t xml:space="preserve">  </w:t>
      </w:r>
      <w:bookmarkStart w:id="3" w:name="_GoBack"/>
      <w:bookmarkEnd w:id="3"/>
      <w:r>
        <w:rPr>
          <w:rFonts w:hint="eastAsia" w:ascii="Times New Roman" w:hAnsi="Times New Roman" w:eastAsia="仿宋_GB2312" w:cs="仿宋_GB2312"/>
          <w:bCs/>
          <w:color w:val="auto"/>
          <w:sz w:val="32"/>
          <w:szCs w:val="24"/>
          <w:lang w:val="en-US" w:eastAsia="zh-CN"/>
        </w:rPr>
        <w:t xml:space="preserve"> 河南证监局</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bCs/>
          <w:color w:val="auto"/>
          <w:sz w:val="32"/>
          <w:szCs w:val="24"/>
          <w:lang w:val="en-US" w:eastAsia="zh-CN"/>
        </w:rPr>
      </w:pPr>
      <w:r>
        <w:rPr>
          <w:rFonts w:hint="eastAsia" w:ascii="Times New Roman" w:hAnsi="Times New Roman" w:eastAsia="仿宋_GB2312" w:cs="仿宋_GB2312"/>
          <w:bCs/>
          <w:color w:val="auto"/>
          <w:sz w:val="32"/>
          <w:szCs w:val="24"/>
          <w:lang w:val="en-US" w:eastAsia="zh-CN"/>
        </w:rPr>
        <w:t xml:space="preserve">                                  2026年8月</w:t>
      </w:r>
      <w:r>
        <w:rPr>
          <w:rFonts w:hint="eastAsia" w:cs="仿宋_GB2312"/>
          <w:bCs/>
          <w:color w:val="auto"/>
          <w:sz w:val="32"/>
          <w:szCs w:val="24"/>
          <w:lang w:val="en-US" w:eastAsia="zh-CN"/>
        </w:rPr>
        <w:t>24</w:t>
      </w:r>
      <w:r>
        <w:rPr>
          <w:rFonts w:hint="eastAsia" w:ascii="Times New Roman" w:hAnsi="Times New Roman" w:eastAsia="仿宋_GB2312" w:cs="仿宋_GB2312"/>
          <w:bCs/>
          <w:color w:val="auto"/>
          <w:sz w:val="32"/>
          <w:szCs w:val="24"/>
          <w:lang w:val="en-US" w:eastAsia="zh-CN"/>
        </w:rPr>
        <w:t>日</w:t>
      </w:r>
    </w:p>
    <w:p>
      <w:pPr>
        <w:keepNext w:val="0"/>
        <w:keepLines w:val="0"/>
        <w:pageBreakBefore w:val="0"/>
        <w:kinsoku/>
        <w:overflowPunct/>
        <w:topLinePunct w:val="0"/>
        <w:bidi w:val="0"/>
        <w:spacing w:line="560" w:lineRule="exact"/>
        <w:jc w:val="both"/>
        <w:textAlignment w:val="auto"/>
        <w:rPr>
          <w:rFonts w:ascii="Times New Roman" w:hAnsi="Times New Roman" w:eastAsia="宋体"/>
          <w:sz w:val="21"/>
          <w:szCs w:val="24"/>
        </w:rPr>
      </w:pPr>
    </w:p>
    <w:p>
      <w:pPr>
        <w:keepNext w:val="0"/>
        <w:keepLines w:val="0"/>
        <w:pageBreakBefore w:val="0"/>
        <w:kinsoku/>
        <w:overflowPunct/>
        <w:topLinePunct w:val="0"/>
        <w:bidi w:val="0"/>
        <w:spacing w:line="560" w:lineRule="exact"/>
        <w:jc w:val="both"/>
        <w:textAlignment w:val="auto"/>
        <w:rPr>
          <w:rFonts w:ascii="Times New Roman" w:hAnsi="Times New Roman" w:eastAsia="宋体"/>
          <w:sz w:val="21"/>
          <w:szCs w:val="24"/>
        </w:rPr>
      </w:pPr>
    </w:p>
    <w:p>
      <w:pPr>
        <w:keepNext w:val="0"/>
        <w:keepLines w:val="0"/>
        <w:pageBreakBefore w:val="0"/>
        <w:kinsoku/>
        <w:overflowPunct/>
        <w:topLinePunct w:val="0"/>
        <w:bidi w:val="0"/>
        <w:spacing w:line="560" w:lineRule="exact"/>
        <w:jc w:val="both"/>
        <w:textAlignment w:val="auto"/>
        <w:rPr>
          <w:rFonts w:ascii="Times New Roman" w:hAnsi="Times New Roman" w:eastAsia="宋体"/>
          <w:sz w:val="21"/>
          <w:szCs w:val="24"/>
        </w:rPr>
      </w:pPr>
    </w:p>
    <w:bookmarkEnd w:id="0"/>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Times New Roman" w:hAnsi="Times New Roman"/>
        </w:rPr>
      </w:pPr>
    </w:p>
    <w:sectPr>
      <w:footerReference r:id="rId3" w:type="default"/>
      <w:pgSz w:w="11906" w:h="16838"/>
      <w:pgMar w:top="2098" w:right="1474" w:bottom="1984" w:left="1587" w:header="851" w:footer="992" w:gutter="0"/>
      <w:pgNumType w:fmt="decimal"/>
      <w:cols w:space="720" w:num="1"/>
      <w:docGrid w:type="lines" w:linePitch="60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onospace">
    <w:altName w:val="Noto Serif CJK JP"/>
    <w:panose1 w:val="00000000000000000000"/>
    <w:charset w:val="00"/>
    <w:family w:val="auto"/>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dit="readOnly" w:enforcement="0"/>
  <w:defaultTabStop w:val="420"/>
  <w:drawingGridHorizontalSpacing w:val="320"/>
  <w:drawingGridVerticalSpacing w:val="303"/>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FDF1D2"/>
    <w:rsid w:val="177D3CE8"/>
    <w:rsid w:val="19FF3827"/>
    <w:rsid w:val="75A755C0"/>
    <w:rsid w:val="76FF9BBD"/>
    <w:rsid w:val="77B8F198"/>
    <w:rsid w:val="7BC6D474"/>
    <w:rsid w:val="7BFE9B5C"/>
    <w:rsid w:val="7EEF5C1A"/>
    <w:rsid w:val="B59F3FF2"/>
    <w:rsid w:val="F7AEE836"/>
    <w:rsid w:val="FB7DC3FA"/>
    <w:rsid w:val="FBFDF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2026-08-21T10:01:00Z</dcterms:created>
  <dc:creator>贾明星：拟稿人</dc:creator>
  <cp:lastModifiedBy>朱以倚</cp:lastModifiedBy>
  <dcterms:modified xsi:type="dcterms:W3CDTF">2026-09-02T11:14:40Z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F531B22A0BEDBD032D538D6A8DD506FE</vt:lpwstr>
  </property>
</Properties>
</file>