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ascii="方正大标宋简体" w:hAnsi="方正大标宋简体" w:eastAsia="方正大标宋简体" w:cs="方正大标宋简体"/>
          <w:sz w:val="36"/>
          <w:szCs w:val="36"/>
        </w:rPr>
      </w:pPr>
      <w:r>
        <w:rPr>
          <w:rFonts w:hint="eastAsia" w:ascii="方正大标宋简体" w:hAnsi="方正大标宋简体" w:eastAsia="方正大标宋简体" w:cs="方正大标宋简体"/>
          <w:sz w:val="36"/>
          <w:szCs w:val="36"/>
        </w:rPr>
        <w:t>证券期货市场诚信监督管理办法</w:t>
      </w:r>
    </w:p>
    <w:p>
      <w:pPr>
        <w:pStyle w:val="5"/>
        <w:widowControl w:val="0"/>
        <w:adjustRightInd w:val="0"/>
        <w:snapToGrid w:val="0"/>
        <w:spacing w:before="0" w:beforeAutospacing="0" w:after="0" w:afterAutospacing="0" w:line="560" w:lineRule="exact"/>
        <w:ind w:left="76" w:firstLine="600" w:firstLineChars="200"/>
        <w:jc w:val="both"/>
        <w:rPr>
          <w:rFonts w:ascii="Times New Roman" w:hAnsi="Times New Roman" w:eastAsia="楷体_GB2312" w:cs="Times New Roman"/>
          <w:sz w:val="30"/>
          <w:szCs w:val="30"/>
        </w:rPr>
      </w:pPr>
      <w:r>
        <w:rPr>
          <w:rFonts w:ascii="Times New Roman" w:hAnsi="Times New Roman" w:eastAsia="楷体_GB2312" w:cs="Times New Roman"/>
          <w:sz w:val="30"/>
          <w:szCs w:val="30"/>
          <w:shd w:val="clear" w:color="auto" w:fill="FFFFFF"/>
        </w:rPr>
        <w:t>（2017年11月2日中国证券监督管理委员会2017年第7次主席办公会议审议通过，</w:t>
      </w:r>
      <w:r>
        <w:rPr>
          <w:rFonts w:ascii="Times New Roman" w:hAnsi="Times New Roman" w:eastAsia="楷体_GB2312" w:cs="Times New Roman"/>
          <w:sz w:val="30"/>
          <w:szCs w:val="30"/>
        </w:rPr>
        <w:t>根据2020年3月20日中国证券监督管理委员会《关于修改部分证券期货规章的决定》修正）</w:t>
      </w:r>
    </w:p>
    <w:p>
      <w:pPr>
        <w:adjustRightInd w:val="0"/>
        <w:snapToGrid w:val="0"/>
        <w:spacing w:line="560" w:lineRule="exact"/>
        <w:rPr>
          <w:rFonts w:eastAsia="方正仿宋简体"/>
          <w:sz w:val="30"/>
          <w:szCs w:val="30"/>
        </w:rPr>
      </w:pPr>
    </w:p>
    <w:p>
      <w:pPr>
        <w:numPr>
          <w:ilvl w:val="255"/>
          <w:numId w:val="0"/>
        </w:numPr>
        <w:adjustRightInd w:val="0"/>
        <w:snapToGrid w:val="0"/>
        <w:spacing w:line="560" w:lineRule="exact"/>
        <w:jc w:val="center"/>
        <w:rPr>
          <w:rFonts w:ascii="黑体" w:hAnsi="黑体" w:eastAsia="黑体" w:cs="黑体"/>
          <w:sz w:val="30"/>
          <w:szCs w:val="30"/>
        </w:rPr>
      </w:pPr>
      <w:r>
        <w:rPr>
          <w:rFonts w:hint="eastAsia" w:ascii="黑体" w:hAnsi="黑体" w:eastAsia="黑体" w:cs="黑体"/>
          <w:sz w:val="30"/>
          <w:szCs w:val="30"/>
        </w:rPr>
        <w:t xml:space="preserve">第一章 </w:t>
      </w:r>
      <w:r>
        <w:rPr>
          <w:rFonts w:ascii="黑体" w:hAnsi="黑体" w:eastAsia="黑体" w:cs="黑体"/>
          <w:sz w:val="30"/>
          <w:szCs w:val="30"/>
        </w:rPr>
        <w:t>总</w:t>
      </w:r>
      <w:r>
        <w:rPr>
          <w:rFonts w:hint="eastAsia" w:ascii="黑体" w:hAnsi="黑体" w:eastAsia="黑体" w:cs="黑体"/>
          <w:sz w:val="30"/>
          <w:szCs w:val="30"/>
        </w:rPr>
        <w:t xml:space="preserve"> </w:t>
      </w:r>
      <w:r>
        <w:rPr>
          <w:rFonts w:ascii="黑体" w:hAnsi="黑体" w:eastAsia="黑体" w:cs="黑体"/>
          <w:sz w:val="30"/>
          <w:szCs w:val="30"/>
        </w:rPr>
        <w:t>则</w:t>
      </w:r>
    </w:p>
    <w:p>
      <w:pPr>
        <w:adjustRightInd w:val="0"/>
        <w:snapToGrid w:val="0"/>
        <w:spacing w:line="560" w:lineRule="exact"/>
        <w:rPr>
          <w:rFonts w:eastAsia="方正仿宋简体"/>
          <w:sz w:val="30"/>
          <w:szCs w:val="30"/>
        </w:rPr>
      </w:pPr>
    </w:p>
    <w:p>
      <w:pPr>
        <w:adjustRightInd w:val="0"/>
        <w:snapToGrid w:val="0"/>
        <w:spacing w:line="560" w:lineRule="exact"/>
        <w:rPr>
          <w:rFonts w:eastAsia="方正仿宋简体"/>
          <w:sz w:val="30"/>
          <w:szCs w:val="30"/>
        </w:rPr>
      </w:pPr>
      <w:r>
        <w:rPr>
          <w:rFonts w:eastAsia="方正仿宋简体"/>
          <w:sz w:val="30"/>
          <w:szCs w:val="30"/>
        </w:rPr>
        <w:t xml:space="preserve">    </w:t>
      </w:r>
      <w:r>
        <w:rPr>
          <w:rFonts w:hint="eastAsia" w:ascii="黑体" w:hAnsi="黑体" w:eastAsia="黑体" w:cs="黑体"/>
          <w:sz w:val="30"/>
          <w:szCs w:val="30"/>
        </w:rPr>
        <w:t>第一条</w:t>
      </w:r>
      <w:r>
        <w:rPr>
          <w:rFonts w:eastAsia="方正仿宋简体"/>
          <w:sz w:val="30"/>
          <w:szCs w:val="30"/>
        </w:rPr>
        <w:t xml:space="preserve">  为了加强证券期货市场诚信建设，保护投资者合法权益，维护证券期货市场秩序，促进证券期货市场健康稳定发展，根据《证券法》等法律、行政法规，制定本办法。</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xml:space="preserve">  第二条 </w:t>
      </w:r>
      <w:r>
        <w:rPr>
          <w:rFonts w:eastAsia="方正仿宋简体"/>
          <w:sz w:val="30"/>
          <w:szCs w:val="30"/>
        </w:rPr>
        <w:t xml:space="preserve"> 中国证券监督管理委员会（以下简称中国证监会）建立全国统一的证券期货市场诚信档案数据库（以下简称诚信档案），记录证券期货市场诚信信息。</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第三条 </w:t>
      </w:r>
      <w:r>
        <w:rPr>
          <w:rFonts w:eastAsia="方正仿宋简体"/>
          <w:sz w:val="30"/>
          <w:szCs w:val="30"/>
        </w:rPr>
        <w:t xml:space="preserve"> 记入诚信档案的诚信信息的界定、采集与管理，诚信信息的公开、查询，诚信约束、激励与引导等，适用本办法。</w:t>
      </w:r>
    </w:p>
    <w:p>
      <w:pPr>
        <w:adjustRightInd w:val="0"/>
        <w:snapToGrid w:val="0"/>
        <w:spacing w:line="560" w:lineRule="exact"/>
        <w:rPr>
          <w:rFonts w:eastAsia="方正仿宋简体"/>
          <w:sz w:val="30"/>
          <w:szCs w:val="30"/>
        </w:rPr>
      </w:pPr>
      <w:r>
        <w:rPr>
          <w:rFonts w:ascii="黑体" w:hAnsi="黑体" w:eastAsia="黑体" w:cs="黑体"/>
          <w:sz w:val="30"/>
          <w:szCs w:val="30"/>
        </w:rPr>
        <w:t xml:space="preserve">　  第四条 </w:t>
      </w:r>
      <w:r>
        <w:rPr>
          <w:rFonts w:eastAsia="方正仿宋简体"/>
          <w:sz w:val="30"/>
          <w:szCs w:val="30"/>
        </w:rPr>
        <w:t xml:space="preserve"> 公民（自然人）、法人或者其他组织从事证券期货市场活动，应当诚实信用，遵守法律、行政法规、规章和依法制定的自律规则，禁止欺诈、内幕交易、操纵市场以及其他损害投资者合法权益的不诚实信用行为。</w:t>
      </w:r>
    </w:p>
    <w:p>
      <w:pPr>
        <w:adjustRightInd w:val="0"/>
        <w:snapToGrid w:val="0"/>
        <w:spacing w:line="560" w:lineRule="exact"/>
        <w:rPr>
          <w:rFonts w:eastAsia="方正仿宋简体"/>
          <w:sz w:val="30"/>
          <w:szCs w:val="30"/>
        </w:rPr>
      </w:pPr>
      <w:r>
        <w:rPr>
          <w:rFonts w:ascii="黑体" w:hAnsi="黑体" w:eastAsia="黑体" w:cs="黑体"/>
          <w:sz w:val="30"/>
          <w:szCs w:val="30"/>
        </w:rPr>
        <w:t xml:space="preserve">　  第五条  </w:t>
      </w:r>
      <w:r>
        <w:rPr>
          <w:rFonts w:eastAsia="方正仿宋简体"/>
          <w:sz w:val="30"/>
          <w:szCs w:val="30"/>
        </w:rPr>
        <w:t>中国证监会鼓励、支持诚实信用的公民、法人或者其他组织从事证券期货市场活动，实施诚信约束、激励与引导。</w:t>
      </w:r>
    </w:p>
    <w:p>
      <w:pPr>
        <w:adjustRightInd w:val="0"/>
        <w:snapToGrid w:val="0"/>
        <w:spacing w:line="560" w:lineRule="exact"/>
        <w:ind w:firstLine="600" w:firstLineChars="200"/>
        <w:rPr>
          <w:rFonts w:eastAsia="方正仿宋简体"/>
          <w:sz w:val="30"/>
          <w:szCs w:val="30"/>
        </w:rPr>
      </w:pPr>
      <w:r>
        <w:rPr>
          <w:rFonts w:ascii="黑体" w:hAnsi="黑体" w:eastAsia="黑体" w:cs="黑体"/>
          <w:sz w:val="30"/>
          <w:szCs w:val="30"/>
        </w:rPr>
        <w:t>第六条</w:t>
      </w:r>
      <w:r>
        <w:rPr>
          <w:rFonts w:eastAsia="方正仿宋简体"/>
          <w:sz w:val="30"/>
          <w:szCs w:val="30"/>
        </w:rPr>
        <w:t xml:space="preserve">  中国证监会可以和国务院其他部门、地方人民政府、国家司法机关、行业组织、境外证券期货监管机构建立诚信监管合作机制，实施诚信信息共享，推动健全社会信用体系。</w:t>
      </w:r>
    </w:p>
    <w:p>
      <w:pPr>
        <w:adjustRightInd w:val="0"/>
        <w:snapToGrid w:val="0"/>
        <w:spacing w:line="560" w:lineRule="exact"/>
        <w:ind w:firstLine="600" w:firstLineChars="200"/>
        <w:rPr>
          <w:rFonts w:eastAsia="方正仿宋简体"/>
          <w:sz w:val="30"/>
          <w:szCs w:val="30"/>
        </w:rPr>
      </w:pPr>
    </w:p>
    <w:p>
      <w:pPr>
        <w:numPr>
          <w:ilvl w:val="255"/>
          <w:numId w:val="0"/>
        </w:numPr>
        <w:adjustRightInd w:val="0"/>
        <w:snapToGrid w:val="0"/>
        <w:spacing w:line="560" w:lineRule="exact"/>
        <w:jc w:val="center"/>
        <w:rPr>
          <w:rFonts w:ascii="黑体" w:hAnsi="黑体" w:eastAsia="黑体" w:cs="黑体"/>
          <w:sz w:val="30"/>
          <w:szCs w:val="30"/>
        </w:rPr>
      </w:pPr>
      <w:r>
        <w:rPr>
          <w:rFonts w:hint="eastAsia" w:ascii="黑体" w:hAnsi="黑体" w:eastAsia="黑体" w:cs="黑体"/>
          <w:sz w:val="30"/>
          <w:szCs w:val="30"/>
        </w:rPr>
        <w:t xml:space="preserve">第二章 </w:t>
      </w:r>
      <w:r>
        <w:rPr>
          <w:rFonts w:ascii="黑体" w:hAnsi="黑体" w:eastAsia="黑体" w:cs="黑体"/>
          <w:sz w:val="30"/>
          <w:szCs w:val="30"/>
        </w:rPr>
        <w:t>诚信信息的采集和管理</w:t>
      </w:r>
    </w:p>
    <w:p>
      <w:pPr>
        <w:adjustRightInd w:val="0"/>
        <w:snapToGrid w:val="0"/>
        <w:spacing w:line="560" w:lineRule="exact"/>
        <w:rPr>
          <w:rFonts w:eastAsia="方正仿宋简体"/>
          <w:sz w:val="30"/>
          <w:szCs w:val="30"/>
        </w:rPr>
      </w:pPr>
    </w:p>
    <w:p>
      <w:pPr>
        <w:adjustRightInd w:val="0"/>
        <w:snapToGrid w:val="0"/>
        <w:spacing w:line="560" w:lineRule="exact"/>
        <w:rPr>
          <w:rFonts w:eastAsia="方正仿宋简体"/>
          <w:sz w:val="30"/>
          <w:szCs w:val="30"/>
        </w:rPr>
      </w:pPr>
      <w:r>
        <w:rPr>
          <w:rFonts w:eastAsia="方正仿宋简体"/>
          <w:sz w:val="30"/>
          <w:szCs w:val="30"/>
        </w:rPr>
        <w:t xml:space="preserve">   </w:t>
      </w:r>
      <w:r>
        <w:rPr>
          <w:rFonts w:hint="eastAsia" w:ascii="黑体" w:hAnsi="黑体" w:eastAsia="黑体" w:cs="黑体"/>
          <w:sz w:val="30"/>
          <w:szCs w:val="30"/>
        </w:rPr>
        <w:t xml:space="preserve"> 第七条</w:t>
      </w:r>
      <w:r>
        <w:rPr>
          <w:rFonts w:eastAsia="方正仿宋简体"/>
          <w:sz w:val="30"/>
          <w:szCs w:val="30"/>
        </w:rPr>
        <w:t xml:space="preserve">  下列从事证券期货市场活动的公民、法人或者其他组织的诚信信息，记入诚信档案：</w:t>
      </w:r>
    </w:p>
    <w:p>
      <w:pPr>
        <w:adjustRightInd w:val="0"/>
        <w:snapToGrid w:val="0"/>
        <w:spacing w:line="560" w:lineRule="exact"/>
        <w:rPr>
          <w:rFonts w:eastAsia="方正仿宋简体"/>
          <w:sz w:val="30"/>
          <w:szCs w:val="30"/>
        </w:rPr>
      </w:pPr>
      <w:r>
        <w:rPr>
          <w:rFonts w:eastAsia="方正仿宋简体"/>
          <w:sz w:val="30"/>
          <w:szCs w:val="30"/>
        </w:rPr>
        <w:t>　　（一）证券业从业人员、期货从业人员和基金从业人员；</w:t>
      </w:r>
    </w:p>
    <w:p>
      <w:pPr>
        <w:adjustRightInd w:val="0"/>
        <w:snapToGrid w:val="0"/>
        <w:spacing w:line="560" w:lineRule="exact"/>
        <w:rPr>
          <w:rFonts w:eastAsia="方正仿宋简体"/>
          <w:sz w:val="30"/>
          <w:szCs w:val="30"/>
        </w:rPr>
      </w:pPr>
      <w:r>
        <w:rPr>
          <w:rFonts w:eastAsia="方正仿宋简体"/>
          <w:sz w:val="30"/>
          <w:szCs w:val="30"/>
        </w:rPr>
        <w:t xml:space="preserve">    （二）证券期货市场投资者、交易者；</w:t>
      </w:r>
    </w:p>
    <w:p>
      <w:pPr>
        <w:adjustRightInd w:val="0"/>
        <w:snapToGrid w:val="0"/>
        <w:spacing w:line="560" w:lineRule="exact"/>
        <w:ind w:firstLine="600" w:firstLineChars="200"/>
        <w:rPr>
          <w:rFonts w:eastAsia="方正仿宋简体"/>
          <w:sz w:val="30"/>
          <w:szCs w:val="30"/>
        </w:rPr>
      </w:pPr>
      <w:r>
        <w:rPr>
          <w:rFonts w:eastAsia="方正仿宋简体"/>
          <w:sz w:val="30"/>
          <w:szCs w:val="30"/>
        </w:rPr>
        <w:t>（三）证券发行人、上市公司、全国中小企业股份转让系统挂牌公司、区域性股权市场挂牌转让证券的企业及其董事、监事、高级管理人员、主要股东、实际控制人；</w:t>
      </w:r>
    </w:p>
    <w:p>
      <w:pPr>
        <w:adjustRightInd w:val="0"/>
        <w:snapToGrid w:val="0"/>
        <w:spacing w:line="560" w:lineRule="exact"/>
        <w:rPr>
          <w:rFonts w:eastAsia="方正仿宋简体"/>
          <w:sz w:val="30"/>
          <w:szCs w:val="30"/>
        </w:rPr>
      </w:pPr>
      <w:r>
        <w:rPr>
          <w:rFonts w:eastAsia="方正仿宋简体"/>
          <w:sz w:val="30"/>
          <w:szCs w:val="30"/>
        </w:rPr>
        <w:t xml:space="preserve">    （四）区域性股权市场的运营机构及其董事、监事和高级管理人员，为区域性股权市场办理账户开立、资金存放、登记结算等业务的机构；</w:t>
      </w:r>
    </w:p>
    <w:p>
      <w:pPr>
        <w:adjustRightInd w:val="0"/>
        <w:snapToGrid w:val="0"/>
        <w:spacing w:line="560" w:lineRule="exact"/>
        <w:rPr>
          <w:rFonts w:eastAsia="方正仿宋简体"/>
          <w:sz w:val="30"/>
          <w:szCs w:val="30"/>
        </w:rPr>
      </w:pPr>
      <w:r>
        <w:rPr>
          <w:rFonts w:eastAsia="方正仿宋简体"/>
          <w:sz w:val="30"/>
          <w:szCs w:val="30"/>
        </w:rPr>
        <w:t xml:space="preserve">    （五）证券公司、期货公司、基金管理人、债券受托管理人、债券发行担保人及其董事、监事、高级管理人员、主要股东和实际控制人或者执行事务合伙人，合格境外机构投资者、合格境内机构投资者及其主要投资管理人员，境外证券类机构驻华代表机构及其总代表、首席代表；</w:t>
      </w:r>
    </w:p>
    <w:p>
      <w:pPr>
        <w:adjustRightInd w:val="0"/>
        <w:snapToGrid w:val="0"/>
        <w:spacing w:line="560" w:lineRule="exact"/>
        <w:rPr>
          <w:rFonts w:eastAsia="方正仿宋简体"/>
          <w:sz w:val="30"/>
          <w:szCs w:val="30"/>
        </w:rPr>
      </w:pPr>
      <w:r>
        <w:rPr>
          <w:rFonts w:eastAsia="方正仿宋简体"/>
          <w:sz w:val="30"/>
          <w:szCs w:val="30"/>
        </w:rPr>
        <w:t xml:space="preserve">    （六）会计师事务所、律师事务所、保荐机构、财务顾问机构、资产评估机构、投资咨询机构、信用评级机构、基金服务机构、期货合约交割仓库以及期货合约标的物质量检验检疫机构等证券期货服务机构及其相关从业人员；</w:t>
      </w:r>
    </w:p>
    <w:p>
      <w:pPr>
        <w:adjustRightInd w:val="0"/>
        <w:snapToGrid w:val="0"/>
        <w:spacing w:line="560" w:lineRule="exact"/>
        <w:rPr>
          <w:rFonts w:eastAsia="方正仿宋简体"/>
          <w:sz w:val="30"/>
          <w:szCs w:val="30"/>
        </w:rPr>
      </w:pPr>
      <w:r>
        <w:rPr>
          <w:rFonts w:eastAsia="方正仿宋简体"/>
          <w:sz w:val="30"/>
          <w:szCs w:val="30"/>
        </w:rPr>
        <w:t xml:space="preserve">    （七）为证券期货业务提供存管、托管业务的商业银行或者其他金融机构，及其存管、托管部门的高级管理人员；</w:t>
      </w:r>
    </w:p>
    <w:p>
      <w:pPr>
        <w:adjustRightInd w:val="0"/>
        <w:snapToGrid w:val="0"/>
        <w:spacing w:line="560" w:lineRule="exact"/>
        <w:rPr>
          <w:rFonts w:eastAsia="方正仿宋简体"/>
          <w:sz w:val="30"/>
          <w:szCs w:val="30"/>
        </w:rPr>
      </w:pPr>
      <w:r>
        <w:rPr>
          <w:rFonts w:eastAsia="方正仿宋简体"/>
          <w:sz w:val="30"/>
          <w:szCs w:val="30"/>
        </w:rPr>
        <w:t>　　（八）为证券期货业提供信息技术服务或者软硬件产品的供应商；</w:t>
      </w:r>
    </w:p>
    <w:p>
      <w:pPr>
        <w:adjustRightInd w:val="0"/>
        <w:snapToGrid w:val="0"/>
        <w:spacing w:line="560" w:lineRule="exact"/>
        <w:rPr>
          <w:rFonts w:eastAsia="方正仿宋简体"/>
          <w:sz w:val="30"/>
          <w:szCs w:val="30"/>
        </w:rPr>
      </w:pPr>
      <w:r>
        <w:rPr>
          <w:rFonts w:eastAsia="方正仿宋简体"/>
          <w:sz w:val="30"/>
          <w:szCs w:val="30"/>
        </w:rPr>
        <w:t>　　（九）为发行人、上市公司、全国中小企业股份转让系统挂牌公司提供投资者关系管理及其他公关服务的服务机构及其人员；</w:t>
      </w:r>
    </w:p>
    <w:p>
      <w:pPr>
        <w:adjustRightInd w:val="0"/>
        <w:snapToGrid w:val="0"/>
        <w:spacing w:line="560" w:lineRule="exact"/>
        <w:rPr>
          <w:rFonts w:eastAsia="方正仿宋简体"/>
          <w:sz w:val="30"/>
          <w:szCs w:val="30"/>
        </w:rPr>
      </w:pPr>
      <w:r>
        <w:rPr>
          <w:rFonts w:eastAsia="方正仿宋简体"/>
          <w:sz w:val="30"/>
          <w:szCs w:val="30"/>
        </w:rPr>
        <w:t>　　（十）证券期货传播媒介机构、人员；</w:t>
      </w:r>
    </w:p>
    <w:p>
      <w:pPr>
        <w:adjustRightInd w:val="0"/>
        <w:snapToGrid w:val="0"/>
        <w:spacing w:line="560" w:lineRule="exact"/>
        <w:rPr>
          <w:rFonts w:eastAsia="方正仿宋简体"/>
          <w:sz w:val="30"/>
          <w:szCs w:val="30"/>
        </w:rPr>
      </w:pPr>
      <w:r>
        <w:rPr>
          <w:rFonts w:eastAsia="方正仿宋简体"/>
          <w:sz w:val="30"/>
          <w:szCs w:val="30"/>
        </w:rPr>
        <w:t>　　（十一）以不正当手段干扰中国证监会及其派出机构监管执法工作的人员；</w:t>
      </w:r>
    </w:p>
    <w:p>
      <w:pPr>
        <w:adjustRightInd w:val="0"/>
        <w:snapToGrid w:val="0"/>
        <w:spacing w:line="560" w:lineRule="exact"/>
        <w:rPr>
          <w:rFonts w:eastAsia="方正仿宋简体"/>
          <w:sz w:val="30"/>
          <w:szCs w:val="30"/>
        </w:rPr>
      </w:pPr>
      <w:r>
        <w:rPr>
          <w:rFonts w:eastAsia="方正仿宋简体"/>
          <w:sz w:val="30"/>
          <w:szCs w:val="30"/>
        </w:rPr>
        <w:t xml:space="preserve">　　（十二）其他有与证券期货市场活动相关的违法失信行为的公民、法人或者其他组织。 </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第八条 </w:t>
      </w:r>
      <w:r>
        <w:rPr>
          <w:rFonts w:eastAsia="方正仿宋简体"/>
          <w:sz w:val="30"/>
          <w:szCs w:val="30"/>
        </w:rPr>
        <w:t xml:space="preserve"> 本办法所称诚信信息包括：</w:t>
      </w:r>
    </w:p>
    <w:p>
      <w:pPr>
        <w:adjustRightInd w:val="0"/>
        <w:snapToGrid w:val="0"/>
        <w:spacing w:line="560" w:lineRule="exact"/>
        <w:rPr>
          <w:rFonts w:eastAsia="方正仿宋简体"/>
          <w:sz w:val="30"/>
          <w:szCs w:val="30"/>
        </w:rPr>
      </w:pPr>
      <w:r>
        <w:rPr>
          <w:rFonts w:eastAsia="方正仿宋简体"/>
          <w:sz w:val="30"/>
          <w:szCs w:val="30"/>
        </w:rPr>
        <w:t xml:space="preserve">    （一）公民的姓名、性别、国籍、身份证件号码，法人或者其他组织的名称、住所、统一社会信用代码等基本信息；</w:t>
      </w:r>
    </w:p>
    <w:p>
      <w:pPr>
        <w:adjustRightInd w:val="0"/>
        <w:snapToGrid w:val="0"/>
        <w:spacing w:line="560" w:lineRule="exact"/>
        <w:rPr>
          <w:rFonts w:eastAsia="方正仿宋简体"/>
          <w:sz w:val="30"/>
          <w:szCs w:val="30"/>
        </w:rPr>
      </w:pPr>
      <w:r>
        <w:rPr>
          <w:rFonts w:eastAsia="方正仿宋简体"/>
          <w:sz w:val="30"/>
          <w:szCs w:val="30"/>
        </w:rPr>
        <w:t xml:space="preserve">    （二）中国证监会、国务院其他主管部门等其他省部级及以上单位和证券期货交易场所、证券期货市场行业协会、证券登记结算机构等全国性证券期货市场行业组织（以下简称证券期货市场行业组织）作出的表彰、奖励、评比，以及信用评级机构、诚信评估机构作出的信用评级、诚信评估；</w:t>
      </w:r>
    </w:p>
    <w:p>
      <w:pPr>
        <w:adjustRightInd w:val="0"/>
        <w:snapToGrid w:val="0"/>
        <w:spacing w:line="560" w:lineRule="exact"/>
        <w:rPr>
          <w:rFonts w:eastAsia="方正仿宋简体"/>
          <w:sz w:val="30"/>
          <w:szCs w:val="30"/>
        </w:rPr>
      </w:pPr>
      <w:r>
        <w:rPr>
          <w:rFonts w:eastAsia="方正仿宋简体"/>
          <w:sz w:val="30"/>
          <w:szCs w:val="30"/>
        </w:rPr>
        <w:t xml:space="preserve">    （三）中国证监会及其派出机构作出的行政许可决定；</w:t>
      </w:r>
    </w:p>
    <w:p>
      <w:pPr>
        <w:adjustRightInd w:val="0"/>
        <w:snapToGrid w:val="0"/>
        <w:spacing w:line="560" w:lineRule="exact"/>
        <w:rPr>
          <w:rFonts w:eastAsia="方正仿宋简体"/>
          <w:sz w:val="30"/>
          <w:szCs w:val="30"/>
        </w:rPr>
      </w:pPr>
      <w:r>
        <w:rPr>
          <w:rFonts w:eastAsia="方正仿宋简体"/>
          <w:sz w:val="30"/>
          <w:szCs w:val="30"/>
        </w:rPr>
        <w:t xml:space="preserve">    （四）发行人、上市公司、全国中小企业股份转让系统挂牌公司及其主要股东、实际控制人，董事、监事和高级管理人员，重大资产重组交易各方，及收购人所作的公开承诺的未履行或者未如期履行、正在履行、已如期履行等情况；</w:t>
      </w:r>
    </w:p>
    <w:p>
      <w:pPr>
        <w:adjustRightInd w:val="0"/>
        <w:snapToGrid w:val="0"/>
        <w:spacing w:line="560" w:lineRule="exact"/>
        <w:rPr>
          <w:rFonts w:eastAsia="方正仿宋简体"/>
          <w:sz w:val="30"/>
          <w:szCs w:val="30"/>
        </w:rPr>
      </w:pPr>
      <w:r>
        <w:rPr>
          <w:rFonts w:eastAsia="方正仿宋简体"/>
          <w:sz w:val="30"/>
          <w:szCs w:val="30"/>
        </w:rPr>
        <w:t xml:space="preserve">    （五）中国证监会及其派出机构作出的行政处罚、市场禁入决定和采取的监督管理措施；</w:t>
      </w:r>
    </w:p>
    <w:p>
      <w:pPr>
        <w:adjustRightInd w:val="0"/>
        <w:snapToGrid w:val="0"/>
        <w:spacing w:line="560" w:lineRule="exact"/>
        <w:rPr>
          <w:rFonts w:eastAsia="方正仿宋简体"/>
          <w:sz w:val="30"/>
          <w:szCs w:val="30"/>
        </w:rPr>
      </w:pPr>
      <w:r>
        <w:rPr>
          <w:rFonts w:eastAsia="方正仿宋简体"/>
          <w:sz w:val="30"/>
          <w:szCs w:val="30"/>
        </w:rPr>
        <w:t xml:space="preserve">    （六）证券期货市场行业组织实施的纪律处分措施和法律、行政法规、规章规定的管理措施；</w:t>
      </w:r>
    </w:p>
    <w:p>
      <w:pPr>
        <w:adjustRightInd w:val="0"/>
        <w:snapToGrid w:val="0"/>
        <w:spacing w:line="560" w:lineRule="exact"/>
        <w:ind w:firstLine="600" w:firstLineChars="200"/>
        <w:rPr>
          <w:rFonts w:eastAsia="方正仿宋简体"/>
          <w:sz w:val="30"/>
          <w:szCs w:val="30"/>
        </w:rPr>
      </w:pPr>
      <w:r>
        <w:rPr>
          <w:rFonts w:eastAsia="方正仿宋简体"/>
          <w:sz w:val="30"/>
          <w:szCs w:val="30"/>
        </w:rPr>
        <w:t>（七）因涉嫌证券期货违法被中国证监会及其派出机构调查及采取强制措施；</w:t>
      </w:r>
    </w:p>
    <w:p>
      <w:pPr>
        <w:adjustRightInd w:val="0"/>
        <w:snapToGrid w:val="0"/>
        <w:spacing w:line="560" w:lineRule="exact"/>
        <w:ind w:firstLine="588" w:firstLineChars="200"/>
        <w:rPr>
          <w:rFonts w:eastAsia="方正仿宋简体"/>
          <w:sz w:val="30"/>
          <w:szCs w:val="30"/>
        </w:rPr>
      </w:pPr>
      <w:r>
        <w:rPr>
          <w:rFonts w:eastAsia="方正仿宋简体"/>
          <w:spacing w:val="-3"/>
          <w:sz w:val="30"/>
          <w:szCs w:val="30"/>
        </w:rPr>
        <w:t>（八）违反《证券法》第一百七十一条的规定，由于被调查当事人自身原因未履行承诺的情况；</w:t>
      </w:r>
    </w:p>
    <w:p>
      <w:pPr>
        <w:adjustRightInd w:val="0"/>
        <w:snapToGrid w:val="0"/>
        <w:spacing w:line="560" w:lineRule="exact"/>
        <w:rPr>
          <w:rFonts w:eastAsia="方正仿宋简体"/>
          <w:sz w:val="30"/>
          <w:szCs w:val="30"/>
        </w:rPr>
      </w:pPr>
      <w:r>
        <w:rPr>
          <w:rFonts w:eastAsia="方正仿宋简体"/>
          <w:sz w:val="30"/>
          <w:szCs w:val="30"/>
        </w:rPr>
        <w:t xml:space="preserve">    （九）到期拒不执行中国证监会及其派出机构生效行政处罚决定及监督管理措施，因拒不配合中国证监会及其派出机构监督检查、调查被有关机关作出行政处罚或者处理决定，以及拒不履行已达成的证券期货纠纷调解协议；</w:t>
      </w:r>
    </w:p>
    <w:p>
      <w:pPr>
        <w:adjustRightInd w:val="0"/>
        <w:snapToGrid w:val="0"/>
        <w:spacing w:line="560" w:lineRule="exact"/>
        <w:rPr>
          <w:rFonts w:eastAsia="方正仿宋简体"/>
          <w:sz w:val="30"/>
          <w:szCs w:val="30"/>
        </w:rPr>
      </w:pPr>
      <w:r>
        <w:rPr>
          <w:rFonts w:eastAsia="方正仿宋简体"/>
          <w:sz w:val="30"/>
          <w:szCs w:val="30"/>
        </w:rPr>
        <w:t xml:space="preserve">    （十）债券发行人未按期兑付本息等违约行为、担保人未按约定履行担保责任；    </w:t>
      </w:r>
    </w:p>
    <w:p>
      <w:pPr>
        <w:adjustRightInd w:val="0"/>
        <w:snapToGrid w:val="0"/>
        <w:spacing w:line="560" w:lineRule="exact"/>
        <w:rPr>
          <w:rFonts w:eastAsia="方正仿宋简体"/>
          <w:sz w:val="30"/>
          <w:szCs w:val="30"/>
        </w:rPr>
      </w:pPr>
      <w:r>
        <w:rPr>
          <w:rFonts w:eastAsia="方正仿宋简体"/>
          <w:sz w:val="30"/>
          <w:szCs w:val="30"/>
        </w:rPr>
        <w:t xml:space="preserve">    （十一）因涉嫌证券期货犯罪被中国证监会及其派出机构移送公安机关、人民检察院处理；</w:t>
      </w:r>
    </w:p>
    <w:p>
      <w:pPr>
        <w:adjustRightInd w:val="0"/>
        <w:snapToGrid w:val="0"/>
        <w:spacing w:line="560" w:lineRule="exact"/>
        <w:rPr>
          <w:rFonts w:eastAsia="方正仿宋简体"/>
          <w:sz w:val="30"/>
          <w:szCs w:val="30"/>
        </w:rPr>
      </w:pPr>
      <w:r>
        <w:rPr>
          <w:rFonts w:eastAsia="方正仿宋简体"/>
          <w:sz w:val="30"/>
          <w:szCs w:val="30"/>
        </w:rPr>
        <w:t>　  （十二）以不正当手段干扰中国证监会及其派出机构监管执法工作，被予以行政处罚、纪律处分，或者因情节较轻，未受到处罚处理，但被纪律检查或者行政监察机构认定的信息；</w:t>
      </w:r>
    </w:p>
    <w:p>
      <w:pPr>
        <w:adjustRightInd w:val="0"/>
        <w:snapToGrid w:val="0"/>
        <w:spacing w:line="560" w:lineRule="exact"/>
        <w:rPr>
          <w:rFonts w:eastAsia="方正仿宋简体"/>
          <w:sz w:val="30"/>
          <w:szCs w:val="30"/>
        </w:rPr>
      </w:pPr>
      <w:r>
        <w:rPr>
          <w:rFonts w:eastAsia="方正仿宋简体"/>
          <w:sz w:val="30"/>
          <w:szCs w:val="30"/>
        </w:rPr>
        <w:t>　  （十三）因证券期货犯罪或者其他犯罪被人民法院判处刑罚；</w:t>
      </w:r>
    </w:p>
    <w:p>
      <w:pPr>
        <w:adjustRightInd w:val="0"/>
        <w:snapToGrid w:val="0"/>
        <w:spacing w:line="560" w:lineRule="exact"/>
        <w:rPr>
          <w:rFonts w:eastAsia="方正仿宋简体"/>
          <w:sz w:val="30"/>
          <w:szCs w:val="30"/>
        </w:rPr>
      </w:pPr>
      <w:r>
        <w:rPr>
          <w:rFonts w:eastAsia="方正仿宋简体"/>
          <w:sz w:val="30"/>
          <w:szCs w:val="30"/>
        </w:rPr>
        <w:t>　  （十四）因证券期货侵权、违约行为被人民法院判决承担较大民事赔偿责任；</w:t>
      </w:r>
    </w:p>
    <w:p>
      <w:pPr>
        <w:adjustRightInd w:val="0"/>
        <w:snapToGrid w:val="0"/>
        <w:spacing w:line="560" w:lineRule="exact"/>
        <w:rPr>
          <w:rFonts w:eastAsia="方正仿宋简体"/>
          <w:sz w:val="30"/>
          <w:szCs w:val="30"/>
        </w:rPr>
      </w:pPr>
      <w:r>
        <w:rPr>
          <w:rFonts w:eastAsia="方正仿宋简体"/>
          <w:sz w:val="30"/>
          <w:szCs w:val="30"/>
        </w:rPr>
        <w:t>　  （十五）因违法开展经营活动被银行、保险、财政、税收、环保、工商、海关等相关主管部门予以行政处罚；</w:t>
      </w:r>
    </w:p>
    <w:p>
      <w:pPr>
        <w:adjustRightInd w:val="0"/>
        <w:snapToGrid w:val="0"/>
        <w:spacing w:line="560" w:lineRule="exact"/>
        <w:rPr>
          <w:rFonts w:eastAsia="方正仿宋简体"/>
          <w:sz w:val="30"/>
          <w:szCs w:val="30"/>
        </w:rPr>
      </w:pPr>
      <w:r>
        <w:rPr>
          <w:rFonts w:eastAsia="方正仿宋简体"/>
          <w:sz w:val="30"/>
          <w:szCs w:val="30"/>
        </w:rPr>
        <w:t>　  （十六）因非法开设证券期货交易场所或者组织证券期货交易被地方政府行政处罚或者采取清理整顿措施；</w:t>
      </w:r>
    </w:p>
    <w:p>
      <w:pPr>
        <w:adjustRightInd w:val="0"/>
        <w:snapToGrid w:val="0"/>
        <w:spacing w:line="560" w:lineRule="exact"/>
        <w:rPr>
          <w:rFonts w:eastAsia="方正仿宋简体"/>
          <w:sz w:val="30"/>
          <w:szCs w:val="30"/>
        </w:rPr>
      </w:pPr>
      <w:r>
        <w:rPr>
          <w:rFonts w:eastAsia="方正仿宋简体"/>
          <w:sz w:val="30"/>
          <w:szCs w:val="30"/>
        </w:rPr>
        <w:t>　  （十七）因违法失信行为被证券公司、期货公司、基金管理人、证券期货服务机构以及证券期货市场行业组织开除；</w:t>
      </w:r>
    </w:p>
    <w:p>
      <w:pPr>
        <w:adjustRightInd w:val="0"/>
        <w:snapToGrid w:val="0"/>
        <w:spacing w:line="560" w:lineRule="exact"/>
        <w:rPr>
          <w:rFonts w:eastAsia="方正仿宋简体"/>
          <w:sz w:val="30"/>
          <w:szCs w:val="30"/>
        </w:rPr>
      </w:pPr>
      <w:r>
        <w:rPr>
          <w:rFonts w:eastAsia="方正仿宋简体"/>
          <w:sz w:val="30"/>
          <w:szCs w:val="30"/>
        </w:rPr>
        <w:t>　　（十八）融资融券、转融通、证券质押式回购、约定式购回、期货交易等信用交易中的违约失信信息；</w:t>
      </w:r>
    </w:p>
    <w:p>
      <w:pPr>
        <w:adjustRightInd w:val="0"/>
        <w:snapToGrid w:val="0"/>
        <w:spacing w:line="560" w:lineRule="exact"/>
        <w:rPr>
          <w:rFonts w:eastAsia="方正仿宋简体"/>
          <w:sz w:val="30"/>
          <w:szCs w:val="30"/>
        </w:rPr>
      </w:pPr>
      <w:r>
        <w:rPr>
          <w:rFonts w:eastAsia="方正仿宋简体"/>
          <w:sz w:val="30"/>
          <w:szCs w:val="30"/>
        </w:rPr>
        <w:t xml:space="preserve">    （十九）违背诚实信用原则的其他行为信息。</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xml:space="preserve">　第九条 </w:t>
      </w:r>
      <w:r>
        <w:rPr>
          <w:rFonts w:eastAsia="方正仿宋简体"/>
          <w:sz w:val="30"/>
          <w:szCs w:val="30"/>
        </w:rPr>
        <w:t xml:space="preserve"> 诚信档案不得采集公民的宗教信仰、基因、指纹、血型、疾病和病史信息以及法律、行政法规规定禁止采集的其他信息。</w:t>
      </w:r>
    </w:p>
    <w:p>
      <w:pPr>
        <w:adjustRightInd w:val="0"/>
        <w:snapToGrid w:val="0"/>
        <w:spacing w:line="560" w:lineRule="exact"/>
        <w:ind w:firstLine="600" w:firstLineChars="200"/>
        <w:rPr>
          <w:rFonts w:eastAsia="方正仿宋简体"/>
          <w:sz w:val="30"/>
          <w:szCs w:val="30"/>
        </w:rPr>
      </w:pPr>
      <w:r>
        <w:rPr>
          <w:rFonts w:ascii="黑体" w:hAnsi="黑体" w:eastAsia="黑体" w:cs="黑体"/>
          <w:sz w:val="30"/>
          <w:szCs w:val="30"/>
        </w:rPr>
        <w:t xml:space="preserve">第十条 </w:t>
      </w:r>
      <w:r>
        <w:rPr>
          <w:rFonts w:eastAsia="方正仿宋简体"/>
          <w:sz w:val="30"/>
          <w:szCs w:val="30"/>
        </w:rPr>
        <w:t xml:space="preserve"> 本办法第八条第（二）项所列公民、法人或者其他组织所受表彰、奖励、评比和信用评级、诚信评估信息，由其自行向中国证监会及其派出机构申报，记入诚信档案。</w:t>
      </w:r>
    </w:p>
    <w:p>
      <w:pPr>
        <w:adjustRightInd w:val="0"/>
        <w:snapToGrid w:val="0"/>
        <w:spacing w:line="560" w:lineRule="exact"/>
        <w:ind w:firstLine="600" w:firstLineChars="200"/>
        <w:rPr>
          <w:rFonts w:eastAsia="方正仿宋简体"/>
          <w:sz w:val="30"/>
          <w:szCs w:val="30"/>
        </w:rPr>
      </w:pPr>
      <w:r>
        <w:rPr>
          <w:rFonts w:eastAsia="方正仿宋简体"/>
          <w:sz w:val="30"/>
          <w:szCs w:val="30"/>
        </w:rPr>
        <w:t>公民、法人或者其他组织按规定向中国证监会及其派出机构申报前款规定以外的其他诚信信息，记入诚信档案。</w:t>
      </w:r>
    </w:p>
    <w:p>
      <w:pPr>
        <w:adjustRightInd w:val="0"/>
        <w:snapToGrid w:val="0"/>
        <w:spacing w:line="560" w:lineRule="exact"/>
        <w:rPr>
          <w:rFonts w:eastAsia="方正仿宋简体"/>
          <w:sz w:val="30"/>
          <w:szCs w:val="30"/>
        </w:rPr>
      </w:pPr>
      <w:r>
        <w:rPr>
          <w:rFonts w:eastAsia="方正仿宋简体"/>
          <w:sz w:val="30"/>
          <w:szCs w:val="30"/>
        </w:rPr>
        <w:t>　　公民、法人或者其他组织申报的诚信信息应当真实、准确、完整。</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第十一条 </w:t>
      </w:r>
      <w:r>
        <w:rPr>
          <w:rFonts w:eastAsia="方正仿宋简体"/>
          <w:sz w:val="30"/>
          <w:szCs w:val="30"/>
        </w:rPr>
        <w:t xml:space="preserve"> 本办法第八条第（一）项、第（三）项至第</w:t>
      </w:r>
      <w:r>
        <w:rPr>
          <w:rFonts w:hint="eastAsia" w:eastAsia="方正仿宋简体"/>
          <w:sz w:val="30"/>
          <w:szCs w:val="30"/>
        </w:rPr>
        <w:t xml:space="preserve">      </w:t>
      </w:r>
      <w:r>
        <w:rPr>
          <w:rFonts w:eastAsia="方正仿宋简体"/>
          <w:sz w:val="30"/>
          <w:szCs w:val="30"/>
        </w:rPr>
        <w:t>（十</w:t>
      </w:r>
      <w:r>
        <w:rPr>
          <w:rFonts w:hint="eastAsia" w:eastAsia="方正仿宋简体"/>
          <w:sz w:val="30"/>
          <w:szCs w:val="30"/>
        </w:rPr>
        <w:t>二</w:t>
      </w:r>
      <w:r>
        <w:rPr>
          <w:rFonts w:eastAsia="方正仿宋简体"/>
          <w:sz w:val="30"/>
          <w:szCs w:val="30"/>
        </w:rPr>
        <w:t>）项诚信信息，由中国证监会及其派出机构、证券期货市场行业组织依其职责采集并记入诚信档案；第（十</w:t>
      </w:r>
      <w:r>
        <w:rPr>
          <w:rFonts w:hint="eastAsia" w:eastAsia="方正仿宋简体"/>
          <w:sz w:val="30"/>
          <w:szCs w:val="30"/>
        </w:rPr>
        <w:t>七</w:t>
      </w:r>
      <w:r>
        <w:rPr>
          <w:rFonts w:eastAsia="方正仿宋简体"/>
          <w:sz w:val="30"/>
          <w:szCs w:val="30"/>
        </w:rPr>
        <w:t>）项、第</w:t>
      </w:r>
      <w:r>
        <w:rPr>
          <w:rFonts w:hint="eastAsia" w:eastAsia="方正仿宋简体"/>
          <w:sz w:val="30"/>
          <w:szCs w:val="30"/>
        </w:rPr>
        <w:t xml:space="preserve">   </w:t>
      </w:r>
      <w:r>
        <w:rPr>
          <w:rFonts w:eastAsia="方正仿宋简体"/>
          <w:sz w:val="30"/>
          <w:szCs w:val="30"/>
        </w:rPr>
        <w:t>（十</w:t>
      </w:r>
      <w:r>
        <w:rPr>
          <w:rFonts w:hint="eastAsia" w:eastAsia="方正仿宋简体"/>
          <w:sz w:val="30"/>
          <w:szCs w:val="30"/>
        </w:rPr>
        <w:t>八</w:t>
      </w:r>
      <w:r>
        <w:rPr>
          <w:rFonts w:eastAsia="方正仿宋简体"/>
          <w:sz w:val="30"/>
          <w:szCs w:val="30"/>
        </w:rPr>
        <w:t>）项诚信信息，由相关证券期货市场行业组织、证券期货经营机构采集并记入诚信档案；其他诚信信息由中国证监会及其派出机构通过政府信息公开、信用信息共享等途径采集并记入诚信档案。</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xml:space="preserve">　第十二条 </w:t>
      </w:r>
      <w:r>
        <w:rPr>
          <w:rFonts w:hint="eastAsia" w:ascii="黑体" w:hAnsi="黑体" w:eastAsia="黑体" w:cs="黑体"/>
          <w:sz w:val="30"/>
          <w:szCs w:val="30"/>
        </w:rPr>
        <w:t xml:space="preserve"> </w:t>
      </w:r>
      <w:r>
        <w:rPr>
          <w:rFonts w:eastAsia="方正仿宋简体"/>
          <w:sz w:val="30"/>
          <w:szCs w:val="30"/>
        </w:rPr>
        <w:t>记入诚信档案的诚信信息所对应的决定或者行为经法定程序撤销、变更的，中国证监会及其派出机构相应删除、修改该诚信信息。</w:t>
      </w:r>
    </w:p>
    <w:p>
      <w:pPr>
        <w:adjustRightInd w:val="0"/>
        <w:snapToGrid w:val="0"/>
        <w:spacing w:line="560" w:lineRule="exact"/>
        <w:rPr>
          <w:rFonts w:eastAsia="方正仿宋简体"/>
          <w:sz w:val="30"/>
          <w:szCs w:val="30"/>
        </w:rPr>
      </w:pPr>
      <w:r>
        <w:rPr>
          <w:rFonts w:eastAsia="方正仿宋简体"/>
          <w:sz w:val="30"/>
          <w:szCs w:val="30"/>
        </w:rPr>
        <w:t>　　</w:t>
      </w:r>
      <w:r>
        <w:rPr>
          <w:rFonts w:hint="eastAsia" w:ascii="黑体" w:hAnsi="黑体" w:eastAsia="黑体" w:cs="黑体"/>
          <w:sz w:val="30"/>
          <w:szCs w:val="30"/>
        </w:rPr>
        <w:t>第十三条</w:t>
      </w:r>
      <w:r>
        <w:rPr>
          <w:rFonts w:eastAsia="方正仿宋简体"/>
          <w:sz w:val="30"/>
          <w:szCs w:val="30"/>
        </w:rPr>
        <w:t xml:space="preserve">  本办法第八条规定的违法失信信息，在诚信档案中的效力期限为3年，但因证券期货违法行为被行政处罚、市场禁入、刑事处罚和判决承担较大侵权、违约民事赔偿责任的信息，其效力期限为5年。</w:t>
      </w:r>
    </w:p>
    <w:p>
      <w:pPr>
        <w:adjustRightInd w:val="0"/>
        <w:snapToGrid w:val="0"/>
        <w:spacing w:line="560" w:lineRule="exact"/>
        <w:rPr>
          <w:rFonts w:eastAsia="方正仿宋简体"/>
          <w:sz w:val="30"/>
          <w:szCs w:val="30"/>
        </w:rPr>
      </w:pPr>
      <w:r>
        <w:rPr>
          <w:rFonts w:eastAsia="方正仿宋简体"/>
          <w:sz w:val="30"/>
          <w:szCs w:val="30"/>
        </w:rPr>
        <w:t>　　法律、行政法规或者中国证监会规章对违法失信信息的效力期限另有规定的，国务院其他主管部门对其产生的违法失信信息的效力期限另有规定的，从其规定。</w:t>
      </w:r>
    </w:p>
    <w:p>
      <w:pPr>
        <w:adjustRightInd w:val="0"/>
        <w:snapToGrid w:val="0"/>
        <w:spacing w:line="560" w:lineRule="exact"/>
        <w:rPr>
          <w:rFonts w:eastAsia="方正仿宋简体"/>
          <w:sz w:val="30"/>
          <w:szCs w:val="30"/>
        </w:rPr>
      </w:pPr>
      <w:r>
        <w:rPr>
          <w:rFonts w:eastAsia="方正仿宋简体"/>
          <w:sz w:val="30"/>
          <w:szCs w:val="30"/>
        </w:rPr>
        <w:t>　　前款所规定的效力期限，自对违法失信行为的处理决定执行完毕之日起算。</w:t>
      </w:r>
    </w:p>
    <w:p>
      <w:pPr>
        <w:adjustRightInd w:val="0"/>
        <w:snapToGrid w:val="0"/>
        <w:spacing w:line="560" w:lineRule="exact"/>
        <w:ind w:firstLine="600" w:firstLineChars="200"/>
        <w:rPr>
          <w:rFonts w:eastAsia="方正仿宋简体"/>
          <w:sz w:val="30"/>
          <w:szCs w:val="30"/>
        </w:rPr>
      </w:pPr>
      <w:r>
        <w:rPr>
          <w:rFonts w:eastAsia="方正仿宋简体"/>
          <w:sz w:val="30"/>
          <w:szCs w:val="30"/>
        </w:rPr>
        <w:t>超过效力期限的违法失信信息，不再进行诚信信息公开，并不再接受诚信信息申请查询，公民、法人或者其他组织根据本办法第十七条申请查询自己信息的除外。</w:t>
      </w:r>
    </w:p>
    <w:p>
      <w:pPr>
        <w:adjustRightInd w:val="0"/>
        <w:snapToGrid w:val="0"/>
        <w:spacing w:line="560" w:lineRule="exact"/>
        <w:ind w:firstLine="600" w:firstLineChars="200"/>
        <w:rPr>
          <w:rFonts w:eastAsia="方正仿宋简体"/>
          <w:sz w:val="30"/>
          <w:szCs w:val="30"/>
        </w:rPr>
      </w:pPr>
    </w:p>
    <w:p>
      <w:pPr>
        <w:numPr>
          <w:ilvl w:val="255"/>
          <w:numId w:val="0"/>
        </w:numPr>
        <w:adjustRightInd w:val="0"/>
        <w:snapToGrid w:val="0"/>
        <w:spacing w:line="560" w:lineRule="exact"/>
        <w:jc w:val="center"/>
        <w:rPr>
          <w:rFonts w:ascii="黑体" w:hAnsi="黑体" w:eastAsia="黑体" w:cs="黑体"/>
          <w:sz w:val="30"/>
          <w:szCs w:val="30"/>
        </w:rPr>
      </w:pPr>
      <w:r>
        <w:rPr>
          <w:rFonts w:hint="eastAsia" w:ascii="黑体" w:hAnsi="黑体" w:eastAsia="黑体" w:cs="黑体"/>
          <w:sz w:val="30"/>
          <w:szCs w:val="30"/>
        </w:rPr>
        <w:t xml:space="preserve">第三章 </w:t>
      </w:r>
      <w:r>
        <w:rPr>
          <w:rFonts w:ascii="黑体" w:hAnsi="黑体" w:eastAsia="黑体" w:cs="黑体"/>
          <w:sz w:val="30"/>
          <w:szCs w:val="30"/>
        </w:rPr>
        <w:t>诚信信息的公开与查询</w:t>
      </w:r>
    </w:p>
    <w:p>
      <w:pPr>
        <w:adjustRightInd w:val="0"/>
        <w:snapToGrid w:val="0"/>
        <w:spacing w:line="560" w:lineRule="exact"/>
        <w:rPr>
          <w:rFonts w:eastAsia="方正仿宋简体"/>
          <w:sz w:val="30"/>
          <w:szCs w:val="30"/>
        </w:rPr>
      </w:pPr>
    </w:p>
    <w:p>
      <w:pPr>
        <w:adjustRightInd w:val="0"/>
        <w:snapToGrid w:val="0"/>
        <w:spacing w:line="560" w:lineRule="exact"/>
        <w:rPr>
          <w:rFonts w:eastAsia="方正仿宋简体"/>
          <w:sz w:val="30"/>
          <w:szCs w:val="30"/>
        </w:rPr>
      </w:pPr>
      <w:r>
        <w:rPr>
          <w:rFonts w:eastAsia="方正仿宋简体"/>
          <w:sz w:val="30"/>
          <w:szCs w:val="30"/>
        </w:rPr>
        <w:t xml:space="preserve">    </w:t>
      </w:r>
      <w:r>
        <w:rPr>
          <w:rFonts w:hint="eastAsia" w:ascii="黑体" w:hAnsi="黑体" w:eastAsia="黑体" w:cs="黑体"/>
          <w:sz w:val="30"/>
          <w:szCs w:val="30"/>
        </w:rPr>
        <w:t>第十四条</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本办法第八条第（二）、（三）、（四）、（六）项信息和第（五）项的行政处罚、市场禁入信息依法向社会公开。</w:t>
      </w:r>
    </w:p>
    <w:p>
      <w:pPr>
        <w:adjustRightInd w:val="0"/>
        <w:snapToGrid w:val="0"/>
        <w:spacing w:line="560" w:lineRule="exact"/>
        <w:rPr>
          <w:rFonts w:eastAsia="方正仿宋简体"/>
          <w:sz w:val="30"/>
          <w:szCs w:val="30"/>
        </w:rPr>
      </w:pPr>
      <w:r>
        <w:rPr>
          <w:rFonts w:eastAsia="方正仿宋简体"/>
          <w:sz w:val="30"/>
          <w:szCs w:val="30"/>
        </w:rPr>
        <w:t>　　中国证监会在其网站建立证券期货市场违法失信信息公开查询平台，社会公众可通过该平台查询本办法第八条第（五）项行政处罚、市场禁入决定信息，第（六）项信息等违法失信信息。</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第十五条</w:t>
      </w:r>
      <w:r>
        <w:rPr>
          <w:rFonts w:eastAsia="方正仿宋简体"/>
          <w:sz w:val="30"/>
          <w:szCs w:val="30"/>
        </w:rPr>
        <w:t xml:space="preserve">  中国证监会对有下列严重违法失信情形的市场主体，在证券期货市场违法失信信息公开查询平台进行专项公示：</w:t>
      </w:r>
    </w:p>
    <w:p>
      <w:pPr>
        <w:adjustRightInd w:val="0"/>
        <w:snapToGrid w:val="0"/>
        <w:spacing w:line="560" w:lineRule="exact"/>
        <w:rPr>
          <w:rFonts w:eastAsia="方正仿宋简体"/>
          <w:sz w:val="30"/>
          <w:szCs w:val="30"/>
        </w:rPr>
      </w:pPr>
      <w:r>
        <w:rPr>
          <w:rFonts w:eastAsia="方正仿宋简体"/>
          <w:sz w:val="30"/>
          <w:szCs w:val="30"/>
        </w:rPr>
        <w:t>　　（一）因操纵市场、内幕交易、欺诈发行、虚假披露信息、非法从事证券期货业务、利用未公开信息交易以及编造、传播虚假信息被中国证监会及其派出机构作出行政处罚；</w:t>
      </w:r>
    </w:p>
    <w:p>
      <w:pPr>
        <w:adjustRightInd w:val="0"/>
        <w:snapToGrid w:val="0"/>
        <w:spacing w:line="560" w:lineRule="exact"/>
        <w:rPr>
          <w:rFonts w:eastAsia="方正仿宋简体"/>
          <w:sz w:val="30"/>
          <w:szCs w:val="30"/>
        </w:rPr>
      </w:pPr>
      <w:r>
        <w:rPr>
          <w:rFonts w:eastAsia="方正仿宋简体"/>
          <w:sz w:val="30"/>
          <w:szCs w:val="30"/>
        </w:rPr>
        <w:t>　　（二）被中国证监会及其派出机构采取市场禁入措施；</w:t>
      </w:r>
    </w:p>
    <w:p>
      <w:pPr>
        <w:adjustRightInd w:val="0"/>
        <w:snapToGrid w:val="0"/>
        <w:spacing w:line="560" w:lineRule="exact"/>
        <w:rPr>
          <w:rFonts w:eastAsia="方正仿宋简体"/>
          <w:sz w:val="30"/>
          <w:szCs w:val="30"/>
        </w:rPr>
      </w:pPr>
      <w:r>
        <w:rPr>
          <w:rFonts w:eastAsia="方正仿宋简体"/>
          <w:sz w:val="30"/>
          <w:szCs w:val="30"/>
        </w:rPr>
        <w:t>　  （三）因证券期货犯罪被人民法院判处刑罚；</w:t>
      </w:r>
    </w:p>
    <w:p>
      <w:pPr>
        <w:adjustRightInd w:val="0"/>
        <w:snapToGrid w:val="0"/>
        <w:spacing w:line="560" w:lineRule="exact"/>
        <w:rPr>
          <w:rFonts w:eastAsia="方正仿宋简体"/>
          <w:sz w:val="30"/>
          <w:szCs w:val="30"/>
        </w:rPr>
      </w:pPr>
      <w:r>
        <w:rPr>
          <w:rFonts w:eastAsia="方正仿宋简体"/>
          <w:sz w:val="30"/>
          <w:szCs w:val="30"/>
        </w:rPr>
        <w:t>　　（四）因拒不配合中国证监会及其派出机构监督检查、调查被有关机关作出行政处罚或者处理决定；</w:t>
      </w:r>
    </w:p>
    <w:p>
      <w:pPr>
        <w:adjustRightInd w:val="0"/>
        <w:snapToGrid w:val="0"/>
        <w:spacing w:line="560" w:lineRule="exact"/>
        <w:ind w:firstLine="624"/>
        <w:rPr>
          <w:rFonts w:eastAsia="方正仿宋简体"/>
          <w:sz w:val="30"/>
          <w:szCs w:val="30"/>
        </w:rPr>
      </w:pPr>
      <w:r>
        <w:rPr>
          <w:rFonts w:eastAsia="方正仿宋简体"/>
          <w:sz w:val="30"/>
          <w:szCs w:val="30"/>
        </w:rPr>
        <w:t>（五）到期拒不执行中国证监会及其派出机构生效行政处罚决定；</w:t>
      </w:r>
    </w:p>
    <w:p>
      <w:pPr>
        <w:adjustRightInd w:val="0"/>
        <w:snapToGrid w:val="0"/>
        <w:spacing w:line="560" w:lineRule="exact"/>
        <w:ind w:firstLine="616"/>
        <w:rPr>
          <w:rFonts w:eastAsia="方正仿宋简体"/>
          <w:sz w:val="30"/>
          <w:szCs w:val="30"/>
        </w:rPr>
      </w:pPr>
      <w:r>
        <w:rPr>
          <w:rFonts w:eastAsia="方正仿宋简体"/>
          <w:sz w:val="30"/>
          <w:szCs w:val="30"/>
        </w:rPr>
        <w:t>（六）经责令改正仍逾期不履行《证券法》第八十四条规定的公开承诺；</w:t>
      </w:r>
    </w:p>
    <w:p>
      <w:pPr>
        <w:adjustRightInd w:val="0"/>
        <w:snapToGrid w:val="0"/>
        <w:spacing w:line="560" w:lineRule="exact"/>
        <w:rPr>
          <w:rFonts w:eastAsia="方正仿宋简体"/>
          <w:sz w:val="30"/>
          <w:szCs w:val="30"/>
        </w:rPr>
      </w:pPr>
      <w:r>
        <w:rPr>
          <w:rFonts w:eastAsia="方正仿宋简体"/>
          <w:sz w:val="30"/>
          <w:szCs w:val="30"/>
        </w:rPr>
        <w:t>　　（七）严重侵害投资者合法权益、市场反应强烈的其他严重违法失信情形。</w:t>
      </w:r>
    </w:p>
    <w:p>
      <w:pPr>
        <w:tabs>
          <w:tab w:val="left" w:pos="1526"/>
        </w:tabs>
        <w:adjustRightInd w:val="0"/>
        <w:snapToGrid w:val="0"/>
        <w:spacing w:line="560" w:lineRule="exact"/>
        <w:ind w:firstLine="616"/>
        <w:rPr>
          <w:rFonts w:eastAsia="方正仿宋简体"/>
          <w:sz w:val="30"/>
          <w:szCs w:val="30"/>
        </w:rPr>
      </w:pPr>
      <w:r>
        <w:rPr>
          <w:rFonts w:eastAsia="方正仿宋简体"/>
          <w:sz w:val="30"/>
          <w:szCs w:val="30"/>
        </w:rPr>
        <w:t>严重违法失信主体的专项公示期为一年，自公示之日起算。</w:t>
      </w:r>
    </w:p>
    <w:p>
      <w:pPr>
        <w:tabs>
          <w:tab w:val="left" w:pos="1526"/>
        </w:tabs>
        <w:adjustRightInd w:val="0"/>
        <w:snapToGrid w:val="0"/>
        <w:spacing w:line="560" w:lineRule="exact"/>
        <w:ind w:firstLine="616"/>
        <w:rPr>
          <w:rFonts w:eastAsia="方正仿宋简体"/>
          <w:sz w:val="30"/>
          <w:szCs w:val="30"/>
        </w:rPr>
      </w:pPr>
      <w:r>
        <w:rPr>
          <w:rFonts w:eastAsia="方正仿宋简体"/>
          <w:sz w:val="30"/>
          <w:szCs w:val="30"/>
        </w:rPr>
        <w:t>中国证监会对有第（五）、（六）项情形的市场主体，统一归集至全国信用信息共享平台安排公示的，按照相关规定办理。</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第十六条</w:t>
      </w:r>
      <w:r>
        <w:rPr>
          <w:rFonts w:eastAsia="方正仿宋简体"/>
          <w:sz w:val="30"/>
          <w:szCs w:val="30"/>
        </w:rPr>
        <w:t xml:space="preserve">  除本办法第十四条、第十五条规定之外的诚信信息，公民、法人或者其他组织可以根据本办法规定向中国证监会及其派出机构申请查询。</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第十七条</w:t>
      </w:r>
      <w:r>
        <w:rPr>
          <w:rFonts w:eastAsia="方正仿宋简体"/>
          <w:sz w:val="30"/>
          <w:szCs w:val="30"/>
        </w:rPr>
        <w:t xml:space="preserve">  公民、法人或者其他组织提出诚信信息查询申请，符合以下条件之一的，中国证监会及其派出机构予以办理：</w:t>
      </w:r>
    </w:p>
    <w:p>
      <w:pPr>
        <w:adjustRightInd w:val="0"/>
        <w:snapToGrid w:val="0"/>
        <w:spacing w:line="560" w:lineRule="exact"/>
        <w:rPr>
          <w:rFonts w:eastAsia="方正仿宋简体"/>
          <w:sz w:val="30"/>
          <w:szCs w:val="30"/>
        </w:rPr>
      </w:pPr>
      <w:r>
        <w:rPr>
          <w:rFonts w:eastAsia="方正仿宋简体"/>
          <w:sz w:val="30"/>
          <w:szCs w:val="30"/>
        </w:rPr>
        <w:t>　　（一）公民、法人或者其他组织申请查询自己的诚信信息的；</w:t>
      </w:r>
    </w:p>
    <w:p>
      <w:pPr>
        <w:adjustRightInd w:val="0"/>
        <w:snapToGrid w:val="0"/>
        <w:spacing w:line="560" w:lineRule="exact"/>
        <w:rPr>
          <w:rFonts w:eastAsia="方正仿宋简体"/>
          <w:sz w:val="30"/>
          <w:szCs w:val="30"/>
        </w:rPr>
      </w:pPr>
      <w:r>
        <w:rPr>
          <w:rFonts w:eastAsia="方正仿宋简体"/>
          <w:sz w:val="30"/>
          <w:szCs w:val="30"/>
        </w:rPr>
        <w:t>　　（二）发行人、上市公司申请查询拟任董事、监事、高级管理人员的诚信信息的；</w:t>
      </w:r>
    </w:p>
    <w:p>
      <w:pPr>
        <w:adjustRightInd w:val="0"/>
        <w:snapToGrid w:val="0"/>
        <w:spacing w:line="560" w:lineRule="exact"/>
        <w:rPr>
          <w:rFonts w:eastAsia="方正仿宋简体"/>
          <w:sz w:val="30"/>
          <w:szCs w:val="30"/>
        </w:rPr>
      </w:pPr>
      <w:r>
        <w:rPr>
          <w:rFonts w:eastAsia="方正仿宋简体"/>
          <w:sz w:val="30"/>
          <w:szCs w:val="30"/>
        </w:rPr>
        <w:t>　　（三）发行人、上市公司申请查询拟参与本公司并购、重组的公民、法人或者其他组织的诚信信息的；</w:t>
      </w:r>
    </w:p>
    <w:p>
      <w:pPr>
        <w:adjustRightInd w:val="0"/>
        <w:snapToGrid w:val="0"/>
        <w:spacing w:line="560" w:lineRule="exact"/>
        <w:rPr>
          <w:rFonts w:eastAsia="方正仿宋简体"/>
          <w:sz w:val="30"/>
          <w:szCs w:val="30"/>
        </w:rPr>
      </w:pPr>
      <w:r>
        <w:rPr>
          <w:rFonts w:eastAsia="方正仿宋简体"/>
          <w:sz w:val="30"/>
          <w:szCs w:val="30"/>
        </w:rPr>
        <w:t>　　（四）发行人、上市公司申请查询拟委托的证券公司、证券服务机构及其相关从业人员的诚信信息的；</w:t>
      </w:r>
    </w:p>
    <w:p>
      <w:pPr>
        <w:adjustRightInd w:val="0"/>
        <w:snapToGrid w:val="0"/>
        <w:spacing w:line="560" w:lineRule="exact"/>
        <w:rPr>
          <w:rFonts w:eastAsia="方正仿宋简体"/>
          <w:sz w:val="30"/>
          <w:szCs w:val="30"/>
        </w:rPr>
      </w:pPr>
      <w:r>
        <w:rPr>
          <w:rFonts w:eastAsia="方正仿宋简体"/>
          <w:sz w:val="30"/>
          <w:szCs w:val="30"/>
        </w:rPr>
        <w:t>　　（五）证券公司、债券受托管理人、证券服务机构申请查询其所提供专业服务的发行人、上市公司及其董事、监事、高级管理人员、控股股东和实际控制人以及债券发行担保人的诚信信息的；</w:t>
      </w:r>
    </w:p>
    <w:p>
      <w:pPr>
        <w:adjustRightInd w:val="0"/>
        <w:snapToGrid w:val="0"/>
        <w:spacing w:line="560" w:lineRule="exact"/>
        <w:rPr>
          <w:rFonts w:eastAsia="方正仿宋简体"/>
          <w:sz w:val="30"/>
          <w:szCs w:val="30"/>
        </w:rPr>
      </w:pPr>
      <w:r>
        <w:rPr>
          <w:rFonts w:eastAsia="方正仿宋简体"/>
          <w:sz w:val="30"/>
          <w:szCs w:val="30"/>
        </w:rPr>
        <w:t>　　（六）证券公司、期货公司、基金管理人、证券期货服务机构申请查询已聘任或者拟聘任的董事、监事、高级管理人员或者其他从业人员的诚信信息的；</w:t>
      </w:r>
    </w:p>
    <w:p>
      <w:pPr>
        <w:adjustRightInd w:val="0"/>
        <w:snapToGrid w:val="0"/>
        <w:spacing w:line="560" w:lineRule="exact"/>
        <w:rPr>
          <w:rFonts w:eastAsia="方正仿宋简体"/>
          <w:sz w:val="30"/>
          <w:szCs w:val="30"/>
        </w:rPr>
      </w:pPr>
      <w:r>
        <w:rPr>
          <w:rFonts w:eastAsia="方正仿宋简体"/>
          <w:sz w:val="30"/>
          <w:szCs w:val="30"/>
        </w:rPr>
        <w:t xml:space="preserve">    （七）中国证监会规定的其他条件。</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第十八条</w:t>
      </w:r>
      <w:r>
        <w:rPr>
          <w:rFonts w:eastAsia="方正仿宋简体"/>
          <w:sz w:val="30"/>
          <w:szCs w:val="30"/>
        </w:rPr>
        <w:t xml:space="preserve">  公民、法人或者其他组织提出诚信信息查询申请，应当如实提供如下材料：</w:t>
      </w:r>
    </w:p>
    <w:p>
      <w:pPr>
        <w:adjustRightInd w:val="0"/>
        <w:snapToGrid w:val="0"/>
        <w:spacing w:line="560" w:lineRule="exact"/>
        <w:rPr>
          <w:rFonts w:eastAsia="方正仿宋简体"/>
          <w:sz w:val="30"/>
          <w:szCs w:val="30"/>
        </w:rPr>
      </w:pPr>
      <w:r>
        <w:rPr>
          <w:rFonts w:eastAsia="方正仿宋简体"/>
          <w:sz w:val="30"/>
          <w:szCs w:val="30"/>
        </w:rPr>
        <w:t>　　（一）查询申请书；</w:t>
      </w:r>
    </w:p>
    <w:p>
      <w:pPr>
        <w:adjustRightInd w:val="0"/>
        <w:snapToGrid w:val="0"/>
        <w:spacing w:line="560" w:lineRule="exact"/>
        <w:rPr>
          <w:rFonts w:eastAsia="方正仿宋简体"/>
          <w:sz w:val="30"/>
          <w:szCs w:val="30"/>
        </w:rPr>
      </w:pPr>
      <w:r>
        <w:rPr>
          <w:rFonts w:eastAsia="方正仿宋简体"/>
          <w:sz w:val="30"/>
          <w:szCs w:val="30"/>
        </w:rPr>
        <w:t>　　（二）身份证明文件；</w:t>
      </w:r>
    </w:p>
    <w:p>
      <w:pPr>
        <w:adjustRightInd w:val="0"/>
        <w:snapToGrid w:val="0"/>
        <w:spacing w:line="560" w:lineRule="exact"/>
        <w:rPr>
          <w:rFonts w:eastAsia="方正仿宋简体"/>
          <w:sz w:val="30"/>
          <w:szCs w:val="30"/>
        </w:rPr>
      </w:pPr>
      <w:r>
        <w:rPr>
          <w:rFonts w:eastAsia="方正仿宋简体"/>
          <w:sz w:val="30"/>
          <w:szCs w:val="30"/>
        </w:rPr>
        <w:t>　　（三）办理本办法第十七条第（二）项至第（六）项查询申请的，查询申请书应经查询对象签字或者盖章同意，或者有查询对象的其他书面同意文件。</w:t>
      </w:r>
    </w:p>
    <w:p>
      <w:pPr>
        <w:adjustRightInd w:val="0"/>
        <w:snapToGrid w:val="0"/>
        <w:spacing w:line="560" w:lineRule="exact"/>
        <w:rPr>
          <w:rFonts w:eastAsia="方正仿宋简体"/>
          <w:sz w:val="30"/>
          <w:szCs w:val="30"/>
        </w:rPr>
      </w:pPr>
      <w:r>
        <w:rPr>
          <w:rFonts w:ascii="黑体" w:hAnsi="黑体" w:eastAsia="黑体" w:cs="黑体"/>
          <w:sz w:val="30"/>
          <w:szCs w:val="30"/>
        </w:rPr>
        <w:t xml:space="preserve">　  第十九条 </w:t>
      </w:r>
      <w:r>
        <w:rPr>
          <w:rFonts w:eastAsia="方正仿宋简体"/>
          <w:sz w:val="30"/>
          <w:szCs w:val="30"/>
        </w:rPr>
        <w:t xml:space="preserve"> 公民、法人或者其他组织提出的查询申请，符合条件，材料齐备的，中国证监会及其派出机构自收到查询申请之日起5个工作日内反馈。</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第二十条</w:t>
      </w:r>
      <w:r>
        <w:rPr>
          <w:rFonts w:eastAsia="方正仿宋简体"/>
          <w:sz w:val="30"/>
          <w:szCs w:val="30"/>
        </w:rPr>
        <w:t xml:space="preserve">  公民、法人或者其他组织申请查询的诚信信息属于国家秘密，其他公民、法人或者其他组织的商业秘密及个人隐私的，中国证监会及其派出机构不予查询，但应当在答复中说明。</w:t>
      </w:r>
    </w:p>
    <w:p>
      <w:pPr>
        <w:adjustRightInd w:val="0"/>
        <w:snapToGrid w:val="0"/>
        <w:spacing w:line="560" w:lineRule="exact"/>
        <w:rPr>
          <w:rFonts w:eastAsia="方正仿宋简体"/>
          <w:sz w:val="30"/>
          <w:szCs w:val="30"/>
        </w:rPr>
      </w:pPr>
      <w:r>
        <w:rPr>
          <w:rFonts w:ascii="黑体" w:hAnsi="黑体" w:eastAsia="黑体" w:cs="黑体"/>
          <w:sz w:val="30"/>
          <w:szCs w:val="30"/>
        </w:rPr>
        <w:t>　　第二十一条</w:t>
      </w:r>
      <w:r>
        <w:rPr>
          <w:rFonts w:eastAsia="方正仿宋简体"/>
          <w:sz w:val="30"/>
          <w:szCs w:val="30"/>
        </w:rPr>
        <w:t xml:space="preserve">  记入诚信档案的公民、法人或者其他组织，认为其诚信信息具有本办法第十二条规定的应予删除、修改情形的，或者具有其他重大、明显错误的，可以向中国证监会及其派出机构申请更正。</w:t>
      </w:r>
    </w:p>
    <w:p>
      <w:pPr>
        <w:adjustRightInd w:val="0"/>
        <w:snapToGrid w:val="0"/>
        <w:spacing w:line="560" w:lineRule="exact"/>
        <w:rPr>
          <w:rFonts w:eastAsia="方正仿宋简体"/>
          <w:sz w:val="30"/>
          <w:szCs w:val="30"/>
        </w:rPr>
      </w:pPr>
      <w:r>
        <w:rPr>
          <w:rFonts w:eastAsia="方正仿宋简体"/>
          <w:sz w:val="30"/>
          <w:szCs w:val="30"/>
        </w:rPr>
        <w:t>　　中国证监会及其派出机构收到公民、法人或者其他组织的信息更正申请后，应当在15个工作日内进行处理，并将处理结果告知申请人。确有本办法第十二条规定的应予删除、修改情形的，或者其他重大、明显错误情形的，应予更正。</w:t>
      </w:r>
    </w:p>
    <w:p>
      <w:pPr>
        <w:adjustRightInd w:val="0"/>
        <w:snapToGrid w:val="0"/>
        <w:spacing w:line="560" w:lineRule="exact"/>
        <w:ind w:firstLine="600" w:firstLineChars="200"/>
        <w:rPr>
          <w:rFonts w:eastAsia="方正仿宋简体"/>
          <w:sz w:val="30"/>
          <w:szCs w:val="30"/>
        </w:rPr>
      </w:pPr>
      <w:r>
        <w:rPr>
          <w:rFonts w:ascii="黑体" w:hAnsi="黑体" w:eastAsia="黑体" w:cs="黑体"/>
          <w:sz w:val="30"/>
          <w:szCs w:val="30"/>
        </w:rPr>
        <w:t>第二十二条</w:t>
      </w:r>
      <w:r>
        <w:rPr>
          <w:rFonts w:eastAsia="方正仿宋简体"/>
          <w:sz w:val="30"/>
          <w:szCs w:val="30"/>
        </w:rPr>
        <w:t xml:space="preserve">  公民、法人或者其他组织通过申请查询获取诚信信息的，不得泄露或者提供他人使用，不得进行以营利为目的的使用、加工或者处理，不得用于其他非法目的。</w:t>
      </w:r>
    </w:p>
    <w:p>
      <w:pPr>
        <w:adjustRightInd w:val="0"/>
        <w:snapToGrid w:val="0"/>
        <w:spacing w:line="560" w:lineRule="exact"/>
        <w:ind w:firstLine="600" w:firstLineChars="200"/>
        <w:rPr>
          <w:rFonts w:eastAsia="方正仿宋简体"/>
          <w:sz w:val="30"/>
          <w:szCs w:val="30"/>
        </w:rPr>
      </w:pPr>
    </w:p>
    <w:p>
      <w:pPr>
        <w:numPr>
          <w:ilvl w:val="255"/>
          <w:numId w:val="0"/>
        </w:numPr>
        <w:adjustRightInd w:val="0"/>
        <w:snapToGrid w:val="0"/>
        <w:spacing w:line="560" w:lineRule="exact"/>
        <w:jc w:val="center"/>
        <w:rPr>
          <w:rFonts w:ascii="黑体" w:hAnsi="黑体" w:eastAsia="黑体" w:cs="黑体"/>
          <w:sz w:val="30"/>
          <w:szCs w:val="30"/>
        </w:rPr>
      </w:pPr>
      <w:r>
        <w:rPr>
          <w:rFonts w:hint="eastAsia" w:ascii="黑体" w:hAnsi="黑体" w:eastAsia="黑体" w:cs="黑体"/>
          <w:sz w:val="30"/>
          <w:szCs w:val="30"/>
        </w:rPr>
        <w:t xml:space="preserve">第四章 </w:t>
      </w:r>
      <w:r>
        <w:rPr>
          <w:rFonts w:ascii="黑体" w:hAnsi="黑体" w:eastAsia="黑体" w:cs="黑体"/>
          <w:sz w:val="30"/>
          <w:szCs w:val="30"/>
        </w:rPr>
        <w:t>诚信约束、激励与引导</w:t>
      </w:r>
    </w:p>
    <w:p>
      <w:pPr>
        <w:adjustRightInd w:val="0"/>
        <w:snapToGrid w:val="0"/>
        <w:spacing w:line="560" w:lineRule="exact"/>
        <w:rPr>
          <w:rFonts w:eastAsia="方正仿宋简体"/>
          <w:sz w:val="30"/>
          <w:szCs w:val="30"/>
        </w:rPr>
      </w:pP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xml:space="preserve">第二十三条 </w:t>
      </w:r>
      <w:r>
        <w:rPr>
          <w:rFonts w:eastAsia="方正仿宋简体"/>
          <w:sz w:val="30"/>
          <w:szCs w:val="30"/>
        </w:rPr>
        <w:t xml:space="preserve"> 中国证监会建立发行人、上市公司、全国中小企业股份转让系统挂牌公司、证券公司、期货公司、基金管理人、证券期货服务机构、证券期货基金从业人员等主要市场主体的诚信积分制度，实行诚信分类监督管理。</w:t>
      </w:r>
    </w:p>
    <w:p>
      <w:pPr>
        <w:adjustRightInd w:val="0"/>
        <w:snapToGrid w:val="0"/>
        <w:spacing w:line="560" w:lineRule="exact"/>
        <w:rPr>
          <w:rFonts w:eastAsia="方正仿宋简体"/>
          <w:sz w:val="30"/>
          <w:szCs w:val="30"/>
        </w:rPr>
      </w:pPr>
      <w:r>
        <w:rPr>
          <w:rFonts w:eastAsia="方正仿宋简体"/>
          <w:sz w:val="30"/>
          <w:szCs w:val="30"/>
        </w:rPr>
        <w:t>　　诚信积分和诚信分类监督管理具体办法另行制定。</w:t>
      </w:r>
    </w:p>
    <w:p>
      <w:pPr>
        <w:adjustRightInd w:val="0"/>
        <w:snapToGrid w:val="0"/>
        <w:spacing w:line="560" w:lineRule="exact"/>
        <w:rPr>
          <w:rFonts w:eastAsia="方正仿宋简体"/>
          <w:sz w:val="30"/>
          <w:szCs w:val="30"/>
        </w:rPr>
      </w:pPr>
      <w:r>
        <w:rPr>
          <w:rFonts w:ascii="黑体" w:hAnsi="黑体" w:eastAsia="黑体" w:cs="黑体"/>
          <w:sz w:val="30"/>
          <w:szCs w:val="30"/>
        </w:rPr>
        <w:t>　　第二十四条</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向中国证监会及其派出机构申请行政许可，申请人以及申请事项涉及的有关当事人应当书面承诺其所提交的申请材料真实、准确、完整，并诚信合法地参与证券期货市场活动。</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第二十五条</w:t>
      </w:r>
      <w:r>
        <w:rPr>
          <w:rFonts w:eastAsia="方正仿宋简体"/>
          <w:sz w:val="30"/>
          <w:szCs w:val="30"/>
        </w:rPr>
        <w:t xml:space="preserve">  中国证监会及其派出机构审查行政许可申请，应当查阅申请人以及申请事项所涉及的有关当事人的诚信档案，对其诚信状况进行审查。</w:t>
      </w:r>
    </w:p>
    <w:p>
      <w:pPr>
        <w:adjustRightInd w:val="0"/>
        <w:snapToGrid w:val="0"/>
        <w:spacing w:line="560" w:lineRule="exact"/>
        <w:ind w:firstLine="624"/>
        <w:rPr>
          <w:rFonts w:eastAsia="方正仿宋简体"/>
          <w:sz w:val="30"/>
          <w:szCs w:val="30"/>
        </w:rPr>
      </w:pPr>
      <w:r>
        <w:rPr>
          <w:rFonts w:eastAsia="方正仿宋简体"/>
          <w:sz w:val="30"/>
          <w:szCs w:val="30"/>
        </w:rPr>
        <w:t>证券期货市场行业组织在履行登记、备案、注册、会员批准等工作职责时，应当按照前款规定办理。</w:t>
      </w:r>
    </w:p>
    <w:p>
      <w:pPr>
        <w:adjustRightInd w:val="0"/>
        <w:snapToGrid w:val="0"/>
        <w:spacing w:line="560" w:lineRule="exact"/>
        <w:ind w:firstLine="624"/>
        <w:rPr>
          <w:rFonts w:eastAsia="方正仿宋简体"/>
          <w:sz w:val="30"/>
          <w:szCs w:val="30"/>
        </w:rPr>
      </w:pPr>
      <w:r>
        <w:rPr>
          <w:rFonts w:eastAsia="方正仿宋简体"/>
          <w:sz w:val="30"/>
          <w:szCs w:val="30"/>
        </w:rPr>
        <w:t>证券交易场所依法审核公开发行证券及上市交易或挂牌转让申请时，应当按照第一款规定办理。</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第二十六条</w:t>
      </w:r>
      <w:r>
        <w:rPr>
          <w:rFonts w:eastAsia="方正仿宋简体"/>
          <w:sz w:val="30"/>
          <w:szCs w:val="30"/>
        </w:rPr>
        <w:t xml:space="preserve">  中国证监会及其派出机构审查行政许可申请，发现申请人以及有关当事人有本办法第八条第（四）项中的未履行或者未如期履行承诺信息，或者第（五）项至第（十</w:t>
      </w:r>
      <w:r>
        <w:rPr>
          <w:rFonts w:hint="eastAsia" w:eastAsia="方正仿宋简体"/>
          <w:sz w:val="30"/>
          <w:szCs w:val="30"/>
        </w:rPr>
        <w:t>八</w:t>
      </w:r>
      <w:r>
        <w:rPr>
          <w:rFonts w:eastAsia="方正仿宋简体"/>
          <w:sz w:val="30"/>
          <w:szCs w:val="30"/>
        </w:rPr>
        <w:t>）项规定的违法失信信息的，可以要求申请人或者受申请人委托为行政许可申请提供证券期货服务的有关机构提供书面反馈意见。</w:t>
      </w:r>
    </w:p>
    <w:p>
      <w:pPr>
        <w:adjustRightInd w:val="0"/>
        <w:snapToGrid w:val="0"/>
        <w:spacing w:line="560" w:lineRule="exact"/>
        <w:rPr>
          <w:rFonts w:eastAsia="方正仿宋简体"/>
          <w:sz w:val="30"/>
          <w:szCs w:val="30"/>
        </w:rPr>
      </w:pPr>
      <w:r>
        <w:rPr>
          <w:rFonts w:eastAsia="方正仿宋简体"/>
          <w:sz w:val="30"/>
          <w:szCs w:val="30"/>
        </w:rPr>
        <w:t>　　书面反馈意见应就如下事项进行说明：</w:t>
      </w:r>
    </w:p>
    <w:p>
      <w:pPr>
        <w:adjustRightInd w:val="0"/>
        <w:snapToGrid w:val="0"/>
        <w:spacing w:line="560" w:lineRule="exact"/>
        <w:rPr>
          <w:rFonts w:eastAsia="方正仿宋简体"/>
          <w:sz w:val="30"/>
          <w:szCs w:val="30"/>
        </w:rPr>
      </w:pPr>
      <w:r>
        <w:rPr>
          <w:rFonts w:eastAsia="方正仿宋简体"/>
          <w:sz w:val="30"/>
          <w:szCs w:val="30"/>
        </w:rPr>
        <w:t>　　（一）诚信信息所涉及相关事实的基本情况；</w:t>
      </w:r>
    </w:p>
    <w:p>
      <w:pPr>
        <w:adjustRightInd w:val="0"/>
        <w:snapToGrid w:val="0"/>
        <w:spacing w:line="560" w:lineRule="exact"/>
        <w:rPr>
          <w:rFonts w:eastAsia="方正仿宋简体"/>
          <w:sz w:val="30"/>
          <w:szCs w:val="30"/>
        </w:rPr>
      </w:pPr>
      <w:r>
        <w:rPr>
          <w:rFonts w:eastAsia="方正仿宋简体"/>
          <w:sz w:val="30"/>
          <w:szCs w:val="30"/>
        </w:rPr>
        <w:t>　　（二）有关部门所作决定、处理的执行及其他后续情况，并提供证明材料；</w:t>
      </w:r>
    </w:p>
    <w:p>
      <w:pPr>
        <w:adjustRightInd w:val="0"/>
        <w:snapToGrid w:val="0"/>
        <w:spacing w:line="560" w:lineRule="exact"/>
        <w:rPr>
          <w:rFonts w:eastAsia="方正仿宋简体"/>
          <w:sz w:val="30"/>
          <w:szCs w:val="30"/>
        </w:rPr>
      </w:pPr>
      <w:r>
        <w:rPr>
          <w:rFonts w:eastAsia="方正仿宋简体"/>
          <w:sz w:val="30"/>
          <w:szCs w:val="30"/>
        </w:rPr>
        <w:t>　　（三）有关证券期货服务机构关于诚信信息对行政许可事项是否构成影响的分析。</w:t>
      </w:r>
    </w:p>
    <w:p>
      <w:pPr>
        <w:adjustRightInd w:val="0"/>
        <w:snapToGrid w:val="0"/>
        <w:spacing w:line="560" w:lineRule="exact"/>
        <w:rPr>
          <w:rFonts w:eastAsia="方正仿宋简体"/>
          <w:sz w:val="30"/>
          <w:szCs w:val="30"/>
        </w:rPr>
      </w:pPr>
      <w:r>
        <w:rPr>
          <w:rFonts w:eastAsia="方正仿宋简体"/>
          <w:sz w:val="30"/>
          <w:szCs w:val="30"/>
        </w:rPr>
        <w:t>　　申请人或者有关证券期货服务机构应在规定期限内提交书面反馈意见。</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第二十七条</w:t>
      </w:r>
      <w:r>
        <w:rPr>
          <w:rFonts w:eastAsia="方正仿宋简体"/>
          <w:sz w:val="30"/>
          <w:szCs w:val="30"/>
        </w:rPr>
        <w:t xml:space="preserve">  申请人或者有关证券期货服务机构的书面反馈意见不明确，有关分析、说明不充分的，中国证监会及其派出机构可以直接或者委托有关机构对有关事项进行核查。</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第二十八条</w:t>
      </w:r>
      <w:r>
        <w:rPr>
          <w:rFonts w:eastAsia="方正仿宋简体"/>
          <w:sz w:val="30"/>
          <w:szCs w:val="30"/>
        </w:rPr>
        <w:t xml:space="preserve">  根据本办法第二十六条、第二十七条提供书面反馈意见或者进行核查的时间，不计入行政许可法定期限。</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第二十九条</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行政许可申请人以及申请事项所涉及的有关当事人有本办法第八条第（四）项中的未履行或者未如期履行承诺信息，或者第（五）项至第（十</w:t>
      </w:r>
      <w:r>
        <w:rPr>
          <w:rFonts w:hint="eastAsia" w:eastAsia="方正仿宋简体"/>
          <w:sz w:val="30"/>
          <w:szCs w:val="30"/>
        </w:rPr>
        <w:t>八</w:t>
      </w:r>
      <w:r>
        <w:rPr>
          <w:rFonts w:eastAsia="方正仿宋简体"/>
          <w:sz w:val="30"/>
          <w:szCs w:val="30"/>
        </w:rPr>
        <w:t>）项规定的违法失信信息之一，属于法定不予许可条件范围的，中国证监会及其派出机构应当依法作出不予许可的决定。</w:t>
      </w:r>
    </w:p>
    <w:p>
      <w:pPr>
        <w:adjustRightInd w:val="0"/>
        <w:snapToGrid w:val="0"/>
        <w:spacing w:line="560" w:lineRule="exact"/>
        <w:rPr>
          <w:rFonts w:eastAsia="方正仿宋简体"/>
          <w:sz w:val="30"/>
          <w:szCs w:val="30"/>
        </w:rPr>
      </w:pPr>
      <w:r>
        <w:rPr>
          <w:rFonts w:eastAsia="方正仿宋简体"/>
          <w:sz w:val="30"/>
          <w:szCs w:val="30"/>
        </w:rPr>
        <w:t>　　申请人以及申请事项所涉及的有关当事人的诚信信息虽不属于法定不予许可条件范围，但有关法律、行政法规和规章对行政许可法定条件提出诚实信用要求、作出原则性规定或者设定授权性条款的，中国证监会及其派出机构可以综合考虑诚信状况等相关因素，审慎审查申请人提出的行政许可申请事项。</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hint="eastAsia" w:ascii="黑体" w:hAnsi="黑体" w:eastAsia="黑体" w:cs="黑体"/>
          <w:sz w:val="30"/>
          <w:szCs w:val="30"/>
        </w:rPr>
        <w:t xml:space="preserve">   第三十条</w:t>
      </w:r>
      <w:r>
        <w:rPr>
          <w:rFonts w:eastAsia="方正仿宋简体"/>
          <w:sz w:val="30"/>
          <w:szCs w:val="30"/>
        </w:rPr>
        <w:t xml:space="preserve">  业务创新试点申请人有本办法第八条第（四）项中的未履行或者未如期履行承诺信息，或者第（五）项至第</w:t>
      </w:r>
      <w:r>
        <w:rPr>
          <w:rFonts w:hint="eastAsia" w:eastAsia="方正仿宋简体"/>
          <w:sz w:val="30"/>
          <w:szCs w:val="30"/>
        </w:rPr>
        <w:t xml:space="preserve">    </w:t>
      </w:r>
      <w:r>
        <w:rPr>
          <w:rFonts w:eastAsia="方正仿宋简体"/>
          <w:sz w:val="30"/>
          <w:szCs w:val="30"/>
        </w:rPr>
        <w:t>（十</w:t>
      </w:r>
      <w:r>
        <w:rPr>
          <w:rFonts w:hint="eastAsia" w:eastAsia="方正仿宋简体"/>
          <w:sz w:val="30"/>
          <w:szCs w:val="30"/>
        </w:rPr>
        <w:t>八</w:t>
      </w:r>
      <w:r>
        <w:rPr>
          <w:rFonts w:eastAsia="方正仿宋简体"/>
          <w:sz w:val="30"/>
          <w:szCs w:val="30"/>
        </w:rPr>
        <w:t>）项规定的违法失信信息之一的，中国证监会及其派出机构、证券期货市场行业组织可以暂缓或者不予安排，但申请人能证明该违法失信信息与业务创新明显无关的除外。</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第三十一条</w:t>
      </w:r>
      <w:r>
        <w:rPr>
          <w:rFonts w:hint="eastAsia" w:ascii="黑体" w:hAnsi="黑体" w:eastAsia="黑体" w:cs="黑体"/>
          <w:sz w:val="30"/>
          <w:szCs w:val="30"/>
        </w:rPr>
        <w:t xml:space="preserve"> </w:t>
      </w:r>
      <w:r>
        <w:rPr>
          <w:rFonts w:eastAsia="方正仿宋简体"/>
          <w:sz w:val="30"/>
          <w:szCs w:val="30"/>
        </w:rPr>
        <w:t xml:space="preserve"> 中国证监会及其派出机构审查行政许可，对符合以下条件的，在受理后，即时进行审查：</w:t>
      </w:r>
    </w:p>
    <w:p>
      <w:pPr>
        <w:adjustRightInd w:val="0"/>
        <w:snapToGrid w:val="0"/>
        <w:spacing w:line="560" w:lineRule="exact"/>
        <w:rPr>
          <w:rFonts w:eastAsia="方正仿宋简体"/>
          <w:sz w:val="30"/>
          <w:szCs w:val="30"/>
        </w:rPr>
      </w:pPr>
      <w:r>
        <w:rPr>
          <w:rFonts w:eastAsia="方正仿宋简体"/>
          <w:sz w:val="30"/>
          <w:szCs w:val="30"/>
        </w:rPr>
        <w:t>　　（一）近三年没有违反证券期货法律、行政法规和中国证监会规定的失信记录；</w:t>
      </w:r>
    </w:p>
    <w:p>
      <w:pPr>
        <w:adjustRightInd w:val="0"/>
        <w:snapToGrid w:val="0"/>
        <w:spacing w:line="560" w:lineRule="exact"/>
        <w:rPr>
          <w:rFonts w:eastAsia="方正仿宋简体"/>
          <w:sz w:val="30"/>
          <w:szCs w:val="30"/>
        </w:rPr>
      </w:pPr>
      <w:r>
        <w:rPr>
          <w:rFonts w:eastAsia="方正仿宋简体"/>
          <w:sz w:val="30"/>
          <w:szCs w:val="30"/>
        </w:rPr>
        <w:t>　　（二）近三年没有因违法开展经营活动被银行、保险、税收、环保、海关等相关主管部门予以行政处罚；</w:t>
      </w:r>
    </w:p>
    <w:p>
      <w:pPr>
        <w:adjustRightInd w:val="0"/>
        <w:snapToGrid w:val="0"/>
        <w:spacing w:line="560" w:lineRule="exact"/>
        <w:rPr>
          <w:rFonts w:eastAsia="方正仿宋简体"/>
          <w:sz w:val="30"/>
          <w:szCs w:val="30"/>
        </w:rPr>
      </w:pPr>
      <w:r>
        <w:rPr>
          <w:rFonts w:eastAsia="方正仿宋简体"/>
          <w:sz w:val="30"/>
          <w:szCs w:val="30"/>
        </w:rPr>
        <w:t>　　（三）没有因证券期货犯罪或者其他犯罪被人民法院判处刑罚。</w:t>
      </w:r>
    </w:p>
    <w:p>
      <w:pPr>
        <w:adjustRightInd w:val="0"/>
        <w:snapToGrid w:val="0"/>
        <w:spacing w:line="560" w:lineRule="exact"/>
        <w:rPr>
          <w:rFonts w:eastAsia="方正仿宋简体"/>
          <w:sz w:val="30"/>
          <w:szCs w:val="30"/>
        </w:rPr>
      </w:pPr>
      <w:r>
        <w:rPr>
          <w:rFonts w:eastAsia="方正仿宋简体"/>
          <w:sz w:val="30"/>
          <w:szCs w:val="30"/>
        </w:rPr>
        <w:t xml:space="preserve">    中国证监会及其派出机构审查行政许可，可以在同等条件下对诚信积分较高的申请人优先审查。</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第三十二条</w:t>
      </w:r>
      <w:r>
        <w:rPr>
          <w:rFonts w:hint="eastAsia" w:ascii="黑体" w:hAnsi="黑体" w:eastAsia="黑体" w:cs="黑体"/>
          <w:sz w:val="30"/>
          <w:szCs w:val="30"/>
        </w:rPr>
        <w:t xml:space="preserve"> </w:t>
      </w:r>
      <w:r>
        <w:rPr>
          <w:rFonts w:eastAsia="方正仿宋简体"/>
          <w:sz w:val="30"/>
          <w:szCs w:val="30"/>
        </w:rPr>
        <w:t xml:space="preserve"> 中国证监会及其派出机构、证券期货市场行业组织在业务创新试点安排中，可以在法律、行政法规规定的范围内，对于同等条件下诚信状况较好的申请人予以优先安排。</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hint="eastAsia" w:ascii="黑体" w:hAnsi="黑体" w:eastAsia="黑体" w:cs="黑体"/>
          <w:sz w:val="30"/>
          <w:szCs w:val="30"/>
        </w:rPr>
        <w:t>第三十三条</w:t>
      </w:r>
      <w:r>
        <w:rPr>
          <w:rFonts w:hint="eastAsia" w:eastAsia="方正仿宋简体"/>
          <w:sz w:val="30"/>
          <w:szCs w:val="30"/>
        </w:rPr>
        <w:t xml:space="preserve"> </w:t>
      </w:r>
      <w:r>
        <w:rPr>
          <w:rFonts w:eastAsia="方正仿宋简体"/>
          <w:sz w:val="30"/>
          <w:szCs w:val="30"/>
        </w:rPr>
        <w:t xml:space="preserve"> 中国证监会及其派出机构在对公民、法人或者其他组织进行行政处罚、实施市场禁入和采取监督管理措施中，应当查阅当事人的诚信档案，在综合考虑当事人违法行为的性质、情节、损害投资者合法权益程度和当事人诚信状况等因素的基础上，依法作出处理。</w:t>
      </w:r>
    </w:p>
    <w:p>
      <w:pPr>
        <w:adjustRightInd w:val="0"/>
        <w:snapToGrid w:val="0"/>
        <w:spacing w:line="560" w:lineRule="exact"/>
        <w:rPr>
          <w:rFonts w:eastAsia="方正仿宋简体"/>
          <w:sz w:val="30"/>
          <w:szCs w:val="30"/>
        </w:rPr>
      </w:pPr>
      <w:r>
        <w:rPr>
          <w:rFonts w:eastAsia="方正仿宋简体"/>
          <w:sz w:val="30"/>
          <w:szCs w:val="30"/>
        </w:rPr>
        <w:t>　　</w:t>
      </w:r>
      <w:r>
        <w:rPr>
          <w:rFonts w:hint="eastAsia" w:ascii="黑体" w:hAnsi="黑体" w:eastAsia="黑体" w:cs="黑体"/>
          <w:sz w:val="30"/>
          <w:szCs w:val="30"/>
        </w:rPr>
        <w:t>第三十四条</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中国证监会及其派出机构在开展监督检查等日常监管工作中，应当查阅被监管机构的诚信档案，根据被监管机构的诚信状况，有针对性地进行现场检查和非现场检查，或者适当调整、安排现场检查的对象、频率和内容。</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第三十五条</w:t>
      </w:r>
      <w:r>
        <w:rPr>
          <w:rFonts w:hint="eastAsia" w:eastAsia="方正仿宋简体"/>
          <w:sz w:val="30"/>
          <w:szCs w:val="30"/>
        </w:rPr>
        <w:t xml:space="preserve"> </w:t>
      </w:r>
      <w:r>
        <w:rPr>
          <w:rFonts w:eastAsia="方正仿宋简体"/>
          <w:sz w:val="30"/>
          <w:szCs w:val="30"/>
        </w:rPr>
        <w:t xml:space="preserve"> 证券登记结算机构、证券公司、期货公司等机构在为投资者、客户开立证券、期货相关账户时，应当查询投资者、客户的诚信档案，按照规定办理相关账户开立事宜。</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第三十六条</w:t>
      </w:r>
      <w:r>
        <w:rPr>
          <w:rFonts w:hint="eastAsia" w:ascii="黑体" w:hAnsi="黑体" w:eastAsia="黑体" w:cs="黑体"/>
          <w:sz w:val="30"/>
          <w:szCs w:val="30"/>
        </w:rPr>
        <w:t xml:space="preserve"> </w:t>
      </w:r>
      <w:r>
        <w:rPr>
          <w:rFonts w:ascii="黑体" w:hAnsi="黑体" w:eastAsia="黑体" w:cs="黑体"/>
          <w:sz w:val="30"/>
          <w:szCs w:val="30"/>
        </w:rPr>
        <w:t xml:space="preserve"> </w:t>
      </w:r>
      <w:r>
        <w:rPr>
          <w:rFonts w:eastAsia="方正仿宋简体"/>
          <w:sz w:val="30"/>
          <w:szCs w:val="30"/>
        </w:rPr>
        <w:t>证券公司在办理客户证券质押式回购、约定式购回以及融资融券业务申请时，可以查阅客户的诚信档案，根据申请人的诚信状况，决定是否予以办理，或者确定和调整授信额度。</w:t>
      </w:r>
    </w:p>
    <w:p>
      <w:pPr>
        <w:adjustRightInd w:val="0"/>
        <w:snapToGrid w:val="0"/>
        <w:spacing w:line="560" w:lineRule="exact"/>
        <w:rPr>
          <w:rFonts w:eastAsia="方正仿宋简体"/>
          <w:sz w:val="30"/>
          <w:szCs w:val="30"/>
        </w:rPr>
      </w:pPr>
      <w:r>
        <w:rPr>
          <w:rFonts w:eastAsia="方正仿宋简体"/>
          <w:sz w:val="30"/>
          <w:szCs w:val="30"/>
        </w:rPr>
        <w:t>　　证券金融公司在开展转融通业务时，可以查阅证券公司的诚信档案，根据证券公司的诚信状况，决定是否对其进行转融通，或者确定和调整授信额度。</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第三十七条</w:t>
      </w:r>
      <w:r>
        <w:rPr>
          <w:rFonts w:eastAsia="方正仿宋简体"/>
          <w:sz w:val="30"/>
          <w:szCs w:val="30"/>
        </w:rPr>
        <w:t xml:space="preserve">  发行人、上市公司、全国中小企业股份转让系统挂牌公司、证券公司、期货公司、基金管理人、证券期货服务机构拟聘任董事、监事、高级管理人员以及从业人员的，应当查询拟聘任人员的诚信档案，并将其诚信状况作为决定是否聘任的依据。</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xml:space="preserve">第三十八条 </w:t>
      </w:r>
      <w:r>
        <w:rPr>
          <w:rFonts w:eastAsia="方正仿宋简体"/>
          <w:sz w:val="30"/>
          <w:szCs w:val="30"/>
        </w:rPr>
        <w:t xml:space="preserve"> 证券公司、证券服务机构受托为发行人、上市公司、全国中小企业股份转让系统挂牌公司等提供证券服务的，应当查询委托人的诚信档案，并将其诚信状况作为决定是否接受委托、确定收费标准的依据。</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第三十九条  </w:t>
      </w:r>
      <w:r>
        <w:rPr>
          <w:rFonts w:eastAsia="方正仿宋简体"/>
          <w:sz w:val="30"/>
          <w:szCs w:val="30"/>
        </w:rPr>
        <w:t>公民、法人或者其他组织公开发布证券期货市场评论信息，所述事实内容与实际情况不相符合的，或者存在其他显著误导公众情形的，中国证监会及其派出机构可以对其出具诚信关注函，记入诚信档案，并可将有关情况向其所在工作单位、所属主管部门或者行业自律组织通报。</w:t>
      </w:r>
    </w:p>
    <w:p>
      <w:pPr>
        <w:adjustRightInd w:val="0"/>
        <w:snapToGrid w:val="0"/>
        <w:spacing w:line="560" w:lineRule="exact"/>
        <w:rPr>
          <w:rFonts w:eastAsia="方正仿宋简体"/>
          <w:sz w:val="30"/>
          <w:szCs w:val="30"/>
        </w:rPr>
      </w:pPr>
      <w:r>
        <w:rPr>
          <w:rFonts w:eastAsia="方正仿宋简体"/>
          <w:sz w:val="30"/>
          <w:szCs w:val="30"/>
        </w:rPr>
        <w:t>　　证券期货投资咨询机构及其人员公开发布证券期货市场评论信息违反规定的，依照有关规定处理、处罚。</w:t>
      </w:r>
    </w:p>
    <w:p>
      <w:pPr>
        <w:adjustRightInd w:val="0"/>
        <w:snapToGrid w:val="0"/>
        <w:spacing w:line="560" w:lineRule="exact"/>
        <w:rPr>
          <w:rFonts w:eastAsia="方正仿宋简体"/>
          <w:sz w:val="30"/>
          <w:szCs w:val="30"/>
        </w:rPr>
      </w:pPr>
      <w:r>
        <w:rPr>
          <w:rFonts w:eastAsia="方正仿宋简体"/>
          <w:sz w:val="30"/>
          <w:szCs w:val="30"/>
        </w:rPr>
        <w:t>　　公民、法人或者其他组织利用公开发布证券期货市场评论信息进行操纵市场等违法行为的，依法予以处罚；构成犯罪的，由司法机关依法追究刑事责任。</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第四十条</w:t>
      </w:r>
      <w:r>
        <w:rPr>
          <w:rFonts w:eastAsia="方正仿宋简体"/>
          <w:sz w:val="30"/>
          <w:szCs w:val="30"/>
        </w:rPr>
        <w:t xml:space="preserve">  证券期货市场行业组织应当教育和鼓励其成员以及从业人员遵守法律，诚实信用。对遵守法律、诚实信用的成员以及从业人员，可以给予表彰、奖励。</w:t>
      </w:r>
    </w:p>
    <w:p>
      <w:pPr>
        <w:adjustRightInd w:val="0"/>
        <w:snapToGrid w:val="0"/>
        <w:spacing w:line="560" w:lineRule="exact"/>
        <w:rPr>
          <w:rFonts w:eastAsia="方正仿宋简体"/>
          <w:sz w:val="30"/>
          <w:szCs w:val="30"/>
        </w:rPr>
      </w:pPr>
      <w:r>
        <w:rPr>
          <w:rFonts w:eastAsia="方正仿宋简体"/>
          <w:sz w:val="30"/>
          <w:szCs w:val="30"/>
        </w:rPr>
        <w:t>　　中国证监会鼓励证券期货市场行业组织等建立证券期货市场诚信评估制度，组织开展对有关行业和市场主体的诚信状况评估，并将评估结果予以公示。</w:t>
      </w:r>
    </w:p>
    <w:p>
      <w:pPr>
        <w:adjustRightInd w:val="0"/>
        <w:snapToGrid w:val="0"/>
        <w:spacing w:line="560" w:lineRule="exact"/>
        <w:rPr>
          <w:rFonts w:eastAsia="方正仿宋简体"/>
          <w:sz w:val="30"/>
          <w:szCs w:val="30"/>
        </w:rPr>
      </w:pPr>
      <w:r>
        <w:rPr>
          <w:rFonts w:eastAsia="方正仿宋简体"/>
          <w:sz w:val="30"/>
          <w:szCs w:val="30"/>
        </w:rPr>
        <w:t>　　中国证券业协会、中国期货业协会、中国上市公司协会、中国证券投资基金业协会建立年度诚信会员制度。具体办法由相关协会制定，报中国证监会备案。</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第四十一条  </w:t>
      </w:r>
      <w:r>
        <w:rPr>
          <w:rFonts w:eastAsia="方正仿宋简体"/>
          <w:sz w:val="30"/>
          <w:szCs w:val="30"/>
        </w:rPr>
        <w:t>上市公司、全国中小企业股份转让系统挂牌公司、证券公司、期货公司、基金管理人和证券期货服务机构等应当不断完善内部诚信监督、约束制度机制，提高诚信水平。</w:t>
      </w:r>
    </w:p>
    <w:p>
      <w:pPr>
        <w:adjustRightInd w:val="0"/>
        <w:snapToGrid w:val="0"/>
        <w:spacing w:line="560" w:lineRule="exact"/>
        <w:rPr>
          <w:rFonts w:eastAsia="方正仿宋简体"/>
          <w:sz w:val="30"/>
          <w:szCs w:val="30"/>
        </w:rPr>
      </w:pPr>
      <w:r>
        <w:rPr>
          <w:rFonts w:eastAsia="方正仿宋简体"/>
          <w:sz w:val="30"/>
          <w:szCs w:val="30"/>
        </w:rPr>
        <w:t>　　中国证监会及其派出机构对前款规定机构的内部诚信监督、约束制度机制建设情况进行检查、指导，并可以将检查情况在行业和辖区内进行通报。</w:t>
      </w:r>
    </w:p>
    <w:p>
      <w:pPr>
        <w:adjustRightInd w:val="0"/>
        <w:snapToGrid w:val="0"/>
        <w:spacing w:line="560" w:lineRule="exact"/>
        <w:rPr>
          <w:rFonts w:eastAsia="方正仿宋简体"/>
          <w:sz w:val="30"/>
          <w:szCs w:val="30"/>
        </w:rPr>
      </w:pPr>
      <w:r>
        <w:rPr>
          <w:rFonts w:eastAsia="方正仿宋简体"/>
          <w:sz w:val="30"/>
          <w:szCs w:val="30"/>
        </w:rPr>
        <w:t>　　</w:t>
      </w:r>
      <w:r>
        <w:rPr>
          <w:rFonts w:ascii="黑体" w:hAnsi="黑体" w:eastAsia="黑体" w:cs="黑体"/>
          <w:sz w:val="30"/>
          <w:szCs w:val="30"/>
        </w:rPr>
        <w:t xml:space="preserve">第四十二条 </w:t>
      </w:r>
      <w:r>
        <w:rPr>
          <w:rFonts w:eastAsia="方正仿宋简体"/>
          <w:sz w:val="30"/>
          <w:szCs w:val="30"/>
        </w:rPr>
        <w:t xml:space="preserve"> 对有本办法第八条第（四）项中的未履行或者未如期履行承诺信息，或者第（五）项至第（十</w:t>
      </w:r>
      <w:r>
        <w:rPr>
          <w:rFonts w:hint="eastAsia" w:eastAsia="方正仿宋简体"/>
          <w:sz w:val="30"/>
          <w:szCs w:val="30"/>
        </w:rPr>
        <w:t>八</w:t>
      </w:r>
      <w:r>
        <w:rPr>
          <w:rFonts w:eastAsia="方正仿宋简体"/>
          <w:sz w:val="30"/>
          <w:szCs w:val="30"/>
        </w:rPr>
        <w:t>）项规定的违法失信信息的公民，中国证监会及其派出机构、证券期货市场行业组织可以不聘任其担任下列职务：</w:t>
      </w:r>
    </w:p>
    <w:p>
      <w:pPr>
        <w:adjustRightInd w:val="0"/>
        <w:snapToGrid w:val="0"/>
        <w:spacing w:line="560" w:lineRule="exact"/>
        <w:rPr>
          <w:rFonts w:eastAsia="方正仿宋简体"/>
          <w:sz w:val="30"/>
          <w:szCs w:val="30"/>
        </w:rPr>
      </w:pPr>
      <w:r>
        <w:rPr>
          <w:rFonts w:eastAsia="方正仿宋简体"/>
          <w:sz w:val="30"/>
          <w:szCs w:val="30"/>
        </w:rPr>
        <w:t>　　（一）中国证监会股票发行审核委员会委员；</w:t>
      </w:r>
    </w:p>
    <w:p>
      <w:pPr>
        <w:adjustRightInd w:val="0"/>
        <w:snapToGrid w:val="0"/>
        <w:spacing w:line="560" w:lineRule="exact"/>
        <w:rPr>
          <w:rFonts w:eastAsia="方正仿宋简体"/>
          <w:sz w:val="30"/>
          <w:szCs w:val="30"/>
        </w:rPr>
      </w:pPr>
      <w:r>
        <w:rPr>
          <w:rFonts w:eastAsia="方正仿宋简体"/>
          <w:sz w:val="30"/>
          <w:szCs w:val="30"/>
        </w:rPr>
        <w:t>　　（二）中国证监会上市公司并购重组审核委员会委员；</w:t>
      </w:r>
    </w:p>
    <w:p>
      <w:pPr>
        <w:adjustRightInd w:val="0"/>
        <w:snapToGrid w:val="0"/>
        <w:spacing w:line="560" w:lineRule="exact"/>
        <w:rPr>
          <w:rFonts w:eastAsia="方正仿宋简体"/>
          <w:sz w:val="30"/>
          <w:szCs w:val="30"/>
        </w:rPr>
      </w:pPr>
      <w:r>
        <w:rPr>
          <w:rFonts w:eastAsia="方正仿宋简体"/>
          <w:sz w:val="30"/>
          <w:szCs w:val="30"/>
        </w:rPr>
        <w:t xml:space="preserve">    （三）中国证监会及其派出机构、证券期货市场行业组织成立的负有审核、监督、核查、咨询职责的其他组织的成员。</w:t>
      </w:r>
    </w:p>
    <w:p>
      <w:pPr>
        <w:adjustRightInd w:val="0"/>
        <w:snapToGrid w:val="0"/>
        <w:spacing w:line="560" w:lineRule="exact"/>
        <w:ind w:firstLine="600" w:firstLineChars="200"/>
        <w:rPr>
          <w:rFonts w:eastAsia="方正仿宋简体"/>
          <w:sz w:val="30"/>
          <w:szCs w:val="30"/>
        </w:rPr>
      </w:pPr>
      <w:r>
        <w:rPr>
          <w:rFonts w:ascii="黑体" w:hAnsi="黑体" w:eastAsia="黑体" w:cs="黑体"/>
          <w:sz w:val="30"/>
          <w:szCs w:val="30"/>
        </w:rPr>
        <w:t>第四十三条</w:t>
      </w:r>
      <w:r>
        <w:rPr>
          <w:rFonts w:eastAsia="方正仿宋简体"/>
          <w:sz w:val="30"/>
          <w:szCs w:val="30"/>
        </w:rPr>
        <w:t>　中国证监会与国务院其他部门、地方人民政府、国家司法机关和有关组织建立对证券期货市场参与主体的失信联合惩戒和守信联合激励制度机制，提供证券期货市场主体的相关诚信信息，依法实施联合惩戒、激励。</w:t>
      </w:r>
    </w:p>
    <w:p>
      <w:pPr>
        <w:adjustRightInd w:val="0"/>
        <w:snapToGrid w:val="0"/>
        <w:spacing w:line="560" w:lineRule="exact"/>
        <w:ind w:firstLine="600" w:firstLineChars="200"/>
        <w:rPr>
          <w:rFonts w:ascii="黑体" w:hAnsi="黑体" w:eastAsia="黑体" w:cs="黑体"/>
          <w:sz w:val="30"/>
          <w:szCs w:val="30"/>
        </w:rPr>
      </w:pPr>
    </w:p>
    <w:p>
      <w:pPr>
        <w:numPr>
          <w:ilvl w:val="255"/>
          <w:numId w:val="0"/>
        </w:numPr>
        <w:adjustRightInd w:val="0"/>
        <w:snapToGrid w:val="0"/>
        <w:spacing w:line="560" w:lineRule="exact"/>
        <w:jc w:val="center"/>
        <w:rPr>
          <w:rFonts w:ascii="黑体" w:hAnsi="黑体" w:eastAsia="黑体" w:cs="黑体"/>
          <w:sz w:val="30"/>
          <w:szCs w:val="30"/>
        </w:rPr>
      </w:pPr>
      <w:r>
        <w:rPr>
          <w:rFonts w:hint="eastAsia" w:ascii="黑体" w:hAnsi="黑体" w:eastAsia="黑体" w:cs="黑体"/>
          <w:sz w:val="30"/>
          <w:szCs w:val="30"/>
        </w:rPr>
        <w:t>第五章</w:t>
      </w:r>
      <w:r>
        <w:rPr>
          <w:rFonts w:ascii="黑体" w:hAnsi="黑体" w:eastAsia="黑体" w:cs="黑体"/>
          <w:sz w:val="30"/>
          <w:szCs w:val="30"/>
        </w:rPr>
        <w:t xml:space="preserve"> 监督与管理</w:t>
      </w:r>
    </w:p>
    <w:p>
      <w:pPr>
        <w:adjustRightInd w:val="0"/>
        <w:snapToGrid w:val="0"/>
        <w:spacing w:line="560" w:lineRule="exact"/>
        <w:rPr>
          <w:rFonts w:eastAsia="方正仿宋简体"/>
          <w:sz w:val="30"/>
          <w:szCs w:val="30"/>
        </w:rPr>
      </w:pPr>
    </w:p>
    <w:p>
      <w:pPr>
        <w:adjustRightInd w:val="0"/>
        <w:snapToGrid w:val="0"/>
        <w:spacing w:line="560" w:lineRule="exact"/>
        <w:rPr>
          <w:rFonts w:eastAsia="方正仿宋简体"/>
          <w:sz w:val="30"/>
          <w:szCs w:val="30"/>
        </w:rPr>
      </w:pPr>
      <w:r>
        <w:rPr>
          <w:rFonts w:eastAsia="方正仿宋简体"/>
          <w:sz w:val="30"/>
          <w:szCs w:val="30"/>
        </w:rPr>
        <w:t xml:space="preserve">    </w:t>
      </w:r>
      <w:r>
        <w:rPr>
          <w:rFonts w:hint="eastAsia" w:ascii="黑体" w:hAnsi="黑体" w:eastAsia="黑体" w:cs="黑体"/>
          <w:sz w:val="30"/>
          <w:szCs w:val="30"/>
        </w:rPr>
        <w:t>第四十四条</w:t>
      </w:r>
      <w:r>
        <w:rPr>
          <w:rFonts w:eastAsia="方正仿宋简体"/>
          <w:sz w:val="30"/>
          <w:szCs w:val="30"/>
        </w:rPr>
        <w:t xml:space="preserve">  中国证监会诚信监督管理机构履行下列职责：</w:t>
      </w:r>
    </w:p>
    <w:p>
      <w:pPr>
        <w:adjustRightInd w:val="0"/>
        <w:snapToGrid w:val="0"/>
        <w:spacing w:line="560" w:lineRule="exact"/>
        <w:rPr>
          <w:rFonts w:eastAsia="方正仿宋简体"/>
          <w:sz w:val="30"/>
          <w:szCs w:val="30"/>
        </w:rPr>
      </w:pPr>
      <w:r>
        <w:rPr>
          <w:rFonts w:eastAsia="方正仿宋简体"/>
          <w:sz w:val="30"/>
          <w:szCs w:val="30"/>
        </w:rPr>
        <w:t>　　（一）界定、组织采集证券期货市场诚信信息；</w:t>
      </w:r>
    </w:p>
    <w:p>
      <w:pPr>
        <w:adjustRightInd w:val="0"/>
        <w:snapToGrid w:val="0"/>
        <w:spacing w:line="560" w:lineRule="exact"/>
        <w:rPr>
          <w:rFonts w:eastAsia="方正仿宋简体"/>
          <w:sz w:val="30"/>
          <w:szCs w:val="30"/>
        </w:rPr>
      </w:pPr>
      <w:r>
        <w:rPr>
          <w:rFonts w:eastAsia="方正仿宋简体"/>
          <w:sz w:val="30"/>
          <w:szCs w:val="30"/>
        </w:rPr>
        <w:t>　　（二）建立、管理诚信档案，组织、督促诚信信息的记入；</w:t>
      </w:r>
    </w:p>
    <w:p>
      <w:pPr>
        <w:adjustRightInd w:val="0"/>
        <w:snapToGrid w:val="0"/>
        <w:spacing w:line="560" w:lineRule="exact"/>
        <w:rPr>
          <w:rFonts w:eastAsia="方正仿宋简体"/>
          <w:sz w:val="30"/>
          <w:szCs w:val="30"/>
        </w:rPr>
      </w:pPr>
      <w:r>
        <w:rPr>
          <w:rFonts w:eastAsia="方正仿宋简体"/>
          <w:sz w:val="30"/>
          <w:szCs w:val="30"/>
        </w:rPr>
        <w:t>　　（三）组织办理诚信信息的公开、查询和共享；</w:t>
      </w:r>
    </w:p>
    <w:p>
      <w:pPr>
        <w:adjustRightInd w:val="0"/>
        <w:snapToGrid w:val="0"/>
        <w:spacing w:line="560" w:lineRule="exact"/>
        <w:rPr>
          <w:rFonts w:eastAsia="方正仿宋简体"/>
          <w:sz w:val="30"/>
          <w:szCs w:val="30"/>
        </w:rPr>
      </w:pPr>
      <w:r>
        <w:rPr>
          <w:rFonts w:eastAsia="方正仿宋简体"/>
          <w:sz w:val="30"/>
          <w:szCs w:val="30"/>
        </w:rPr>
        <w:t>　　（四）建立、协调实施诚信监督、约束与激励机制；</w:t>
      </w:r>
    </w:p>
    <w:p>
      <w:pPr>
        <w:adjustRightInd w:val="0"/>
        <w:snapToGrid w:val="0"/>
        <w:spacing w:line="560" w:lineRule="exact"/>
        <w:rPr>
          <w:rFonts w:eastAsia="方正仿宋简体"/>
          <w:sz w:val="30"/>
          <w:szCs w:val="30"/>
        </w:rPr>
      </w:pPr>
      <w:r>
        <w:rPr>
          <w:rFonts w:eastAsia="方正仿宋简体"/>
          <w:sz w:val="30"/>
          <w:szCs w:val="30"/>
        </w:rPr>
        <w:t xml:space="preserve">    （五）中国证监会规定的其他诚信监督管理与服务职责。</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第四十五条</w:t>
      </w:r>
      <w:r>
        <w:rPr>
          <w:rFonts w:eastAsia="方正仿宋简体"/>
          <w:sz w:val="30"/>
          <w:szCs w:val="30"/>
        </w:rPr>
        <w:t xml:space="preserve">  中国证监会各派出机构负责接收、办理公民、法人或者其他组织根据本办法规定提出的诚信信息记入申报、诚信信息查询申请、诚信信息更正申请等事项。</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 xml:space="preserve">  第四十六条</w:t>
      </w:r>
      <w:r>
        <w:rPr>
          <w:rFonts w:eastAsia="方正仿宋简体"/>
          <w:sz w:val="30"/>
          <w:szCs w:val="30"/>
        </w:rPr>
        <w:t xml:space="preserve">  中国证监会及其派出机构、证券期货市场行业组织，未按照本办法规定及时、真实、准确、完整地记入诚信信息，造成不良后果的，按照有关规定对相关责任人员进行行政处分；情节严重的，依法追究法律责任。</w:t>
      </w:r>
    </w:p>
    <w:p>
      <w:pPr>
        <w:adjustRightInd w:val="0"/>
        <w:snapToGrid w:val="0"/>
        <w:spacing w:line="560" w:lineRule="exact"/>
        <w:ind w:firstLine="600" w:firstLineChars="200"/>
        <w:rPr>
          <w:rFonts w:eastAsia="方正仿宋简体"/>
          <w:sz w:val="30"/>
          <w:szCs w:val="30"/>
        </w:rPr>
      </w:pPr>
      <w:r>
        <w:rPr>
          <w:rFonts w:ascii="黑体" w:hAnsi="黑体" w:eastAsia="黑体" w:cs="黑体"/>
          <w:sz w:val="30"/>
          <w:szCs w:val="30"/>
        </w:rPr>
        <w:t xml:space="preserve">第四十七条 </w:t>
      </w:r>
      <w:r>
        <w:rPr>
          <w:rFonts w:eastAsia="方正仿宋简体"/>
          <w:sz w:val="30"/>
          <w:szCs w:val="30"/>
        </w:rPr>
        <w:t xml:space="preserve"> 违反本办法第十条、第十八条、第二十二条、第三十五条、第三十七条、第三十八条规定的，中国证监会及其派出机构可以采取责令改正、监管谈话、出具警示函、责令公开说明、在一定期限内不予接受其诚信信息申报和查询申请等监督管理措施；情节严重的，依法追究法律责任。</w:t>
      </w:r>
    </w:p>
    <w:p>
      <w:pPr>
        <w:adjustRightInd w:val="0"/>
        <w:snapToGrid w:val="0"/>
        <w:spacing w:line="560" w:lineRule="exact"/>
        <w:ind w:firstLine="600" w:firstLineChars="200"/>
        <w:rPr>
          <w:rFonts w:eastAsia="方正仿宋简体"/>
          <w:sz w:val="30"/>
          <w:szCs w:val="30"/>
        </w:rPr>
      </w:pPr>
    </w:p>
    <w:p>
      <w:pPr>
        <w:numPr>
          <w:ilvl w:val="255"/>
          <w:numId w:val="0"/>
        </w:numPr>
        <w:adjustRightInd w:val="0"/>
        <w:snapToGrid w:val="0"/>
        <w:spacing w:line="560" w:lineRule="exact"/>
        <w:jc w:val="center"/>
        <w:rPr>
          <w:rFonts w:ascii="黑体" w:hAnsi="黑体" w:eastAsia="黑体" w:cs="黑体"/>
          <w:sz w:val="30"/>
          <w:szCs w:val="30"/>
        </w:rPr>
      </w:pPr>
      <w:r>
        <w:rPr>
          <w:rFonts w:hint="eastAsia" w:ascii="黑体" w:hAnsi="黑体" w:eastAsia="黑体" w:cs="黑体"/>
          <w:sz w:val="30"/>
          <w:szCs w:val="30"/>
        </w:rPr>
        <w:t>第六章</w:t>
      </w:r>
      <w:r>
        <w:rPr>
          <w:rFonts w:ascii="黑体" w:hAnsi="黑体" w:eastAsia="黑体" w:cs="黑体"/>
          <w:sz w:val="30"/>
          <w:szCs w:val="30"/>
        </w:rPr>
        <w:t xml:space="preserve"> 附 则</w:t>
      </w:r>
    </w:p>
    <w:p>
      <w:pPr>
        <w:adjustRightInd w:val="0"/>
        <w:snapToGrid w:val="0"/>
        <w:spacing w:line="560" w:lineRule="exact"/>
        <w:rPr>
          <w:rFonts w:eastAsia="方正仿宋简体"/>
          <w:sz w:val="30"/>
          <w:szCs w:val="30"/>
        </w:rPr>
      </w:pPr>
    </w:p>
    <w:p>
      <w:pPr>
        <w:adjustRightInd w:val="0"/>
        <w:snapToGrid w:val="0"/>
        <w:spacing w:line="560" w:lineRule="exact"/>
        <w:rPr>
          <w:rFonts w:eastAsia="方正仿宋简体"/>
          <w:sz w:val="30"/>
          <w:szCs w:val="30"/>
        </w:rPr>
      </w:pPr>
      <w:r>
        <w:rPr>
          <w:rFonts w:eastAsia="方正仿宋简体"/>
          <w:sz w:val="30"/>
          <w:szCs w:val="30"/>
        </w:rPr>
        <w:t>　</w:t>
      </w:r>
      <w:r>
        <w:rPr>
          <w:rFonts w:hint="eastAsia" w:ascii="黑体" w:hAnsi="黑体" w:eastAsia="黑体" w:cs="黑体"/>
          <w:sz w:val="30"/>
          <w:szCs w:val="30"/>
        </w:rPr>
        <w:t xml:space="preserve">  第四十八条</w:t>
      </w:r>
      <w:r>
        <w:rPr>
          <w:rFonts w:eastAsia="方正仿宋简体"/>
          <w:sz w:val="30"/>
          <w:szCs w:val="30"/>
        </w:rPr>
        <w:t xml:space="preserve">  中国证监会及其派出机构办理诚信信息查询，除可以收取打印、复制、装订、邮寄成本费用外，不得收取其他费用。</w:t>
      </w:r>
    </w:p>
    <w:p>
      <w:pPr>
        <w:adjustRightInd w:val="0"/>
        <w:snapToGrid w:val="0"/>
        <w:spacing w:line="560" w:lineRule="exact"/>
        <w:rPr>
          <w:rFonts w:eastAsia="方正仿宋简体"/>
          <w:sz w:val="30"/>
          <w:szCs w:val="30"/>
        </w:rPr>
      </w:pPr>
      <w:r>
        <w:rPr>
          <w:rFonts w:ascii="黑体" w:hAnsi="黑体" w:eastAsia="黑体" w:cs="黑体"/>
          <w:sz w:val="30"/>
          <w:szCs w:val="30"/>
        </w:rPr>
        <w:t xml:space="preserve">    第四十九条</w:t>
      </w:r>
      <w:r>
        <w:rPr>
          <w:rFonts w:eastAsia="方正仿宋简体"/>
          <w:sz w:val="30"/>
          <w:szCs w:val="30"/>
        </w:rPr>
        <w:t xml:space="preserve">  证券期货市场行业组织在履行自律管理职责中，查询诚信档案，实施诚信约束、激励的，参照本办法有关规定执行。</w:t>
      </w:r>
    </w:p>
    <w:p>
      <w:pPr>
        <w:adjustRightInd w:val="0"/>
        <w:snapToGrid w:val="0"/>
        <w:spacing w:line="560" w:lineRule="exact"/>
        <w:rPr>
          <w:rFonts w:eastAsia="方正仿宋简体"/>
          <w:sz w:val="30"/>
          <w:szCs w:val="30"/>
        </w:rPr>
      </w:pPr>
      <w:r>
        <w:rPr>
          <w:rFonts w:eastAsia="方正仿宋简体"/>
          <w:sz w:val="30"/>
          <w:szCs w:val="30"/>
        </w:rPr>
        <w:t xml:space="preserve">    </w:t>
      </w:r>
      <w:r>
        <w:rPr>
          <w:rFonts w:ascii="黑体" w:hAnsi="黑体" w:eastAsia="黑体" w:cs="黑体"/>
          <w:sz w:val="30"/>
          <w:szCs w:val="30"/>
        </w:rPr>
        <w:t>第五十条</w:t>
      </w:r>
      <w:r>
        <w:rPr>
          <w:rFonts w:eastAsia="方正仿宋简体"/>
          <w:sz w:val="30"/>
          <w:szCs w:val="30"/>
        </w:rPr>
        <w:t xml:space="preserve">  本办法自2018年7月1日起施行。《证券期货市场诚信监督管理暂行办法》（证监会令</w:t>
      </w:r>
      <w:bookmarkStart w:id="0" w:name="_GoBack"/>
      <w:bookmarkEnd w:id="0"/>
      <w:r>
        <w:rPr>
          <w:rFonts w:eastAsia="方正仿宋简体"/>
          <w:sz w:val="30"/>
          <w:szCs w:val="30"/>
        </w:rPr>
        <w:t>第106号）同时废止。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ourier New">
    <w:altName w:val="DejaVu Sans"/>
    <w:panose1 w:val="02070309020205020404"/>
    <w:charset w:val="00"/>
    <w:family w:val="modern"/>
    <w:pitch w:val="default"/>
    <w:sig w:usb0="00000000" w:usb1="00000000" w:usb2="00000009" w:usb3="00000000" w:csb0="000001FF" w:csb1="00000000"/>
  </w:font>
  <w:font w:name="方正大标宋简体">
    <w:altName w:val="方正书宋_GBK"/>
    <w:panose1 w:val="00000000000000000000"/>
    <w:charset w:val="86"/>
    <w:family w:val="auto"/>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仿宋简体">
    <w:altName w:val="方正仿宋_GBK"/>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DD5"/>
    <w:rsid w:val="000356D3"/>
    <w:rsid w:val="000362A0"/>
    <w:rsid w:val="00036735"/>
    <w:rsid w:val="00042887"/>
    <w:rsid w:val="00060C6D"/>
    <w:rsid w:val="000859EA"/>
    <w:rsid w:val="000943C4"/>
    <w:rsid w:val="000A2B29"/>
    <w:rsid w:val="000B1DF8"/>
    <w:rsid w:val="000B687A"/>
    <w:rsid w:val="000C078C"/>
    <w:rsid w:val="000C356B"/>
    <w:rsid w:val="000C5A7B"/>
    <w:rsid w:val="000D6714"/>
    <w:rsid w:val="000E1E29"/>
    <w:rsid w:val="00104BCD"/>
    <w:rsid w:val="00111519"/>
    <w:rsid w:val="00120E7A"/>
    <w:rsid w:val="00134958"/>
    <w:rsid w:val="001433BF"/>
    <w:rsid w:val="00151756"/>
    <w:rsid w:val="001552A4"/>
    <w:rsid w:val="0016259F"/>
    <w:rsid w:val="00164633"/>
    <w:rsid w:val="00166B41"/>
    <w:rsid w:val="00173163"/>
    <w:rsid w:val="00173E20"/>
    <w:rsid w:val="00177D56"/>
    <w:rsid w:val="00187E36"/>
    <w:rsid w:val="0019069F"/>
    <w:rsid w:val="001910AC"/>
    <w:rsid w:val="001971A5"/>
    <w:rsid w:val="001A0DF9"/>
    <w:rsid w:val="001A3335"/>
    <w:rsid w:val="001B729F"/>
    <w:rsid w:val="001C3555"/>
    <w:rsid w:val="001D3728"/>
    <w:rsid w:val="001D575A"/>
    <w:rsid w:val="001D6FDE"/>
    <w:rsid w:val="001E0E51"/>
    <w:rsid w:val="001E73F7"/>
    <w:rsid w:val="00217840"/>
    <w:rsid w:val="002178F7"/>
    <w:rsid w:val="00223DD5"/>
    <w:rsid w:val="00223F6C"/>
    <w:rsid w:val="00226C41"/>
    <w:rsid w:val="00232612"/>
    <w:rsid w:val="00234053"/>
    <w:rsid w:val="00237166"/>
    <w:rsid w:val="00237F17"/>
    <w:rsid w:val="00241E62"/>
    <w:rsid w:val="002423D3"/>
    <w:rsid w:val="00242C74"/>
    <w:rsid w:val="002433B6"/>
    <w:rsid w:val="00243614"/>
    <w:rsid w:val="00246BF2"/>
    <w:rsid w:val="00251CA7"/>
    <w:rsid w:val="00262239"/>
    <w:rsid w:val="00267DC9"/>
    <w:rsid w:val="00281B08"/>
    <w:rsid w:val="002908C2"/>
    <w:rsid w:val="002933D1"/>
    <w:rsid w:val="002966D3"/>
    <w:rsid w:val="002A6AF5"/>
    <w:rsid w:val="002E1E54"/>
    <w:rsid w:val="002E3AA0"/>
    <w:rsid w:val="002F347D"/>
    <w:rsid w:val="003026B8"/>
    <w:rsid w:val="00307519"/>
    <w:rsid w:val="00315EAE"/>
    <w:rsid w:val="00316BC0"/>
    <w:rsid w:val="003173AF"/>
    <w:rsid w:val="00322B80"/>
    <w:rsid w:val="00322C3F"/>
    <w:rsid w:val="003250F2"/>
    <w:rsid w:val="00330C44"/>
    <w:rsid w:val="00352630"/>
    <w:rsid w:val="0035348B"/>
    <w:rsid w:val="003906F3"/>
    <w:rsid w:val="00392942"/>
    <w:rsid w:val="003A3EB8"/>
    <w:rsid w:val="003A52C2"/>
    <w:rsid w:val="003A6454"/>
    <w:rsid w:val="003D6A34"/>
    <w:rsid w:val="003E276B"/>
    <w:rsid w:val="003E570F"/>
    <w:rsid w:val="004144DC"/>
    <w:rsid w:val="00415B90"/>
    <w:rsid w:val="00416EDE"/>
    <w:rsid w:val="00422FB1"/>
    <w:rsid w:val="0042369B"/>
    <w:rsid w:val="004239A7"/>
    <w:rsid w:val="00427672"/>
    <w:rsid w:val="0045335A"/>
    <w:rsid w:val="004833F0"/>
    <w:rsid w:val="00483577"/>
    <w:rsid w:val="004B377A"/>
    <w:rsid w:val="004B5806"/>
    <w:rsid w:val="004C354B"/>
    <w:rsid w:val="004D03FF"/>
    <w:rsid w:val="004D66C1"/>
    <w:rsid w:val="004F2130"/>
    <w:rsid w:val="004F33CB"/>
    <w:rsid w:val="0050526D"/>
    <w:rsid w:val="0052612A"/>
    <w:rsid w:val="005309C3"/>
    <w:rsid w:val="00530A52"/>
    <w:rsid w:val="005335AC"/>
    <w:rsid w:val="00536EC5"/>
    <w:rsid w:val="005438EE"/>
    <w:rsid w:val="00550EDC"/>
    <w:rsid w:val="00553E9D"/>
    <w:rsid w:val="00577918"/>
    <w:rsid w:val="005946B1"/>
    <w:rsid w:val="005A0129"/>
    <w:rsid w:val="005C63BD"/>
    <w:rsid w:val="005F74E2"/>
    <w:rsid w:val="0061295C"/>
    <w:rsid w:val="00614729"/>
    <w:rsid w:val="00614CC8"/>
    <w:rsid w:val="00615392"/>
    <w:rsid w:val="0062720D"/>
    <w:rsid w:val="00655850"/>
    <w:rsid w:val="0067767B"/>
    <w:rsid w:val="0069202A"/>
    <w:rsid w:val="006943C6"/>
    <w:rsid w:val="006B142E"/>
    <w:rsid w:val="006C335E"/>
    <w:rsid w:val="006C611F"/>
    <w:rsid w:val="006E19F3"/>
    <w:rsid w:val="006F5084"/>
    <w:rsid w:val="0072675E"/>
    <w:rsid w:val="00732C22"/>
    <w:rsid w:val="0074183A"/>
    <w:rsid w:val="00754302"/>
    <w:rsid w:val="00770176"/>
    <w:rsid w:val="00776749"/>
    <w:rsid w:val="00780315"/>
    <w:rsid w:val="00781BFF"/>
    <w:rsid w:val="00791920"/>
    <w:rsid w:val="0079392D"/>
    <w:rsid w:val="00793AC8"/>
    <w:rsid w:val="007A29C2"/>
    <w:rsid w:val="007A6427"/>
    <w:rsid w:val="007B6789"/>
    <w:rsid w:val="007C1A30"/>
    <w:rsid w:val="007C21A3"/>
    <w:rsid w:val="007D634B"/>
    <w:rsid w:val="007E2C33"/>
    <w:rsid w:val="007F3B2E"/>
    <w:rsid w:val="0081421F"/>
    <w:rsid w:val="008203E6"/>
    <w:rsid w:val="0084375C"/>
    <w:rsid w:val="00872221"/>
    <w:rsid w:val="008749D6"/>
    <w:rsid w:val="008846FE"/>
    <w:rsid w:val="0088493D"/>
    <w:rsid w:val="00891896"/>
    <w:rsid w:val="00895F10"/>
    <w:rsid w:val="008B6DB5"/>
    <w:rsid w:val="008C7748"/>
    <w:rsid w:val="00904E18"/>
    <w:rsid w:val="0091043F"/>
    <w:rsid w:val="00913C29"/>
    <w:rsid w:val="00913E04"/>
    <w:rsid w:val="009143A4"/>
    <w:rsid w:val="00914731"/>
    <w:rsid w:val="009159BC"/>
    <w:rsid w:val="00916B5A"/>
    <w:rsid w:val="00930DC0"/>
    <w:rsid w:val="009441A7"/>
    <w:rsid w:val="00945CAF"/>
    <w:rsid w:val="00946A9D"/>
    <w:rsid w:val="00952BDC"/>
    <w:rsid w:val="00966667"/>
    <w:rsid w:val="00971480"/>
    <w:rsid w:val="00990BA4"/>
    <w:rsid w:val="009B37F7"/>
    <w:rsid w:val="009B67BB"/>
    <w:rsid w:val="009C07BF"/>
    <w:rsid w:val="009C5A97"/>
    <w:rsid w:val="009D3EE2"/>
    <w:rsid w:val="009D4AC5"/>
    <w:rsid w:val="009D5082"/>
    <w:rsid w:val="009E70FC"/>
    <w:rsid w:val="009F3827"/>
    <w:rsid w:val="009F3EDA"/>
    <w:rsid w:val="009F480B"/>
    <w:rsid w:val="009F5B4F"/>
    <w:rsid w:val="00A03F45"/>
    <w:rsid w:val="00A1011F"/>
    <w:rsid w:val="00A310DB"/>
    <w:rsid w:val="00A31F7D"/>
    <w:rsid w:val="00A35805"/>
    <w:rsid w:val="00A4546A"/>
    <w:rsid w:val="00A63327"/>
    <w:rsid w:val="00A64845"/>
    <w:rsid w:val="00A6785B"/>
    <w:rsid w:val="00A8191B"/>
    <w:rsid w:val="00A83455"/>
    <w:rsid w:val="00A87E1A"/>
    <w:rsid w:val="00A9202D"/>
    <w:rsid w:val="00A934AF"/>
    <w:rsid w:val="00AA11E7"/>
    <w:rsid w:val="00AA1BD3"/>
    <w:rsid w:val="00AA1BFF"/>
    <w:rsid w:val="00AB0BDF"/>
    <w:rsid w:val="00AB3015"/>
    <w:rsid w:val="00AC57E4"/>
    <w:rsid w:val="00AD3AC4"/>
    <w:rsid w:val="00AE763D"/>
    <w:rsid w:val="00AF079A"/>
    <w:rsid w:val="00AF5518"/>
    <w:rsid w:val="00B0651C"/>
    <w:rsid w:val="00B14343"/>
    <w:rsid w:val="00B47649"/>
    <w:rsid w:val="00B508AC"/>
    <w:rsid w:val="00B53850"/>
    <w:rsid w:val="00B80BEC"/>
    <w:rsid w:val="00BA3781"/>
    <w:rsid w:val="00BA5871"/>
    <w:rsid w:val="00BC3FB1"/>
    <w:rsid w:val="00BC481A"/>
    <w:rsid w:val="00BD0C35"/>
    <w:rsid w:val="00BD373C"/>
    <w:rsid w:val="00BD6628"/>
    <w:rsid w:val="00BD6C48"/>
    <w:rsid w:val="00BE284D"/>
    <w:rsid w:val="00BE48DF"/>
    <w:rsid w:val="00BF21C2"/>
    <w:rsid w:val="00BF6DC8"/>
    <w:rsid w:val="00C124D0"/>
    <w:rsid w:val="00C1315E"/>
    <w:rsid w:val="00C13271"/>
    <w:rsid w:val="00C341F1"/>
    <w:rsid w:val="00C3727B"/>
    <w:rsid w:val="00C50B05"/>
    <w:rsid w:val="00C61389"/>
    <w:rsid w:val="00C86BC2"/>
    <w:rsid w:val="00C87374"/>
    <w:rsid w:val="00C94F13"/>
    <w:rsid w:val="00CA10C7"/>
    <w:rsid w:val="00CA2B18"/>
    <w:rsid w:val="00CA4C13"/>
    <w:rsid w:val="00CD6194"/>
    <w:rsid w:val="00CE1DBD"/>
    <w:rsid w:val="00CE67D1"/>
    <w:rsid w:val="00D05BE6"/>
    <w:rsid w:val="00D110DB"/>
    <w:rsid w:val="00D12CBE"/>
    <w:rsid w:val="00D13DAC"/>
    <w:rsid w:val="00D1441D"/>
    <w:rsid w:val="00D323C3"/>
    <w:rsid w:val="00D5040C"/>
    <w:rsid w:val="00D56AC9"/>
    <w:rsid w:val="00D628D5"/>
    <w:rsid w:val="00D80533"/>
    <w:rsid w:val="00D818DB"/>
    <w:rsid w:val="00D87EA2"/>
    <w:rsid w:val="00DA2EA5"/>
    <w:rsid w:val="00DA30CC"/>
    <w:rsid w:val="00DB6672"/>
    <w:rsid w:val="00DC59D0"/>
    <w:rsid w:val="00DD3665"/>
    <w:rsid w:val="00DE5767"/>
    <w:rsid w:val="00E06FE8"/>
    <w:rsid w:val="00E15FCC"/>
    <w:rsid w:val="00E30130"/>
    <w:rsid w:val="00E35D9D"/>
    <w:rsid w:val="00E73011"/>
    <w:rsid w:val="00E9163F"/>
    <w:rsid w:val="00E9167D"/>
    <w:rsid w:val="00E953FA"/>
    <w:rsid w:val="00E957DA"/>
    <w:rsid w:val="00EA0089"/>
    <w:rsid w:val="00EA38B9"/>
    <w:rsid w:val="00EC2447"/>
    <w:rsid w:val="00EE7F22"/>
    <w:rsid w:val="00F13C14"/>
    <w:rsid w:val="00F21149"/>
    <w:rsid w:val="00F241B1"/>
    <w:rsid w:val="00F270F3"/>
    <w:rsid w:val="00F34CF4"/>
    <w:rsid w:val="00F36D91"/>
    <w:rsid w:val="00F50361"/>
    <w:rsid w:val="00F650F3"/>
    <w:rsid w:val="00F65C72"/>
    <w:rsid w:val="00F73114"/>
    <w:rsid w:val="00FC141E"/>
    <w:rsid w:val="00FC500A"/>
    <w:rsid w:val="00FE1E0C"/>
    <w:rsid w:val="00FF01A2"/>
    <w:rsid w:val="00FF59ED"/>
    <w:rsid w:val="78AE2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qFormat/>
    <w:uiPriority w:val="0"/>
    <w:rPr>
      <w:rFonts w:ascii="宋体" w:hAnsi="Courier New"/>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纯文本 Char"/>
    <w:basedOn w:val="7"/>
    <w:link w:val="2"/>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16</Pages>
  <Words>1284</Words>
  <Characters>7322</Characters>
  <Lines>61</Lines>
  <Paragraphs>17</Paragraphs>
  <TotalTime>4</TotalTime>
  <ScaleCrop>false</ScaleCrop>
  <LinksUpToDate>false</LinksUpToDate>
  <CharactersWithSpaces>8589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2020-03-24T14:44:00Z</dcterms:created>
  <dc:creator>常帅</dc:creator>
  <cp:lastModifiedBy>uos</cp:lastModifiedBy>
  <dcterms:modified xsi:type="dcterms:W3CDTF">2024-01-19T09:56:45Z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