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313" w:afterLines="100" w:line="360" w:lineRule="auto"/>
        <w:jc w:val="center"/>
        <w:textAlignment w:val="auto"/>
        <w:rPr>
          <w:rFonts w:hint="eastAsia" w:ascii="宋体" w:hAnsi="宋体"/>
          <w:b/>
          <w:sz w:val="68"/>
          <w:szCs w:val="68"/>
        </w:rPr>
      </w:pPr>
      <w:bookmarkStart w:id="0" w:name="_GoBack"/>
      <w:bookmarkEnd w:id="0"/>
      <w:r>
        <w:rPr>
          <w:rFonts w:hint="eastAsia" w:ascii="宋体" w:hAnsi="宋体"/>
          <w:b/>
          <w:sz w:val="68"/>
          <w:szCs w:val="68"/>
        </w:rPr>
        <w:t>贵州辖区证券期货市场概况</w:t>
      </w:r>
    </w:p>
    <w:p>
      <w:pPr>
        <w:keepNext w:val="0"/>
        <w:keepLines w:val="0"/>
        <w:pageBreakBefore w:val="0"/>
        <w:widowControl w:val="0"/>
        <w:kinsoku/>
        <w:wordWrap/>
        <w:overflowPunct/>
        <w:topLinePunct w:val="0"/>
        <w:autoSpaceDE/>
        <w:autoSpaceDN/>
        <w:bidi w:val="0"/>
        <w:adjustRightInd/>
        <w:snapToGrid/>
        <w:spacing w:after="313" w:afterLines="100" w:line="360" w:lineRule="auto"/>
        <w:jc w:val="center"/>
        <w:textAlignment w:val="auto"/>
        <w:rPr>
          <w:rFonts w:ascii="宋体" w:hAnsi="宋体"/>
          <w:b/>
          <w:sz w:val="68"/>
          <w:szCs w:val="68"/>
        </w:rPr>
      </w:pPr>
      <w:r>
        <w:rPr>
          <w:rFonts w:hint="eastAsia" w:ascii="仿宋_GB2312" w:hAnsi="宋体" w:eastAsia="仿宋_GB2312"/>
          <w:sz w:val="32"/>
          <w:szCs w:val="32"/>
        </w:rPr>
        <w:t>（202</w:t>
      </w:r>
      <w:r>
        <w:rPr>
          <w:rFonts w:hint="eastAsia" w:ascii="仿宋_GB2312" w:hAnsi="宋体" w:eastAsia="仿宋_GB2312"/>
          <w:sz w:val="32"/>
          <w:szCs w:val="32"/>
          <w:lang w:val="en-US" w:eastAsia="zh-CN"/>
        </w:rPr>
        <w:t>4</w:t>
      </w:r>
      <w:r>
        <w:rPr>
          <w:rFonts w:hint="eastAsia" w:ascii="仿宋_GB2312" w:hAnsi="宋体" w:eastAsia="仿宋_GB2312"/>
          <w:sz w:val="32"/>
          <w:szCs w:val="32"/>
        </w:rPr>
        <w:t>年</w:t>
      </w:r>
      <w:r>
        <w:rPr>
          <w:rFonts w:hint="eastAsia" w:ascii="仿宋_GB2312" w:hAnsi="宋体" w:eastAsia="仿宋_GB2312"/>
          <w:sz w:val="32"/>
          <w:szCs w:val="32"/>
          <w:lang w:val="en-US" w:eastAsia="zh-CN"/>
        </w:rPr>
        <w:t>5</w:t>
      </w:r>
      <w:r>
        <w:rPr>
          <w:rFonts w:hint="eastAsia" w:ascii="仿宋_GB2312" w:hAnsi="宋体" w:eastAsia="仿宋_GB2312"/>
          <w:sz w:val="32"/>
          <w:szCs w:val="32"/>
        </w:rPr>
        <w:t>月）</w:t>
      </w:r>
    </w:p>
    <w:p>
      <w:pPr>
        <w:spacing w:afterLines="50" w:line="440" w:lineRule="exact"/>
        <w:ind w:firstLine="622" w:firstLineChars="200"/>
        <w:jc w:val="center"/>
        <w:rPr>
          <w:rFonts w:ascii="仿宋_GB2312" w:hAnsi="宋体" w:eastAsia="仿宋_GB2312"/>
          <w:bCs/>
          <w:sz w:val="32"/>
          <w:szCs w:val="32"/>
        </w:rPr>
      </w:pPr>
      <w:r>
        <w:rPr>
          <w:rFonts w:hint="eastAsia" w:ascii="仿宋_GB2312" w:hAnsi="宋体" w:eastAsia="仿宋_GB2312"/>
          <w:bCs/>
          <w:sz w:val="32"/>
          <w:szCs w:val="32"/>
        </w:rPr>
        <w:t>表1：贵州辖区证券市场融资情况表</w:t>
      </w:r>
    </w:p>
    <w:tbl>
      <w:tblPr>
        <w:tblStyle w:val="7"/>
        <w:tblW w:w="8047" w:type="dxa"/>
        <w:jc w:val="center"/>
        <w:tblLayout w:type="fixed"/>
        <w:tblCellMar>
          <w:top w:w="0" w:type="dxa"/>
          <w:left w:w="108" w:type="dxa"/>
          <w:bottom w:w="0" w:type="dxa"/>
          <w:right w:w="108" w:type="dxa"/>
        </w:tblCellMar>
      </w:tblPr>
      <w:tblGrid>
        <w:gridCol w:w="2261"/>
        <w:gridCol w:w="2102"/>
        <w:gridCol w:w="1842"/>
        <w:gridCol w:w="1842"/>
      </w:tblGrid>
      <w:tr>
        <w:tblPrEx>
          <w:tblCellMar>
            <w:top w:w="0" w:type="dxa"/>
            <w:left w:w="108" w:type="dxa"/>
            <w:bottom w:w="0" w:type="dxa"/>
            <w:right w:w="108" w:type="dxa"/>
          </w:tblCellMar>
        </w:tblPrEx>
        <w:trPr>
          <w:trHeight w:val="450" w:hRule="atLeast"/>
          <w:jc w:val="center"/>
        </w:trPr>
        <w:tc>
          <w:tcPr>
            <w:tcW w:w="2261" w:type="dxa"/>
            <w:tcBorders>
              <w:top w:val="single" w:color="auto" w:sz="4" w:space="0"/>
              <w:left w:val="single" w:color="auto" w:sz="4" w:space="0"/>
              <w:bottom w:val="single" w:color="auto" w:sz="4" w:space="0"/>
              <w:right w:val="single" w:color="auto" w:sz="4" w:space="0"/>
            </w:tcBorders>
            <w:vAlign w:val="center"/>
          </w:tcPr>
          <w:p>
            <w:pPr>
              <w:widowControl/>
              <w:spacing w:line="440" w:lineRule="exact"/>
              <w:jc w:val="center"/>
              <w:rPr>
                <w:rFonts w:ascii="仿宋_GB2312" w:hAnsi="宋体" w:eastAsia="仿宋_GB2312" w:cs="宋体"/>
                <w:b/>
                <w:bCs/>
                <w:color w:val="000000"/>
                <w:kern w:val="0"/>
                <w:sz w:val="36"/>
                <w:szCs w:val="36"/>
              </w:rPr>
            </w:pPr>
          </w:p>
        </w:tc>
        <w:tc>
          <w:tcPr>
            <w:tcW w:w="2102" w:type="dxa"/>
            <w:tcBorders>
              <w:top w:val="single" w:color="auto" w:sz="4" w:space="0"/>
              <w:left w:val="single" w:color="auto" w:sz="4" w:space="0"/>
              <w:bottom w:val="single" w:color="auto" w:sz="4" w:space="0"/>
              <w:right w:val="single" w:color="auto" w:sz="4" w:space="0"/>
            </w:tcBorders>
            <w:vAlign w:val="center"/>
          </w:tcPr>
          <w:p>
            <w:pPr>
              <w:widowControl/>
              <w:spacing w:line="440" w:lineRule="exact"/>
              <w:jc w:val="center"/>
              <w:rPr>
                <w:rFonts w:ascii="仿宋_GB2312" w:hAnsi="宋体" w:eastAsia="仿宋_GB2312" w:cs="宋体"/>
                <w:b/>
                <w:bCs/>
                <w:color w:val="000000"/>
                <w:kern w:val="0"/>
                <w:sz w:val="22"/>
              </w:rPr>
            </w:pPr>
            <w:r>
              <w:rPr>
                <w:rFonts w:hint="eastAsia" w:ascii="仿宋_GB2312" w:hAnsi="宋体" w:eastAsia="仿宋_GB2312" w:cs="宋体"/>
                <w:b/>
                <w:bCs/>
                <w:color w:val="000000"/>
                <w:kern w:val="0"/>
                <w:sz w:val="22"/>
              </w:rPr>
              <w:t xml:space="preserve">                </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40" w:lineRule="exact"/>
              <w:ind w:firstLine="422" w:firstLineChars="20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单位：亿元</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40" w:lineRule="exact"/>
              <w:ind w:firstLine="422" w:firstLineChars="200"/>
              <w:jc w:val="left"/>
              <w:rPr>
                <w:rFonts w:hint="eastAsia" w:ascii="仿宋_GB2312" w:hAnsi="宋体" w:eastAsia="仿宋_GB2312" w:cs="宋体"/>
                <w:color w:val="000000"/>
                <w:kern w:val="0"/>
                <w:sz w:val="22"/>
              </w:rPr>
            </w:pPr>
          </w:p>
        </w:tc>
      </w:tr>
      <w:tr>
        <w:tblPrEx>
          <w:tblCellMar>
            <w:top w:w="0" w:type="dxa"/>
            <w:left w:w="108" w:type="dxa"/>
            <w:bottom w:w="0" w:type="dxa"/>
            <w:right w:w="108" w:type="dxa"/>
          </w:tblCellMar>
        </w:tblPrEx>
        <w:trPr>
          <w:trHeight w:val="576" w:hRule="atLeast"/>
          <w:jc w:val="center"/>
        </w:trPr>
        <w:tc>
          <w:tcPr>
            <w:tcW w:w="2261"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ascii="仿宋_GB2312" w:hAnsi="宋体" w:eastAsia="仿宋_GB2312" w:cs="宋体"/>
                <w:b/>
                <w:color w:val="000000"/>
                <w:kern w:val="0"/>
                <w:sz w:val="22"/>
              </w:rPr>
            </w:pPr>
            <w:r>
              <w:rPr>
                <w:rFonts w:hint="eastAsia" w:ascii="仿宋_GB2312" w:hAnsi="宋体" w:eastAsia="仿宋_GB2312" w:cs="宋体"/>
                <w:b/>
                <w:color w:val="000000"/>
                <w:kern w:val="0"/>
                <w:sz w:val="22"/>
              </w:rPr>
              <w:t>指标名称</w:t>
            </w:r>
          </w:p>
        </w:tc>
        <w:tc>
          <w:tcPr>
            <w:tcW w:w="210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eastAsia" w:ascii="仿宋_GB2312" w:hAnsi="宋体" w:eastAsia="仿宋_GB2312" w:cs="宋体"/>
                <w:b/>
                <w:color w:val="000000"/>
                <w:kern w:val="0"/>
                <w:sz w:val="22"/>
                <w:lang w:eastAsia="zh-CN"/>
              </w:rPr>
            </w:pPr>
            <w:r>
              <w:rPr>
                <w:rFonts w:hint="eastAsia" w:ascii="仿宋_GB2312" w:hAnsi="宋体" w:eastAsia="仿宋_GB2312" w:cs="宋体"/>
                <w:b/>
                <w:color w:val="000000"/>
                <w:kern w:val="0"/>
                <w:sz w:val="22"/>
              </w:rPr>
              <w:t>202</w:t>
            </w:r>
            <w:r>
              <w:rPr>
                <w:rFonts w:hint="eastAsia" w:ascii="仿宋_GB2312" w:hAnsi="宋体" w:eastAsia="仿宋_GB2312" w:cs="宋体"/>
                <w:b/>
                <w:color w:val="000000"/>
                <w:kern w:val="0"/>
                <w:sz w:val="22"/>
                <w:lang w:val="en-US" w:eastAsia="zh-CN"/>
              </w:rPr>
              <w:t>4</w:t>
            </w:r>
            <w:r>
              <w:rPr>
                <w:rFonts w:hint="eastAsia" w:ascii="仿宋_GB2312" w:hAnsi="宋体" w:eastAsia="仿宋_GB2312" w:cs="宋体"/>
                <w:b/>
                <w:color w:val="000000"/>
                <w:kern w:val="0"/>
                <w:sz w:val="22"/>
              </w:rPr>
              <w:t>年</w:t>
            </w:r>
            <w:r>
              <w:rPr>
                <w:rFonts w:hint="eastAsia" w:ascii="仿宋_GB2312" w:hAnsi="宋体" w:eastAsia="仿宋_GB2312" w:cs="宋体"/>
                <w:b/>
                <w:color w:val="000000"/>
                <w:kern w:val="0"/>
                <w:sz w:val="22"/>
                <w:lang w:val="en-US" w:eastAsia="zh-CN"/>
              </w:rPr>
              <w:t>5</w:t>
            </w:r>
            <w:r>
              <w:rPr>
                <w:rFonts w:hint="eastAsia" w:ascii="仿宋_GB2312" w:hAnsi="宋体" w:eastAsia="仿宋_GB2312" w:cs="宋体"/>
                <w:b/>
                <w:color w:val="000000"/>
                <w:kern w:val="0"/>
                <w:sz w:val="22"/>
              </w:rPr>
              <w:t>月</w:t>
            </w:r>
            <w:r>
              <w:rPr>
                <w:rFonts w:hint="eastAsia" w:ascii="仿宋_GB2312" w:hAnsi="宋体" w:eastAsia="仿宋_GB2312" w:cs="宋体"/>
                <w:b/>
                <w:color w:val="000000"/>
                <w:kern w:val="0"/>
                <w:sz w:val="22"/>
                <w:lang w:eastAsia="zh-CN"/>
              </w:rPr>
              <w:t>数</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ascii="仿宋_GB2312" w:hAnsi="宋体" w:eastAsia="仿宋_GB2312" w:cs="宋体"/>
                <w:b/>
                <w:color w:val="000000"/>
                <w:kern w:val="0"/>
                <w:sz w:val="22"/>
              </w:rPr>
            </w:pPr>
            <w:r>
              <w:rPr>
                <w:rFonts w:hint="eastAsia" w:ascii="仿宋_GB2312" w:hAnsi="宋体" w:eastAsia="仿宋_GB2312" w:cs="宋体"/>
                <w:b/>
                <w:color w:val="000000"/>
                <w:kern w:val="0"/>
                <w:sz w:val="22"/>
                <w:lang w:val="en-US" w:eastAsia="zh-CN"/>
              </w:rPr>
              <w:t>2024</w:t>
            </w:r>
            <w:r>
              <w:rPr>
                <w:rFonts w:hint="eastAsia" w:ascii="仿宋_GB2312" w:hAnsi="宋体" w:eastAsia="仿宋_GB2312" w:cs="宋体"/>
                <w:b/>
                <w:color w:val="000000"/>
                <w:kern w:val="0"/>
                <w:sz w:val="22"/>
              </w:rPr>
              <w:t>年累计数</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b/>
                <w:color w:val="000000"/>
                <w:kern w:val="0"/>
                <w:sz w:val="22"/>
                <w:lang w:val="en-US" w:eastAsia="zh-CN"/>
              </w:rPr>
            </w:pPr>
            <w:r>
              <w:rPr>
                <w:rFonts w:hint="eastAsia" w:ascii="仿宋_GB2312" w:hAnsi="宋体" w:eastAsia="仿宋_GB2312" w:cs="宋体"/>
                <w:b/>
                <w:color w:val="000000"/>
                <w:kern w:val="0"/>
                <w:sz w:val="22"/>
                <w:lang w:eastAsia="zh-CN"/>
              </w:rPr>
              <w:t>同比增速（</w:t>
            </w:r>
            <w:r>
              <w:rPr>
                <w:rFonts w:hint="eastAsia" w:ascii="仿宋_GB2312" w:hAnsi="宋体" w:eastAsia="仿宋_GB2312" w:cs="宋体"/>
                <w:b/>
                <w:color w:val="000000"/>
                <w:kern w:val="0"/>
                <w:sz w:val="22"/>
                <w:lang w:val="en-US" w:eastAsia="zh-CN"/>
              </w:rPr>
              <w:t>%）</w:t>
            </w:r>
          </w:p>
        </w:tc>
      </w:tr>
      <w:tr>
        <w:tblPrEx>
          <w:tblCellMar>
            <w:top w:w="0" w:type="dxa"/>
            <w:left w:w="108" w:type="dxa"/>
            <w:bottom w:w="0" w:type="dxa"/>
            <w:right w:w="108" w:type="dxa"/>
          </w:tblCellMar>
        </w:tblPrEx>
        <w:trPr>
          <w:trHeight w:val="570" w:hRule="atLeast"/>
          <w:jc w:val="center"/>
        </w:trPr>
        <w:tc>
          <w:tcPr>
            <w:tcW w:w="2261" w:type="dxa"/>
            <w:tcBorders>
              <w:top w:val="single" w:color="auto" w:sz="4" w:space="0"/>
              <w:left w:val="single" w:color="auto" w:sz="4" w:space="0"/>
              <w:bottom w:val="single" w:color="auto" w:sz="4" w:space="0"/>
              <w:right w:val="single" w:color="auto" w:sz="4" w:space="0"/>
            </w:tcBorders>
            <w:vAlign w:val="center"/>
          </w:tcPr>
          <w:p>
            <w:pPr>
              <w:widowControl/>
              <w:spacing w:line="280" w:lineRule="exact"/>
              <w:rPr>
                <w:rFonts w:ascii="仿宋_GB2312" w:hAnsi="宋体" w:eastAsia="仿宋_GB2312" w:cs="宋体"/>
                <w:color w:val="000000"/>
                <w:kern w:val="0"/>
                <w:sz w:val="22"/>
              </w:rPr>
            </w:pPr>
            <w:r>
              <w:rPr>
                <w:rFonts w:hint="eastAsia" w:ascii="仿宋_GB2312" w:hAnsi="宋体" w:eastAsia="仿宋_GB2312" w:cs="宋体"/>
                <w:color w:val="000000"/>
                <w:kern w:val="0"/>
                <w:sz w:val="22"/>
              </w:rPr>
              <w:t>首发（IPO）融资</w:t>
            </w:r>
          </w:p>
        </w:tc>
        <w:tc>
          <w:tcPr>
            <w:tcW w:w="210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eastAsia="zh-CN"/>
              </w:rPr>
            </w:pPr>
            <w:r>
              <w:rPr>
                <w:rFonts w:hint="default" w:ascii="仿宋_GB2312" w:hAnsi="宋体" w:eastAsia="仿宋_GB2312" w:cs="宋体"/>
                <w:color w:val="000000"/>
                <w:kern w:val="0"/>
                <w:sz w:val="22"/>
                <w:lang w:eastAsia="zh-CN"/>
              </w:rPr>
              <w:t>0</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0</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 w:eastAsia="zh-CN"/>
              </w:rPr>
            </w:pPr>
            <w:r>
              <w:rPr>
                <w:rFonts w:hint="eastAsia" w:ascii="仿宋_GB2312" w:hAnsi="宋体" w:eastAsia="仿宋_GB2312" w:cs="宋体"/>
                <w:color w:val="000000"/>
                <w:kern w:val="0"/>
                <w:sz w:val="22"/>
                <w:lang w:val="en-US" w:eastAsia="zh-CN"/>
              </w:rPr>
              <w:t>-</w:t>
            </w:r>
          </w:p>
        </w:tc>
      </w:tr>
      <w:tr>
        <w:tblPrEx>
          <w:tblCellMar>
            <w:top w:w="0" w:type="dxa"/>
            <w:left w:w="108" w:type="dxa"/>
            <w:bottom w:w="0" w:type="dxa"/>
            <w:right w:w="108" w:type="dxa"/>
          </w:tblCellMar>
        </w:tblPrEx>
        <w:trPr>
          <w:trHeight w:val="570" w:hRule="atLeast"/>
          <w:jc w:val="center"/>
        </w:trPr>
        <w:tc>
          <w:tcPr>
            <w:tcW w:w="2261" w:type="dxa"/>
            <w:tcBorders>
              <w:top w:val="single" w:color="auto" w:sz="4" w:space="0"/>
              <w:left w:val="single" w:color="auto" w:sz="4" w:space="0"/>
              <w:bottom w:val="single" w:color="auto" w:sz="4" w:space="0"/>
              <w:right w:val="single" w:color="auto" w:sz="4" w:space="0"/>
            </w:tcBorders>
            <w:vAlign w:val="center"/>
          </w:tcPr>
          <w:p>
            <w:pPr>
              <w:widowControl/>
              <w:spacing w:line="280" w:lineRule="exact"/>
              <w:rPr>
                <w:rFonts w:ascii="仿宋_GB2312" w:hAnsi="宋体" w:eastAsia="仿宋_GB2312" w:cs="宋体"/>
                <w:color w:val="000000"/>
                <w:kern w:val="0"/>
                <w:sz w:val="22"/>
              </w:rPr>
            </w:pPr>
            <w:r>
              <w:rPr>
                <w:rFonts w:hint="eastAsia" w:ascii="仿宋_GB2312" w:hAnsi="宋体" w:eastAsia="仿宋_GB2312" w:cs="宋体"/>
                <w:color w:val="000000"/>
                <w:kern w:val="0"/>
                <w:sz w:val="22"/>
              </w:rPr>
              <w:t>上市公司再融资</w:t>
            </w:r>
          </w:p>
        </w:tc>
        <w:tc>
          <w:tcPr>
            <w:tcW w:w="210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 w:eastAsia="zh-CN"/>
              </w:rPr>
            </w:pPr>
            <w:r>
              <w:rPr>
                <w:rFonts w:hint="eastAsia" w:ascii="仿宋_GB2312" w:hAnsi="宋体" w:eastAsia="仿宋_GB2312" w:cs="宋体"/>
                <w:color w:val="000000"/>
                <w:kern w:val="0"/>
                <w:sz w:val="22"/>
                <w:lang w:val="en-US" w:eastAsia="zh-CN"/>
              </w:rPr>
              <w:t>0</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 w:eastAsia="zh-CN"/>
              </w:rPr>
            </w:pPr>
            <w:r>
              <w:rPr>
                <w:rFonts w:hint="default" w:ascii="仿宋_GB2312" w:hAnsi="宋体" w:eastAsia="仿宋_GB2312" w:cs="宋体"/>
                <w:color w:val="000000"/>
                <w:kern w:val="0"/>
                <w:sz w:val="22"/>
                <w:lang w:val="en" w:eastAsia="zh-CN"/>
              </w:rPr>
              <w:t>17.53</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1068.67%</w:t>
            </w:r>
          </w:p>
        </w:tc>
      </w:tr>
      <w:tr>
        <w:tblPrEx>
          <w:tblCellMar>
            <w:top w:w="0" w:type="dxa"/>
            <w:left w:w="108" w:type="dxa"/>
            <w:bottom w:w="0" w:type="dxa"/>
            <w:right w:w="108" w:type="dxa"/>
          </w:tblCellMar>
        </w:tblPrEx>
        <w:trPr>
          <w:trHeight w:val="570" w:hRule="atLeast"/>
          <w:jc w:val="center"/>
        </w:trPr>
        <w:tc>
          <w:tcPr>
            <w:tcW w:w="2261" w:type="dxa"/>
            <w:tcBorders>
              <w:top w:val="single" w:color="auto" w:sz="4" w:space="0"/>
              <w:left w:val="single" w:color="auto" w:sz="4" w:space="0"/>
              <w:bottom w:val="single" w:color="auto" w:sz="4" w:space="0"/>
              <w:right w:val="single" w:color="auto" w:sz="4" w:space="0"/>
            </w:tcBorders>
            <w:vAlign w:val="center"/>
          </w:tcPr>
          <w:p>
            <w:pPr>
              <w:widowControl/>
              <w:spacing w:line="280" w:lineRule="exact"/>
              <w:rPr>
                <w:rFonts w:ascii="仿宋_GB2312" w:hAnsi="宋体" w:eastAsia="仿宋_GB2312" w:cs="宋体"/>
                <w:color w:val="000000"/>
                <w:kern w:val="0"/>
                <w:sz w:val="22"/>
              </w:rPr>
            </w:pPr>
            <w:r>
              <w:rPr>
                <w:rFonts w:hint="eastAsia" w:ascii="仿宋_GB2312" w:hAnsi="宋体" w:eastAsia="仿宋_GB2312" w:cs="宋体"/>
                <w:color w:val="000000"/>
                <w:kern w:val="0"/>
                <w:sz w:val="22"/>
              </w:rPr>
              <w:t>新三板融资</w:t>
            </w:r>
          </w:p>
        </w:tc>
        <w:tc>
          <w:tcPr>
            <w:tcW w:w="210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US" w:eastAsia="zh-CN"/>
              </w:rPr>
            </w:pPr>
            <w:r>
              <w:rPr>
                <w:rFonts w:hint="default" w:ascii="仿宋_GB2312" w:hAnsi="宋体" w:eastAsia="仿宋_GB2312" w:cs="宋体"/>
                <w:color w:val="000000"/>
                <w:kern w:val="0"/>
                <w:sz w:val="22"/>
                <w:lang w:val="en" w:eastAsia="zh-CN"/>
              </w:rPr>
              <w:t>0</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0</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w:t>
            </w:r>
          </w:p>
        </w:tc>
      </w:tr>
      <w:tr>
        <w:tblPrEx>
          <w:tblCellMar>
            <w:top w:w="0" w:type="dxa"/>
            <w:left w:w="108" w:type="dxa"/>
            <w:bottom w:w="0" w:type="dxa"/>
            <w:right w:w="108" w:type="dxa"/>
          </w:tblCellMar>
        </w:tblPrEx>
        <w:trPr>
          <w:trHeight w:val="516" w:hRule="atLeast"/>
          <w:jc w:val="center"/>
        </w:trPr>
        <w:tc>
          <w:tcPr>
            <w:tcW w:w="2261" w:type="dxa"/>
            <w:tcBorders>
              <w:top w:val="single" w:color="auto" w:sz="4" w:space="0"/>
              <w:left w:val="single" w:color="auto" w:sz="4" w:space="0"/>
              <w:bottom w:val="single" w:color="auto" w:sz="4" w:space="0"/>
              <w:right w:val="single" w:color="auto" w:sz="4" w:space="0"/>
            </w:tcBorders>
            <w:vAlign w:val="center"/>
          </w:tcPr>
          <w:p>
            <w:pPr>
              <w:widowControl/>
              <w:spacing w:line="280" w:lineRule="exact"/>
              <w:rPr>
                <w:rFonts w:ascii="仿宋_GB2312" w:hAnsi="宋体" w:eastAsia="仿宋_GB2312" w:cs="宋体"/>
                <w:color w:val="000000"/>
                <w:kern w:val="0"/>
                <w:sz w:val="22"/>
              </w:rPr>
            </w:pPr>
            <w:r>
              <w:rPr>
                <w:rFonts w:hint="eastAsia" w:ascii="仿宋_GB2312" w:hAnsi="宋体" w:eastAsia="仿宋_GB2312" w:cs="宋体"/>
                <w:color w:val="000000"/>
                <w:kern w:val="0"/>
                <w:sz w:val="22"/>
              </w:rPr>
              <w:t>优先股融资</w:t>
            </w:r>
          </w:p>
        </w:tc>
        <w:tc>
          <w:tcPr>
            <w:tcW w:w="210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eastAsia" w:ascii="仿宋_GB2312" w:hAnsi="宋体" w:eastAsia="仿宋_GB2312" w:cs="宋体"/>
                <w:color w:val="000000"/>
                <w:kern w:val="0"/>
                <w:sz w:val="22"/>
                <w:lang w:val="en-US" w:eastAsia="zh-CN"/>
              </w:rPr>
            </w:pPr>
            <w:r>
              <w:rPr>
                <w:rFonts w:hint="default" w:ascii="仿宋_GB2312" w:hAnsi="宋体" w:eastAsia="仿宋_GB2312" w:cs="宋体"/>
                <w:color w:val="000000"/>
                <w:kern w:val="0"/>
                <w:sz w:val="22"/>
                <w:lang w:val="en" w:eastAsia="zh-CN"/>
              </w:rPr>
              <w:t>0</w:t>
            </w:r>
            <w:r>
              <w:rPr>
                <w:rFonts w:hint="eastAsia" w:ascii="仿宋_GB2312" w:hAnsi="宋体" w:eastAsia="仿宋_GB2312" w:cs="宋体"/>
                <w:color w:val="000000"/>
                <w:kern w:val="0"/>
                <w:sz w:val="22"/>
                <w:lang w:eastAsia="zh-CN"/>
              </w:rPr>
              <w:t xml:space="preserve"> </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US"/>
              </w:rPr>
            </w:pPr>
            <w:r>
              <w:rPr>
                <w:rFonts w:hint="default" w:ascii="仿宋_GB2312" w:hAnsi="宋体" w:eastAsia="仿宋_GB2312" w:cs="宋体"/>
                <w:color w:val="000000"/>
                <w:kern w:val="0"/>
                <w:sz w:val="22"/>
                <w:lang w:val="en" w:eastAsia="zh-CN"/>
              </w:rPr>
              <w:t>0</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w:t>
            </w:r>
          </w:p>
        </w:tc>
      </w:tr>
      <w:tr>
        <w:tblPrEx>
          <w:tblCellMar>
            <w:top w:w="0" w:type="dxa"/>
            <w:left w:w="108" w:type="dxa"/>
            <w:bottom w:w="0" w:type="dxa"/>
            <w:right w:w="108" w:type="dxa"/>
          </w:tblCellMar>
        </w:tblPrEx>
        <w:trPr>
          <w:trHeight w:val="543" w:hRule="atLeast"/>
          <w:jc w:val="center"/>
        </w:trPr>
        <w:tc>
          <w:tcPr>
            <w:tcW w:w="2261" w:type="dxa"/>
            <w:tcBorders>
              <w:top w:val="single" w:color="auto" w:sz="4" w:space="0"/>
              <w:left w:val="single" w:color="auto" w:sz="4" w:space="0"/>
              <w:bottom w:val="single" w:color="auto" w:sz="4" w:space="0"/>
              <w:right w:val="single" w:color="auto" w:sz="4" w:space="0"/>
            </w:tcBorders>
            <w:vAlign w:val="center"/>
          </w:tcPr>
          <w:p>
            <w:pPr>
              <w:widowControl/>
              <w:spacing w:line="280" w:lineRule="exact"/>
              <w:rPr>
                <w:rFonts w:ascii="仿宋_GB2312" w:hAnsi="宋体" w:eastAsia="仿宋_GB2312" w:cs="宋体"/>
                <w:color w:val="000000"/>
                <w:kern w:val="0"/>
                <w:sz w:val="22"/>
              </w:rPr>
            </w:pPr>
            <w:r>
              <w:rPr>
                <w:rFonts w:hint="eastAsia" w:ascii="仿宋_GB2312" w:hAnsi="宋体" w:eastAsia="仿宋_GB2312" w:cs="宋体"/>
                <w:color w:val="000000"/>
                <w:kern w:val="0"/>
                <w:sz w:val="22"/>
              </w:rPr>
              <w:t>公司债</w:t>
            </w:r>
            <w:r>
              <w:rPr>
                <w:rFonts w:hint="default" w:ascii="仿宋_GB2312" w:hAnsi="宋体" w:eastAsia="仿宋_GB2312" w:cs="宋体"/>
                <w:color w:val="000000"/>
                <w:kern w:val="0"/>
                <w:sz w:val="22"/>
                <w:lang w:val="en"/>
              </w:rPr>
              <w:t>(</w:t>
            </w:r>
            <w:r>
              <w:rPr>
                <w:rFonts w:hint="eastAsia" w:ascii="仿宋_GB2312" w:hAnsi="宋体" w:eastAsia="仿宋_GB2312" w:cs="宋体"/>
                <w:color w:val="000000"/>
                <w:kern w:val="0"/>
                <w:sz w:val="22"/>
                <w:lang w:val="en" w:eastAsia="zh-CN"/>
              </w:rPr>
              <w:t>企业债</w:t>
            </w:r>
            <w:r>
              <w:rPr>
                <w:rFonts w:hint="default" w:ascii="仿宋_GB2312" w:hAnsi="宋体" w:eastAsia="仿宋_GB2312" w:cs="宋体"/>
                <w:color w:val="000000"/>
                <w:kern w:val="0"/>
                <w:sz w:val="22"/>
                <w:lang w:val="en"/>
              </w:rPr>
              <w:t>)</w:t>
            </w:r>
            <w:r>
              <w:rPr>
                <w:rFonts w:hint="eastAsia" w:ascii="仿宋_GB2312" w:hAnsi="宋体" w:eastAsia="仿宋_GB2312" w:cs="宋体"/>
                <w:color w:val="000000"/>
                <w:kern w:val="0"/>
                <w:sz w:val="22"/>
              </w:rPr>
              <w:t>融资</w:t>
            </w:r>
          </w:p>
        </w:tc>
        <w:tc>
          <w:tcPr>
            <w:tcW w:w="210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29.29</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154.95</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66.31%</w:t>
            </w:r>
          </w:p>
        </w:tc>
      </w:tr>
      <w:tr>
        <w:tblPrEx>
          <w:tblCellMar>
            <w:top w:w="0" w:type="dxa"/>
            <w:left w:w="108" w:type="dxa"/>
            <w:bottom w:w="0" w:type="dxa"/>
            <w:right w:w="108" w:type="dxa"/>
          </w:tblCellMar>
        </w:tblPrEx>
        <w:trPr>
          <w:trHeight w:val="543" w:hRule="atLeast"/>
          <w:jc w:val="center"/>
        </w:trPr>
        <w:tc>
          <w:tcPr>
            <w:tcW w:w="2261" w:type="dxa"/>
            <w:tcBorders>
              <w:top w:val="single" w:color="auto" w:sz="4" w:space="0"/>
              <w:left w:val="single" w:color="auto" w:sz="4" w:space="0"/>
              <w:bottom w:val="single" w:color="auto" w:sz="4" w:space="0"/>
              <w:right w:val="single" w:color="auto" w:sz="4" w:space="0"/>
            </w:tcBorders>
            <w:vAlign w:val="center"/>
          </w:tcPr>
          <w:p>
            <w:pPr>
              <w:widowControl/>
              <w:spacing w:line="280" w:lineRule="exact"/>
              <w:rPr>
                <w:rFonts w:ascii="仿宋_GB2312" w:hAnsi="宋体" w:eastAsia="仿宋_GB2312" w:cs="宋体"/>
                <w:color w:val="000000"/>
                <w:kern w:val="0"/>
                <w:sz w:val="22"/>
              </w:rPr>
            </w:pPr>
            <w:r>
              <w:rPr>
                <w:rFonts w:hint="eastAsia" w:ascii="仿宋_GB2312" w:hAnsi="宋体" w:eastAsia="仿宋_GB2312" w:cs="宋体"/>
                <w:color w:val="000000"/>
                <w:kern w:val="0"/>
                <w:sz w:val="22"/>
              </w:rPr>
              <w:t>可交换债融资</w:t>
            </w:r>
          </w:p>
        </w:tc>
        <w:tc>
          <w:tcPr>
            <w:tcW w:w="210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eastAsia" w:ascii="仿宋_GB2312" w:hAnsi="宋体" w:eastAsia="仿宋_GB2312" w:cs="宋体"/>
                <w:color w:val="000000"/>
                <w:kern w:val="0"/>
                <w:sz w:val="22"/>
                <w:lang w:val="en-US" w:eastAsia="zh-CN"/>
              </w:rPr>
            </w:pPr>
            <w:r>
              <w:rPr>
                <w:rFonts w:hint="default" w:ascii="仿宋_GB2312" w:hAnsi="宋体" w:eastAsia="仿宋_GB2312" w:cs="宋体"/>
                <w:color w:val="000000"/>
                <w:kern w:val="0"/>
                <w:sz w:val="22"/>
                <w:lang w:val="en" w:eastAsia="zh-CN"/>
              </w:rPr>
              <w:t>0</w:t>
            </w:r>
            <w:r>
              <w:rPr>
                <w:rFonts w:hint="eastAsia" w:ascii="仿宋_GB2312" w:hAnsi="宋体" w:eastAsia="仿宋_GB2312" w:cs="宋体"/>
                <w:color w:val="000000"/>
                <w:kern w:val="0"/>
                <w:sz w:val="22"/>
                <w:lang w:eastAsia="zh-CN"/>
              </w:rPr>
              <w:t xml:space="preserve"> </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US"/>
              </w:rPr>
            </w:pPr>
            <w:r>
              <w:rPr>
                <w:rFonts w:hint="default" w:ascii="仿宋_GB2312" w:hAnsi="宋体" w:eastAsia="仿宋_GB2312" w:cs="宋体"/>
                <w:color w:val="000000"/>
                <w:kern w:val="0"/>
                <w:sz w:val="22"/>
                <w:lang w:val="en" w:eastAsia="zh-CN"/>
              </w:rPr>
              <w:t>0</w:t>
            </w:r>
            <w:r>
              <w:rPr>
                <w:rFonts w:hint="eastAsia" w:ascii="仿宋_GB2312" w:hAnsi="宋体" w:eastAsia="仿宋_GB2312" w:cs="宋体"/>
                <w:color w:val="000000"/>
                <w:kern w:val="0"/>
                <w:sz w:val="22"/>
                <w:lang w:eastAsia="zh-CN"/>
              </w:rPr>
              <w:t xml:space="preserve"> </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w:t>
            </w:r>
          </w:p>
        </w:tc>
      </w:tr>
      <w:tr>
        <w:tblPrEx>
          <w:tblCellMar>
            <w:top w:w="0" w:type="dxa"/>
            <w:left w:w="108" w:type="dxa"/>
            <w:bottom w:w="0" w:type="dxa"/>
            <w:right w:w="108" w:type="dxa"/>
          </w:tblCellMar>
        </w:tblPrEx>
        <w:trPr>
          <w:trHeight w:val="515" w:hRule="atLeast"/>
          <w:jc w:val="center"/>
        </w:trPr>
        <w:tc>
          <w:tcPr>
            <w:tcW w:w="2261" w:type="dxa"/>
            <w:tcBorders>
              <w:top w:val="single" w:color="auto" w:sz="4" w:space="0"/>
              <w:left w:val="single" w:color="auto" w:sz="4" w:space="0"/>
              <w:bottom w:val="single" w:color="auto" w:sz="4" w:space="0"/>
              <w:right w:val="single" w:color="auto" w:sz="4" w:space="0"/>
            </w:tcBorders>
            <w:vAlign w:val="center"/>
          </w:tcPr>
          <w:p>
            <w:pPr>
              <w:widowControl/>
              <w:spacing w:line="280" w:lineRule="exact"/>
              <w:rPr>
                <w:rFonts w:ascii="仿宋_GB2312" w:hAnsi="宋体" w:eastAsia="仿宋_GB2312" w:cs="宋体"/>
                <w:color w:val="000000"/>
                <w:kern w:val="0"/>
                <w:sz w:val="22"/>
              </w:rPr>
            </w:pPr>
            <w:r>
              <w:rPr>
                <w:rFonts w:hint="eastAsia" w:ascii="仿宋_GB2312" w:hAnsi="宋体" w:eastAsia="仿宋_GB2312" w:cs="宋体"/>
                <w:color w:val="000000"/>
                <w:kern w:val="0"/>
                <w:sz w:val="22"/>
              </w:rPr>
              <w:t>资产证券化产品融资</w:t>
            </w:r>
          </w:p>
        </w:tc>
        <w:tc>
          <w:tcPr>
            <w:tcW w:w="210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19</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 w:eastAsia="zh-CN"/>
              </w:rPr>
            </w:pPr>
            <w:r>
              <w:rPr>
                <w:rFonts w:hint="eastAsia" w:ascii="仿宋_GB2312" w:hAnsi="宋体" w:eastAsia="仿宋_GB2312" w:cs="宋体"/>
                <w:color w:val="000000"/>
                <w:kern w:val="0"/>
                <w:sz w:val="22"/>
                <w:lang w:val="en-US" w:eastAsia="zh-CN"/>
              </w:rPr>
              <w:t>124</w:t>
            </w:r>
            <w:r>
              <w:rPr>
                <w:rFonts w:hint="default" w:ascii="仿宋_GB2312" w:hAnsi="宋体" w:eastAsia="仿宋_GB2312" w:cs="宋体"/>
                <w:color w:val="000000"/>
                <w:kern w:val="0"/>
                <w:sz w:val="22"/>
                <w:lang w:val="en" w:eastAsia="zh-CN"/>
              </w:rPr>
              <w:t>.65</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 w:eastAsia="zh-CN"/>
              </w:rPr>
            </w:pPr>
            <w:r>
              <w:rPr>
                <w:rFonts w:hint="eastAsia" w:ascii="仿宋_GB2312" w:hAnsi="宋体" w:eastAsia="仿宋_GB2312" w:cs="宋体"/>
                <w:color w:val="000000"/>
                <w:kern w:val="0"/>
                <w:sz w:val="22"/>
                <w:lang w:val="en-US" w:eastAsia="zh-CN"/>
              </w:rPr>
              <w:t>14.26</w:t>
            </w:r>
            <w:r>
              <w:rPr>
                <w:rFonts w:hint="default" w:ascii="仿宋_GB2312" w:hAnsi="宋体" w:eastAsia="仿宋_GB2312" w:cs="宋体"/>
                <w:color w:val="000000"/>
                <w:kern w:val="0"/>
                <w:sz w:val="22"/>
                <w:lang w:val="en" w:eastAsia="zh-CN"/>
              </w:rPr>
              <w:t>%</w:t>
            </w:r>
          </w:p>
        </w:tc>
      </w:tr>
      <w:tr>
        <w:tblPrEx>
          <w:tblCellMar>
            <w:top w:w="0" w:type="dxa"/>
            <w:left w:w="108" w:type="dxa"/>
            <w:bottom w:w="0" w:type="dxa"/>
            <w:right w:w="108" w:type="dxa"/>
          </w:tblCellMar>
        </w:tblPrEx>
        <w:trPr>
          <w:trHeight w:val="580" w:hRule="atLeast"/>
          <w:jc w:val="center"/>
        </w:trPr>
        <w:tc>
          <w:tcPr>
            <w:tcW w:w="2261"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eastAsia" w:ascii="仿宋_GB2312" w:hAnsi="宋体" w:eastAsia="仿宋_GB2312" w:cs="宋体"/>
                <w:color w:val="000000"/>
                <w:kern w:val="0"/>
                <w:sz w:val="22"/>
                <w:lang w:eastAsia="zh-CN"/>
              </w:rPr>
            </w:pPr>
            <w:r>
              <w:rPr>
                <w:rFonts w:hint="eastAsia" w:ascii="仿宋_GB2312" w:hAnsi="宋体" w:eastAsia="仿宋_GB2312" w:cs="宋体"/>
                <w:color w:val="000000"/>
                <w:kern w:val="0"/>
                <w:sz w:val="22"/>
                <w:lang w:eastAsia="zh-CN"/>
              </w:rPr>
              <w:t>总计</w:t>
            </w:r>
          </w:p>
        </w:tc>
        <w:tc>
          <w:tcPr>
            <w:tcW w:w="210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48.29</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297.13</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default" w:ascii="仿宋_GB2312" w:hAnsi="宋体" w:eastAsia="仿宋_GB2312" w:cs="宋体"/>
                <w:color w:val="000000"/>
                <w:kern w:val="0"/>
                <w:sz w:val="22"/>
                <w:lang w:val="en" w:eastAsia="zh-CN"/>
              </w:rPr>
            </w:pPr>
            <w:r>
              <w:rPr>
                <w:rFonts w:hint="eastAsia" w:ascii="仿宋_GB2312" w:hAnsi="宋体" w:eastAsia="仿宋_GB2312" w:cs="宋体"/>
                <w:color w:val="000000"/>
                <w:kern w:val="0"/>
                <w:sz w:val="22"/>
                <w:lang w:val="en-US" w:eastAsia="zh-CN"/>
              </w:rPr>
              <w:t>37.08</w:t>
            </w:r>
            <w:r>
              <w:rPr>
                <w:rFonts w:hint="default" w:ascii="仿宋_GB2312" w:hAnsi="宋体" w:eastAsia="仿宋_GB2312" w:cs="宋体"/>
                <w:color w:val="000000"/>
                <w:kern w:val="0"/>
                <w:sz w:val="22"/>
                <w:lang w:val="en" w:eastAsia="zh-CN"/>
              </w:rPr>
              <w:t>%</w:t>
            </w:r>
          </w:p>
        </w:tc>
      </w:tr>
    </w:tbl>
    <w:p>
      <w:pPr>
        <w:spacing w:afterLines="50"/>
        <w:jc w:val="both"/>
        <w:rPr>
          <w:rFonts w:ascii="仿宋_GB2312" w:hAnsi="宋体" w:eastAsia="仿宋_GB2312"/>
          <w:bCs/>
          <w:sz w:val="28"/>
          <w:szCs w:val="28"/>
        </w:rPr>
      </w:pPr>
    </w:p>
    <w:p>
      <w:pPr>
        <w:keepNext w:val="0"/>
        <w:keepLines w:val="0"/>
        <w:pageBreakBefore w:val="0"/>
        <w:widowControl w:val="0"/>
        <w:kinsoku/>
        <w:wordWrap/>
        <w:overflowPunct/>
        <w:topLinePunct w:val="0"/>
        <w:autoSpaceDE/>
        <w:autoSpaceDN/>
        <w:bidi w:val="0"/>
        <w:adjustRightInd/>
        <w:snapToGrid/>
        <w:ind w:firstLine="622" w:firstLineChars="200"/>
        <w:jc w:val="center"/>
        <w:textAlignment w:val="auto"/>
        <w:rPr>
          <w:rFonts w:ascii="仿宋_GB2312" w:hAnsi="宋体" w:eastAsia="仿宋_GB2312"/>
          <w:bCs/>
          <w:sz w:val="32"/>
          <w:szCs w:val="32"/>
        </w:rPr>
      </w:pPr>
      <w:r>
        <w:rPr>
          <w:rFonts w:hint="eastAsia" w:ascii="仿宋_GB2312" w:hAnsi="宋体" w:eastAsia="仿宋_GB2312"/>
          <w:bCs/>
          <w:sz w:val="32"/>
          <w:szCs w:val="32"/>
        </w:rPr>
        <w:t>表2：贵州辖区证券期货交易情况表</w:t>
      </w:r>
    </w:p>
    <w:tbl>
      <w:tblPr>
        <w:tblStyle w:val="7"/>
        <w:tblW w:w="8506" w:type="dxa"/>
        <w:jc w:val="center"/>
        <w:tblLayout w:type="fixed"/>
        <w:tblCellMar>
          <w:top w:w="0" w:type="dxa"/>
          <w:left w:w="108" w:type="dxa"/>
          <w:bottom w:w="0" w:type="dxa"/>
          <w:right w:w="108" w:type="dxa"/>
        </w:tblCellMar>
      </w:tblPr>
      <w:tblGrid>
        <w:gridCol w:w="2438"/>
        <w:gridCol w:w="2098"/>
        <w:gridCol w:w="1985"/>
        <w:gridCol w:w="1985"/>
      </w:tblGrid>
      <w:tr>
        <w:tblPrEx>
          <w:tblCellMar>
            <w:top w:w="0" w:type="dxa"/>
            <w:left w:w="108" w:type="dxa"/>
            <w:bottom w:w="0" w:type="dxa"/>
            <w:right w:w="108" w:type="dxa"/>
          </w:tblCellMar>
        </w:tblPrEx>
        <w:trPr>
          <w:trHeight w:val="686" w:hRule="atLeast"/>
          <w:jc w:val="center"/>
        </w:trPr>
        <w:tc>
          <w:tcPr>
            <w:tcW w:w="243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color w:val="000000"/>
                <w:kern w:val="0"/>
                <w:sz w:val="22"/>
              </w:rPr>
            </w:pPr>
            <w:r>
              <w:rPr>
                <w:rFonts w:hint="eastAsia" w:ascii="仿宋_GB2312" w:hAnsi="宋体" w:eastAsia="仿宋_GB2312" w:cs="宋体"/>
                <w:b/>
                <w:color w:val="000000"/>
                <w:kern w:val="0"/>
                <w:sz w:val="22"/>
              </w:rPr>
              <w:t>指标名称</w:t>
            </w:r>
          </w:p>
        </w:tc>
        <w:tc>
          <w:tcPr>
            <w:tcW w:w="2098"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宋体" w:eastAsia="仿宋_GB2312" w:cs="宋体"/>
                <w:b/>
                <w:color w:val="000000"/>
                <w:kern w:val="0"/>
                <w:sz w:val="22"/>
                <w:lang w:eastAsia="zh-CN"/>
              </w:rPr>
            </w:pPr>
            <w:r>
              <w:rPr>
                <w:rFonts w:hint="eastAsia" w:ascii="仿宋_GB2312" w:hAnsi="宋体" w:eastAsia="仿宋_GB2312" w:cs="宋体"/>
                <w:b/>
                <w:color w:val="000000"/>
                <w:kern w:val="0"/>
                <w:sz w:val="22"/>
              </w:rPr>
              <w:t>202</w:t>
            </w:r>
            <w:r>
              <w:rPr>
                <w:rFonts w:hint="eastAsia" w:ascii="仿宋_GB2312" w:hAnsi="宋体" w:eastAsia="仿宋_GB2312" w:cs="宋体"/>
                <w:b/>
                <w:color w:val="000000"/>
                <w:kern w:val="0"/>
                <w:sz w:val="22"/>
                <w:lang w:val="en-US" w:eastAsia="zh-CN"/>
              </w:rPr>
              <w:t>4</w:t>
            </w:r>
            <w:r>
              <w:rPr>
                <w:rFonts w:hint="eastAsia" w:ascii="仿宋_GB2312" w:hAnsi="宋体" w:eastAsia="仿宋_GB2312" w:cs="宋体"/>
                <w:b/>
                <w:color w:val="000000"/>
                <w:kern w:val="0"/>
                <w:sz w:val="22"/>
              </w:rPr>
              <w:t>年</w:t>
            </w:r>
            <w:r>
              <w:rPr>
                <w:rFonts w:hint="eastAsia" w:ascii="仿宋_GB2312" w:hAnsi="宋体" w:eastAsia="仿宋_GB2312" w:cs="宋体"/>
                <w:b/>
                <w:color w:val="000000"/>
                <w:kern w:val="0"/>
                <w:sz w:val="22"/>
                <w:lang w:val="en-US" w:eastAsia="zh-CN"/>
              </w:rPr>
              <w:t>5</w:t>
            </w:r>
            <w:r>
              <w:rPr>
                <w:rFonts w:hint="eastAsia" w:ascii="仿宋_GB2312" w:hAnsi="宋体" w:eastAsia="仿宋_GB2312" w:cs="宋体"/>
                <w:b/>
                <w:color w:val="000000"/>
                <w:kern w:val="0"/>
                <w:sz w:val="22"/>
              </w:rPr>
              <w:t>月</w:t>
            </w:r>
            <w:r>
              <w:rPr>
                <w:rFonts w:hint="eastAsia" w:ascii="仿宋_GB2312" w:hAnsi="宋体" w:eastAsia="仿宋_GB2312" w:cs="宋体"/>
                <w:b/>
                <w:color w:val="000000"/>
                <w:kern w:val="0"/>
                <w:sz w:val="22"/>
                <w:lang w:eastAsia="zh-CN"/>
              </w:rPr>
              <w:t>数</w:t>
            </w:r>
          </w:p>
        </w:tc>
        <w:tc>
          <w:tcPr>
            <w:tcW w:w="1985"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color w:val="000000"/>
                <w:kern w:val="0"/>
                <w:sz w:val="22"/>
              </w:rPr>
            </w:pPr>
            <w:r>
              <w:rPr>
                <w:rFonts w:hint="eastAsia" w:ascii="仿宋_GB2312" w:hAnsi="宋体" w:eastAsia="仿宋_GB2312" w:cs="宋体"/>
                <w:b/>
                <w:color w:val="000000"/>
                <w:kern w:val="0"/>
                <w:sz w:val="22"/>
                <w:lang w:val="en-US" w:eastAsia="zh-CN"/>
              </w:rPr>
              <w:t>2024</w:t>
            </w:r>
            <w:r>
              <w:rPr>
                <w:rFonts w:hint="eastAsia" w:ascii="仿宋_GB2312" w:hAnsi="宋体" w:eastAsia="仿宋_GB2312" w:cs="宋体"/>
                <w:b/>
                <w:color w:val="000000"/>
                <w:kern w:val="0"/>
                <w:sz w:val="22"/>
              </w:rPr>
              <w:t>年累计数</w:t>
            </w:r>
          </w:p>
        </w:tc>
        <w:tc>
          <w:tcPr>
            <w:tcW w:w="1985" w:type="dxa"/>
            <w:tcBorders>
              <w:top w:val="single" w:color="auto" w:sz="4" w:space="0"/>
              <w:left w:val="nil"/>
              <w:bottom w:val="single" w:color="auto" w:sz="4" w:space="0"/>
              <w:right w:val="single" w:color="auto" w:sz="4" w:space="0"/>
            </w:tcBorders>
            <w:vAlign w:val="center"/>
          </w:tcPr>
          <w:p>
            <w:pPr>
              <w:widowControl/>
              <w:jc w:val="center"/>
              <w:rPr>
                <w:rFonts w:hint="default" w:ascii="仿宋_GB2312" w:hAnsi="宋体" w:eastAsia="仿宋_GB2312" w:cs="宋体"/>
                <w:b/>
                <w:color w:val="000000"/>
                <w:kern w:val="0"/>
                <w:sz w:val="22"/>
                <w:lang w:val="en-US" w:eastAsia="zh-CN"/>
              </w:rPr>
            </w:pPr>
            <w:r>
              <w:rPr>
                <w:rFonts w:hint="eastAsia" w:ascii="仿宋_GB2312" w:hAnsi="宋体" w:eastAsia="仿宋_GB2312" w:cs="宋体"/>
                <w:b/>
                <w:color w:val="000000"/>
                <w:kern w:val="0"/>
                <w:sz w:val="22"/>
                <w:lang w:eastAsia="zh-CN"/>
              </w:rPr>
              <w:t>同比增速（</w:t>
            </w:r>
            <w:r>
              <w:rPr>
                <w:rFonts w:hint="eastAsia" w:ascii="仿宋_GB2312" w:hAnsi="宋体" w:eastAsia="仿宋_GB2312" w:cs="宋体"/>
                <w:b/>
                <w:color w:val="000000"/>
                <w:kern w:val="0"/>
                <w:sz w:val="22"/>
                <w:lang w:val="en-US" w:eastAsia="zh-CN"/>
              </w:rPr>
              <w:t>%）</w:t>
            </w:r>
          </w:p>
        </w:tc>
      </w:tr>
      <w:tr>
        <w:tblPrEx>
          <w:tblCellMar>
            <w:top w:w="0" w:type="dxa"/>
            <w:left w:w="108" w:type="dxa"/>
            <w:bottom w:w="0" w:type="dxa"/>
            <w:right w:w="108" w:type="dxa"/>
          </w:tblCellMar>
        </w:tblPrEx>
        <w:trPr>
          <w:trHeight w:val="784" w:hRule="atLeast"/>
          <w:jc w:val="center"/>
        </w:trPr>
        <w:tc>
          <w:tcPr>
            <w:tcW w:w="2438"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证券成交金额（亿元）</w:t>
            </w:r>
          </w:p>
        </w:tc>
        <w:tc>
          <w:tcPr>
            <w:tcW w:w="2098"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i w:val="0"/>
                <w:color w:val="000000"/>
                <w:kern w:val="0"/>
                <w:sz w:val="22"/>
                <w:szCs w:val="22"/>
                <w:u w:val="none"/>
                <w:lang w:val="en-US" w:eastAsia="zh-CN" w:bidi="ar"/>
              </w:rPr>
              <w:t>4627.2</w:t>
            </w:r>
          </w:p>
        </w:tc>
        <w:tc>
          <w:tcPr>
            <w:tcW w:w="198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i w:val="0"/>
                <w:color w:val="000000"/>
                <w:kern w:val="0"/>
                <w:sz w:val="22"/>
                <w:szCs w:val="22"/>
                <w:u w:val="none"/>
                <w:lang w:val="en-US" w:eastAsia="zh-CN" w:bidi="ar"/>
              </w:rPr>
              <w:t>22960.6</w:t>
            </w:r>
          </w:p>
        </w:tc>
        <w:tc>
          <w:tcPr>
            <w:tcW w:w="198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2"/>
                <w:szCs w:val="22"/>
                <w:lang w:val="en" w:eastAsia="zh-CN"/>
              </w:rPr>
            </w:pPr>
            <w:r>
              <w:rPr>
                <w:rFonts w:hint="eastAsia" w:ascii="仿宋_GB2312" w:hAnsi="仿宋_GB2312" w:eastAsia="仿宋_GB2312" w:cs="仿宋_GB2312"/>
                <w:i w:val="0"/>
                <w:color w:val="000000"/>
                <w:kern w:val="0"/>
                <w:sz w:val="22"/>
                <w:szCs w:val="22"/>
                <w:u w:val="none"/>
                <w:lang w:val="en-US" w:eastAsia="zh-CN" w:bidi="ar"/>
              </w:rPr>
              <w:t>13.3%</w:t>
            </w:r>
          </w:p>
        </w:tc>
      </w:tr>
      <w:tr>
        <w:tblPrEx>
          <w:tblCellMar>
            <w:top w:w="0" w:type="dxa"/>
            <w:left w:w="108" w:type="dxa"/>
            <w:bottom w:w="0" w:type="dxa"/>
            <w:right w:w="108" w:type="dxa"/>
          </w:tblCellMar>
        </w:tblPrEx>
        <w:trPr>
          <w:trHeight w:val="859" w:hRule="atLeast"/>
          <w:jc w:val="center"/>
        </w:trPr>
        <w:tc>
          <w:tcPr>
            <w:tcW w:w="2438"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期货成交数量（万手）</w:t>
            </w:r>
          </w:p>
        </w:tc>
        <w:tc>
          <w:tcPr>
            <w:tcW w:w="2098"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仿宋_GB2312" w:hAnsi="仿宋_GB2312" w:eastAsia="仿宋_GB2312" w:cs="仿宋_GB2312"/>
                <w:kern w:val="0"/>
                <w:sz w:val="22"/>
                <w:szCs w:val="22"/>
                <w:lang w:val="en-US" w:eastAsia="zh-CN"/>
              </w:rPr>
            </w:pPr>
            <w:r>
              <w:rPr>
                <w:rFonts w:hint="eastAsia" w:ascii="仿宋_GB2312" w:hAnsi="仿宋_GB2312" w:eastAsia="仿宋_GB2312" w:cs="仿宋_GB2312"/>
                <w:i w:val="0"/>
                <w:color w:val="000000"/>
                <w:kern w:val="0"/>
                <w:sz w:val="22"/>
                <w:szCs w:val="22"/>
                <w:u w:val="none"/>
                <w:lang w:val="en-US" w:eastAsia="zh-CN" w:bidi="ar"/>
              </w:rPr>
              <w:t>179.3</w:t>
            </w:r>
          </w:p>
        </w:tc>
        <w:tc>
          <w:tcPr>
            <w:tcW w:w="198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仿宋_GB2312" w:hAnsi="仿宋_GB2312" w:eastAsia="仿宋_GB2312" w:cs="仿宋_GB2312"/>
                <w:kern w:val="0"/>
                <w:sz w:val="22"/>
                <w:szCs w:val="22"/>
                <w:lang w:val="en-US" w:eastAsia="zh-CN"/>
              </w:rPr>
            </w:pPr>
            <w:r>
              <w:rPr>
                <w:rFonts w:hint="eastAsia" w:ascii="仿宋_GB2312" w:hAnsi="仿宋_GB2312" w:eastAsia="仿宋_GB2312" w:cs="仿宋_GB2312"/>
                <w:i w:val="0"/>
                <w:color w:val="000000"/>
                <w:kern w:val="0"/>
                <w:sz w:val="22"/>
                <w:szCs w:val="22"/>
                <w:u w:val="none"/>
                <w:lang w:val="en-US" w:eastAsia="zh-CN" w:bidi="ar"/>
              </w:rPr>
              <w:t>628.2</w:t>
            </w:r>
          </w:p>
        </w:tc>
        <w:tc>
          <w:tcPr>
            <w:tcW w:w="198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lang w:val="en" w:eastAsia="zh-CN"/>
              </w:rPr>
            </w:pPr>
            <w:r>
              <w:rPr>
                <w:rFonts w:hint="eastAsia" w:ascii="仿宋_GB2312" w:hAnsi="仿宋_GB2312" w:eastAsia="仿宋_GB2312" w:cs="仿宋_GB2312"/>
                <w:i w:val="0"/>
                <w:color w:val="000000"/>
                <w:kern w:val="0"/>
                <w:sz w:val="22"/>
                <w:szCs w:val="22"/>
                <w:u w:val="none"/>
                <w:lang w:val="en-US" w:eastAsia="zh-CN" w:bidi="ar"/>
              </w:rPr>
              <w:t>29.37%</w:t>
            </w:r>
          </w:p>
        </w:tc>
      </w:tr>
      <w:tr>
        <w:tblPrEx>
          <w:tblCellMar>
            <w:top w:w="0" w:type="dxa"/>
            <w:left w:w="108" w:type="dxa"/>
            <w:bottom w:w="0" w:type="dxa"/>
            <w:right w:w="108" w:type="dxa"/>
          </w:tblCellMar>
        </w:tblPrEx>
        <w:trPr>
          <w:trHeight w:val="888" w:hRule="atLeast"/>
          <w:jc w:val="center"/>
        </w:trPr>
        <w:tc>
          <w:tcPr>
            <w:tcW w:w="2438"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期货成交金额（亿元）</w:t>
            </w:r>
          </w:p>
        </w:tc>
        <w:tc>
          <w:tcPr>
            <w:tcW w:w="2098"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仿宋_GB2312" w:hAnsi="仿宋_GB2312" w:eastAsia="仿宋_GB2312" w:cs="仿宋_GB2312"/>
                <w:kern w:val="0"/>
                <w:sz w:val="22"/>
                <w:szCs w:val="22"/>
                <w:lang w:val="en-US" w:eastAsia="zh-CN"/>
              </w:rPr>
            </w:pPr>
            <w:r>
              <w:rPr>
                <w:rFonts w:hint="eastAsia" w:ascii="仿宋_GB2312" w:hAnsi="仿宋_GB2312" w:eastAsia="仿宋_GB2312" w:cs="仿宋_GB2312"/>
                <w:i w:val="0"/>
                <w:color w:val="000000"/>
                <w:kern w:val="0"/>
                <w:sz w:val="22"/>
                <w:szCs w:val="22"/>
                <w:u w:val="none"/>
                <w:lang w:val="en-US" w:eastAsia="zh-CN" w:bidi="ar"/>
              </w:rPr>
              <w:t>1114.6</w:t>
            </w:r>
          </w:p>
        </w:tc>
        <w:tc>
          <w:tcPr>
            <w:tcW w:w="198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仿宋_GB2312" w:hAnsi="仿宋_GB2312" w:eastAsia="仿宋_GB2312" w:cs="仿宋_GB2312"/>
                <w:kern w:val="0"/>
                <w:sz w:val="22"/>
                <w:szCs w:val="22"/>
                <w:lang w:val="en-US" w:eastAsia="zh-CN"/>
              </w:rPr>
            </w:pPr>
            <w:r>
              <w:rPr>
                <w:rFonts w:hint="eastAsia" w:ascii="仿宋_GB2312" w:hAnsi="仿宋_GB2312" w:eastAsia="仿宋_GB2312" w:cs="仿宋_GB2312"/>
                <w:i w:val="0"/>
                <w:color w:val="000000"/>
                <w:kern w:val="0"/>
                <w:sz w:val="22"/>
                <w:szCs w:val="22"/>
                <w:u w:val="none"/>
                <w:lang w:val="en-US" w:eastAsia="zh-CN" w:bidi="ar"/>
              </w:rPr>
              <w:t>4296.7</w:t>
            </w:r>
          </w:p>
        </w:tc>
        <w:tc>
          <w:tcPr>
            <w:tcW w:w="198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lang w:val="en" w:eastAsia="zh-CN"/>
              </w:rPr>
            </w:pPr>
            <w:r>
              <w:rPr>
                <w:rFonts w:hint="eastAsia" w:ascii="仿宋_GB2312" w:hAnsi="仿宋_GB2312" w:eastAsia="仿宋_GB2312" w:cs="仿宋_GB2312"/>
                <w:i w:val="0"/>
                <w:color w:val="000000"/>
                <w:kern w:val="0"/>
                <w:sz w:val="22"/>
                <w:szCs w:val="22"/>
                <w:u w:val="none"/>
                <w:lang w:val="en-US" w:eastAsia="zh-CN" w:bidi="ar"/>
              </w:rPr>
              <w:t>44.73%</w:t>
            </w:r>
          </w:p>
        </w:tc>
      </w:tr>
    </w:tbl>
    <w:p>
      <w:pPr>
        <w:spacing w:afterLines="50" w:line="260" w:lineRule="exact"/>
        <w:jc w:val="center"/>
        <w:rPr>
          <w:rFonts w:ascii="仿宋_GB2312" w:hAnsi="宋体" w:eastAsia="仿宋_GB2312"/>
          <w:bCs/>
          <w:sz w:val="18"/>
          <w:szCs w:val="18"/>
        </w:rPr>
      </w:pPr>
      <w:r>
        <w:rPr>
          <w:rFonts w:hint="eastAsia" w:ascii="仿宋_GB2312" w:hAnsi="宋体" w:eastAsia="仿宋_GB2312"/>
          <w:bCs/>
          <w:sz w:val="18"/>
          <w:szCs w:val="18"/>
        </w:rPr>
        <w:t xml:space="preserve">                    </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bCs/>
          <w:sz w:val="20"/>
          <w:szCs w:val="20"/>
          <w:lang w:val="en-US" w:eastAsia="zh-CN"/>
        </w:rPr>
      </w:pPr>
      <w:r>
        <w:rPr>
          <w:rFonts w:hint="eastAsia" w:ascii="仿宋_GB2312" w:hAnsi="宋体" w:eastAsia="仿宋_GB2312"/>
          <w:bCs/>
          <w:sz w:val="32"/>
          <w:szCs w:val="32"/>
        </w:rPr>
        <w:t xml:space="preserve">表3：贵州辖区证券期货市场主体基本情况表        </w:t>
      </w:r>
      <w:r>
        <w:rPr>
          <w:rFonts w:hint="eastAsia" w:ascii="仿宋_GB2312" w:hAnsi="宋体" w:eastAsia="仿宋_GB2312"/>
          <w:bCs/>
          <w:sz w:val="20"/>
          <w:szCs w:val="20"/>
        </w:rPr>
        <w:t xml:space="preserve">                                                    </w:t>
      </w:r>
      <w:r>
        <w:rPr>
          <w:rFonts w:hint="eastAsia" w:ascii="仿宋_GB2312" w:hAnsi="宋体" w:eastAsia="仿宋_GB2312"/>
          <w:bCs/>
          <w:sz w:val="20"/>
          <w:szCs w:val="20"/>
          <w:lang w:val="en-US" w:eastAsia="zh-CN"/>
        </w:rPr>
        <w:t xml:space="preserve"> </w:t>
      </w:r>
    </w:p>
    <w:tbl>
      <w:tblPr>
        <w:tblStyle w:val="7"/>
        <w:tblW w:w="8364" w:type="dxa"/>
        <w:jc w:val="center"/>
        <w:tblLayout w:type="fixed"/>
        <w:tblCellMar>
          <w:top w:w="0" w:type="dxa"/>
          <w:left w:w="108" w:type="dxa"/>
          <w:bottom w:w="0" w:type="dxa"/>
          <w:right w:w="108" w:type="dxa"/>
        </w:tblCellMar>
      </w:tblPr>
      <w:tblGrid>
        <w:gridCol w:w="1277"/>
        <w:gridCol w:w="3260"/>
        <w:gridCol w:w="992"/>
        <w:gridCol w:w="1276"/>
        <w:gridCol w:w="1559"/>
      </w:tblGrid>
      <w:tr>
        <w:tblPrEx>
          <w:tblCellMar>
            <w:top w:w="0" w:type="dxa"/>
            <w:left w:w="108" w:type="dxa"/>
            <w:bottom w:w="0" w:type="dxa"/>
            <w:right w:w="108" w:type="dxa"/>
          </w:tblCellMar>
        </w:tblPrEx>
        <w:trPr>
          <w:trHeight w:val="428" w:hRule="atLeast"/>
          <w:jc w:val="center"/>
        </w:trPr>
        <w:tc>
          <w:tcPr>
            <w:tcW w:w="1277" w:type="dxa"/>
            <w:tcBorders>
              <w:top w:val="single" w:color="auto" w:sz="4" w:space="0"/>
              <w:left w:val="single" w:color="auto" w:sz="4" w:space="0"/>
              <w:bottom w:val="single" w:color="auto" w:sz="4" w:space="0"/>
              <w:right w:val="single" w:color="auto" w:sz="4" w:space="0"/>
            </w:tcBorders>
          </w:tcPr>
          <w:p>
            <w:pPr>
              <w:widowControl/>
              <w:jc w:val="center"/>
              <w:rPr>
                <w:rFonts w:ascii="仿宋_GB2312" w:hAnsi="华文楷体" w:eastAsia="仿宋_GB2312" w:cs="宋体"/>
                <w:b/>
                <w:bCs/>
                <w:color w:val="000000"/>
                <w:kern w:val="0"/>
                <w:sz w:val="20"/>
                <w:szCs w:val="20"/>
              </w:rPr>
            </w:pPr>
            <w:r>
              <w:rPr>
                <w:rFonts w:hint="eastAsia" w:ascii="仿宋_GB2312" w:hAnsi="华文楷体" w:eastAsia="仿宋_GB2312" w:cs="宋体"/>
                <w:b/>
                <w:bCs/>
                <w:color w:val="000000"/>
                <w:kern w:val="0"/>
                <w:sz w:val="20"/>
                <w:szCs w:val="20"/>
              </w:rPr>
              <w:t>类别</w:t>
            </w:r>
          </w:p>
        </w:tc>
        <w:tc>
          <w:tcPr>
            <w:tcW w:w="3260" w:type="dxa"/>
            <w:tcBorders>
              <w:top w:val="single" w:color="auto" w:sz="4" w:space="0"/>
              <w:left w:val="nil"/>
              <w:bottom w:val="single" w:color="auto" w:sz="4" w:space="0"/>
              <w:right w:val="single" w:color="auto" w:sz="4" w:space="0"/>
            </w:tcBorders>
          </w:tcPr>
          <w:p>
            <w:pPr>
              <w:widowControl/>
              <w:jc w:val="center"/>
              <w:rPr>
                <w:rFonts w:ascii="仿宋_GB2312" w:hAnsi="华文楷体" w:eastAsia="仿宋_GB2312" w:cs="宋体"/>
                <w:b/>
                <w:bCs/>
                <w:color w:val="000000"/>
                <w:kern w:val="0"/>
                <w:sz w:val="20"/>
                <w:szCs w:val="20"/>
              </w:rPr>
            </w:pPr>
            <w:r>
              <w:rPr>
                <w:rFonts w:hint="eastAsia" w:ascii="仿宋_GB2312" w:hAnsi="华文楷体" w:eastAsia="仿宋_GB2312" w:cs="宋体"/>
                <w:b/>
                <w:bCs/>
                <w:color w:val="000000"/>
                <w:kern w:val="0"/>
                <w:sz w:val="20"/>
                <w:szCs w:val="20"/>
              </w:rPr>
              <w:t>指  标  名  称</w:t>
            </w:r>
          </w:p>
        </w:tc>
        <w:tc>
          <w:tcPr>
            <w:tcW w:w="992" w:type="dxa"/>
            <w:tcBorders>
              <w:top w:val="single" w:color="auto" w:sz="4" w:space="0"/>
              <w:left w:val="nil"/>
              <w:bottom w:val="single" w:color="auto" w:sz="4" w:space="0"/>
              <w:right w:val="single" w:color="auto" w:sz="4" w:space="0"/>
            </w:tcBorders>
          </w:tcPr>
          <w:p>
            <w:pPr>
              <w:widowControl/>
              <w:jc w:val="center"/>
              <w:rPr>
                <w:rFonts w:ascii="仿宋_GB2312" w:hAnsi="华文楷体" w:eastAsia="仿宋_GB2312" w:cs="宋体"/>
                <w:b/>
                <w:bCs/>
                <w:color w:val="000000"/>
                <w:kern w:val="0"/>
                <w:sz w:val="20"/>
                <w:szCs w:val="20"/>
              </w:rPr>
            </w:pPr>
            <w:r>
              <w:rPr>
                <w:rFonts w:hint="eastAsia" w:ascii="仿宋_GB2312" w:hAnsi="华文楷体" w:eastAsia="仿宋_GB2312" w:cs="宋体"/>
                <w:b/>
                <w:bCs/>
                <w:color w:val="000000"/>
                <w:kern w:val="0"/>
                <w:sz w:val="20"/>
                <w:szCs w:val="20"/>
              </w:rPr>
              <w:t>单位</w:t>
            </w:r>
          </w:p>
        </w:tc>
        <w:tc>
          <w:tcPr>
            <w:tcW w:w="1276" w:type="dxa"/>
            <w:tcBorders>
              <w:top w:val="single" w:color="auto" w:sz="4" w:space="0"/>
              <w:left w:val="nil"/>
              <w:bottom w:val="single" w:color="auto" w:sz="4" w:space="0"/>
              <w:right w:val="single" w:color="auto" w:sz="4" w:space="0"/>
            </w:tcBorders>
          </w:tcPr>
          <w:p>
            <w:pPr>
              <w:widowControl/>
              <w:jc w:val="center"/>
              <w:rPr>
                <w:rFonts w:ascii="仿宋_GB2312" w:hAnsi="华文楷体" w:eastAsia="仿宋_GB2312" w:cs="宋体"/>
                <w:b/>
                <w:bCs/>
                <w:color w:val="000000"/>
                <w:kern w:val="0"/>
                <w:sz w:val="20"/>
                <w:szCs w:val="20"/>
              </w:rPr>
            </w:pPr>
            <w:r>
              <w:rPr>
                <w:rFonts w:hint="eastAsia" w:ascii="仿宋_GB2312" w:hAnsi="华文楷体" w:eastAsia="仿宋_GB2312" w:cs="宋体"/>
                <w:b/>
                <w:bCs/>
                <w:color w:val="000000"/>
                <w:kern w:val="0"/>
                <w:sz w:val="20"/>
                <w:szCs w:val="20"/>
              </w:rPr>
              <w:t>年初数</w:t>
            </w:r>
          </w:p>
        </w:tc>
        <w:tc>
          <w:tcPr>
            <w:tcW w:w="1559" w:type="dxa"/>
            <w:tcBorders>
              <w:top w:val="single" w:color="auto" w:sz="4" w:space="0"/>
              <w:left w:val="nil"/>
              <w:bottom w:val="single" w:color="auto" w:sz="4" w:space="0"/>
              <w:right w:val="single" w:color="auto" w:sz="4" w:space="0"/>
            </w:tcBorders>
          </w:tcPr>
          <w:p>
            <w:pPr>
              <w:widowControl/>
              <w:jc w:val="center"/>
              <w:rPr>
                <w:rFonts w:ascii="仿宋_GB2312" w:hAnsi="华文楷体" w:eastAsia="仿宋_GB2312" w:cs="宋体"/>
                <w:b/>
                <w:bCs/>
                <w:color w:val="000000"/>
                <w:kern w:val="0"/>
                <w:sz w:val="20"/>
                <w:szCs w:val="20"/>
              </w:rPr>
            </w:pPr>
            <w:r>
              <w:rPr>
                <w:rFonts w:hint="eastAsia" w:ascii="仿宋_GB2312" w:hAnsi="华文楷体" w:eastAsia="仿宋_GB2312" w:cs="宋体"/>
                <w:b/>
                <w:bCs/>
                <w:color w:val="000000"/>
                <w:kern w:val="0"/>
                <w:sz w:val="20"/>
                <w:szCs w:val="20"/>
              </w:rPr>
              <w:t>期末数</w:t>
            </w:r>
          </w:p>
        </w:tc>
      </w:tr>
      <w:tr>
        <w:tblPrEx>
          <w:tblCellMar>
            <w:top w:w="0" w:type="dxa"/>
            <w:left w:w="108" w:type="dxa"/>
            <w:bottom w:w="0" w:type="dxa"/>
            <w:right w:w="108" w:type="dxa"/>
          </w:tblCellMar>
        </w:tblPrEx>
        <w:trPr>
          <w:trHeight w:val="412" w:hRule="atLeast"/>
          <w:jc w:val="center"/>
        </w:trPr>
        <w:tc>
          <w:tcPr>
            <w:tcW w:w="1277" w:type="dxa"/>
            <w:vMerge w:val="restart"/>
            <w:tcBorders>
              <w:top w:val="nil"/>
              <w:left w:val="single" w:color="auto" w:sz="4" w:space="0"/>
              <w:bottom w:val="single" w:color="auto" w:sz="4" w:space="0"/>
              <w:right w:val="single" w:color="auto" w:sz="4" w:space="0"/>
            </w:tcBorders>
            <w:vAlign w:val="center"/>
          </w:tcPr>
          <w:p>
            <w:pPr>
              <w:widowControl/>
              <w:jc w:val="center"/>
              <w:rPr>
                <w:rFonts w:ascii="仿宋_GB2312" w:hAnsi="华文楷体" w:eastAsia="仿宋_GB2312" w:cs="宋体"/>
                <w:b/>
                <w:bCs/>
                <w:color w:val="000000"/>
                <w:kern w:val="0"/>
                <w:sz w:val="20"/>
                <w:szCs w:val="20"/>
              </w:rPr>
            </w:pPr>
            <w:r>
              <w:rPr>
                <w:rFonts w:hint="eastAsia" w:ascii="仿宋_GB2312" w:hAnsi="华文楷体" w:eastAsia="仿宋_GB2312" w:cs="宋体"/>
                <w:b/>
                <w:bCs/>
                <w:color w:val="000000"/>
                <w:kern w:val="0"/>
                <w:sz w:val="20"/>
                <w:szCs w:val="20"/>
              </w:rPr>
              <w:t>上市公司</w:t>
            </w:r>
          </w:p>
        </w:tc>
        <w:tc>
          <w:tcPr>
            <w:tcW w:w="3260" w:type="dxa"/>
            <w:tcBorders>
              <w:top w:val="single" w:color="auto" w:sz="4" w:space="0"/>
              <w:left w:val="nil"/>
              <w:bottom w:val="single" w:color="auto" w:sz="4" w:space="0"/>
              <w:right w:val="single" w:color="auto" w:sz="4" w:space="0"/>
            </w:tcBorders>
            <w:vAlign w:val="center"/>
          </w:tcPr>
          <w:p>
            <w:pPr>
              <w:widowControl/>
              <w:jc w:val="left"/>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上市公司数量</w:t>
            </w:r>
          </w:p>
        </w:tc>
        <w:tc>
          <w:tcPr>
            <w:tcW w:w="992" w:type="dxa"/>
            <w:tcBorders>
              <w:top w:val="nil"/>
              <w:left w:val="nil"/>
              <w:bottom w:val="single" w:color="auto" w:sz="4" w:space="0"/>
              <w:right w:val="single" w:color="auto" w:sz="4" w:space="0"/>
            </w:tcBorders>
            <w:vAlign w:val="center"/>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家</w:t>
            </w:r>
          </w:p>
        </w:tc>
        <w:tc>
          <w:tcPr>
            <w:tcW w:w="1276" w:type="dxa"/>
            <w:tcBorders>
              <w:top w:val="nil"/>
              <w:left w:val="nil"/>
              <w:bottom w:val="single" w:color="auto" w:sz="4" w:space="0"/>
              <w:right w:val="single" w:color="auto" w:sz="4" w:space="0"/>
            </w:tcBorders>
            <w:vAlign w:val="center"/>
          </w:tcPr>
          <w:p>
            <w:pPr>
              <w:widowControl/>
              <w:jc w:val="center"/>
              <w:rPr>
                <w:rFonts w:hint="default" w:ascii="仿宋_GB2312" w:hAnsi="华文楷体" w:eastAsia="仿宋_GB2312" w:cs="宋体"/>
                <w:color w:val="000000"/>
                <w:kern w:val="0"/>
                <w:sz w:val="20"/>
                <w:szCs w:val="20"/>
                <w:lang w:val="en-US" w:eastAsia="zh-CN"/>
              </w:rPr>
            </w:pPr>
            <w:r>
              <w:rPr>
                <w:rFonts w:hint="eastAsia" w:ascii="仿宋_GB2312" w:hAnsi="华文楷体" w:eastAsia="仿宋_GB2312" w:cs="宋体"/>
                <w:color w:val="000000"/>
                <w:kern w:val="0"/>
                <w:sz w:val="20"/>
                <w:szCs w:val="20"/>
                <w:lang w:val="en-US" w:eastAsia="zh-CN"/>
              </w:rPr>
              <w:t>36</w:t>
            </w:r>
          </w:p>
        </w:tc>
        <w:tc>
          <w:tcPr>
            <w:tcW w:w="1559" w:type="dxa"/>
            <w:tcBorders>
              <w:top w:val="nil"/>
              <w:left w:val="nil"/>
              <w:bottom w:val="single" w:color="auto" w:sz="4" w:space="0"/>
              <w:right w:val="single" w:color="auto" w:sz="4" w:space="0"/>
            </w:tcBorders>
            <w:vAlign w:val="center"/>
          </w:tcPr>
          <w:p>
            <w:pPr>
              <w:widowControl/>
              <w:jc w:val="center"/>
              <w:rPr>
                <w:rFonts w:hint="default" w:ascii="仿宋_GB2312" w:hAnsi="宋体" w:eastAsia="仿宋_GB2312" w:cs="宋体"/>
                <w:color w:val="000000"/>
                <w:kern w:val="0"/>
                <w:sz w:val="20"/>
                <w:szCs w:val="20"/>
                <w:lang w:eastAsia="zh-CN"/>
              </w:rPr>
            </w:pPr>
            <w:r>
              <w:rPr>
                <w:rFonts w:hint="default" w:ascii="仿宋_GB2312" w:hAnsi="宋体" w:eastAsia="仿宋_GB2312" w:cs="宋体"/>
                <w:color w:val="000000"/>
                <w:kern w:val="0"/>
                <w:sz w:val="20"/>
                <w:szCs w:val="20"/>
                <w:lang w:eastAsia="zh-CN"/>
              </w:rPr>
              <w:t>36</w:t>
            </w:r>
          </w:p>
        </w:tc>
      </w:tr>
      <w:tr>
        <w:tblPrEx>
          <w:tblCellMar>
            <w:top w:w="0" w:type="dxa"/>
            <w:left w:w="108" w:type="dxa"/>
            <w:bottom w:w="0" w:type="dxa"/>
            <w:right w:w="108" w:type="dxa"/>
          </w:tblCellMar>
        </w:tblPrEx>
        <w:trPr>
          <w:trHeight w:val="438" w:hRule="atLeast"/>
          <w:jc w:val="center"/>
        </w:trPr>
        <w:tc>
          <w:tcPr>
            <w:tcW w:w="127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华文楷体" w:eastAsia="仿宋_GB2312" w:cs="宋体"/>
                <w:b/>
                <w:bCs/>
                <w:color w:val="000000"/>
                <w:kern w:val="0"/>
                <w:sz w:val="20"/>
                <w:szCs w:val="20"/>
              </w:rPr>
            </w:pPr>
          </w:p>
        </w:tc>
        <w:tc>
          <w:tcPr>
            <w:tcW w:w="3260" w:type="dxa"/>
            <w:tcBorders>
              <w:top w:val="single" w:color="auto" w:sz="4" w:space="0"/>
              <w:left w:val="nil"/>
              <w:bottom w:val="single" w:color="auto" w:sz="4" w:space="0"/>
              <w:right w:val="single" w:color="auto" w:sz="4" w:space="0"/>
            </w:tcBorders>
            <w:vAlign w:val="center"/>
          </w:tcPr>
          <w:p>
            <w:pPr>
              <w:widowControl/>
              <w:jc w:val="left"/>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其中：主板</w:t>
            </w:r>
          </w:p>
        </w:tc>
        <w:tc>
          <w:tcPr>
            <w:tcW w:w="992" w:type="dxa"/>
            <w:tcBorders>
              <w:top w:val="nil"/>
              <w:left w:val="nil"/>
              <w:bottom w:val="single" w:color="auto" w:sz="4" w:space="0"/>
              <w:right w:val="single" w:color="auto" w:sz="4" w:space="0"/>
            </w:tcBorders>
            <w:vAlign w:val="center"/>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家</w:t>
            </w:r>
          </w:p>
        </w:tc>
        <w:tc>
          <w:tcPr>
            <w:tcW w:w="1276" w:type="dxa"/>
            <w:tcBorders>
              <w:top w:val="nil"/>
              <w:left w:val="nil"/>
              <w:bottom w:val="single" w:color="auto" w:sz="4" w:space="0"/>
              <w:right w:val="single" w:color="auto" w:sz="4" w:space="0"/>
            </w:tcBorders>
            <w:vAlign w:val="center"/>
          </w:tcPr>
          <w:p>
            <w:pPr>
              <w:widowControl/>
              <w:jc w:val="center"/>
              <w:rPr>
                <w:rFonts w:hint="default" w:ascii="仿宋_GB2312" w:hAnsi="华文楷体" w:eastAsia="仿宋_GB2312" w:cs="宋体"/>
                <w:color w:val="000000"/>
                <w:kern w:val="0"/>
                <w:sz w:val="20"/>
                <w:szCs w:val="20"/>
                <w:lang w:val="en-US" w:eastAsia="zh-CN"/>
              </w:rPr>
            </w:pPr>
            <w:r>
              <w:rPr>
                <w:rFonts w:hint="eastAsia" w:ascii="仿宋_GB2312" w:hAnsi="华文楷体" w:eastAsia="仿宋_GB2312" w:cs="宋体"/>
                <w:color w:val="000000"/>
                <w:kern w:val="0"/>
                <w:sz w:val="20"/>
                <w:szCs w:val="20"/>
                <w:lang w:val="en-US" w:eastAsia="zh-CN"/>
              </w:rPr>
              <w:t>29</w:t>
            </w:r>
          </w:p>
        </w:tc>
        <w:tc>
          <w:tcPr>
            <w:tcW w:w="1559" w:type="dxa"/>
            <w:tcBorders>
              <w:top w:val="nil"/>
              <w:left w:val="nil"/>
              <w:bottom w:val="single" w:color="auto" w:sz="4" w:space="0"/>
              <w:right w:val="single" w:color="auto" w:sz="4" w:space="0"/>
            </w:tcBorders>
            <w:vAlign w:val="center"/>
          </w:tcPr>
          <w:p>
            <w:pPr>
              <w:widowControl/>
              <w:jc w:val="center"/>
              <w:rPr>
                <w:rFonts w:hint="default" w:ascii="仿宋_GB2312" w:hAnsi="宋体" w:eastAsia="仿宋_GB2312" w:cs="宋体"/>
                <w:color w:val="000000"/>
                <w:kern w:val="0"/>
                <w:sz w:val="20"/>
                <w:szCs w:val="20"/>
                <w:lang w:eastAsia="zh-CN"/>
              </w:rPr>
            </w:pPr>
            <w:r>
              <w:rPr>
                <w:rFonts w:hint="default" w:ascii="仿宋_GB2312" w:hAnsi="宋体" w:eastAsia="仿宋_GB2312" w:cs="宋体"/>
                <w:color w:val="000000"/>
                <w:kern w:val="0"/>
                <w:sz w:val="20"/>
                <w:szCs w:val="20"/>
                <w:lang w:eastAsia="zh-CN"/>
              </w:rPr>
              <w:t>29</w:t>
            </w:r>
          </w:p>
        </w:tc>
      </w:tr>
      <w:tr>
        <w:tblPrEx>
          <w:tblCellMar>
            <w:top w:w="0" w:type="dxa"/>
            <w:left w:w="108" w:type="dxa"/>
            <w:bottom w:w="0" w:type="dxa"/>
            <w:right w:w="108" w:type="dxa"/>
          </w:tblCellMar>
        </w:tblPrEx>
        <w:trPr>
          <w:trHeight w:val="424" w:hRule="atLeast"/>
          <w:jc w:val="center"/>
        </w:trPr>
        <w:tc>
          <w:tcPr>
            <w:tcW w:w="127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华文楷体" w:eastAsia="仿宋_GB2312" w:cs="宋体"/>
                <w:b/>
                <w:bCs/>
                <w:color w:val="000000"/>
                <w:kern w:val="0"/>
                <w:sz w:val="20"/>
                <w:szCs w:val="20"/>
              </w:rPr>
            </w:pPr>
          </w:p>
        </w:tc>
        <w:tc>
          <w:tcPr>
            <w:tcW w:w="3260" w:type="dxa"/>
            <w:tcBorders>
              <w:top w:val="single" w:color="auto" w:sz="4" w:space="0"/>
              <w:left w:val="nil"/>
              <w:bottom w:val="single" w:color="auto" w:sz="4" w:space="0"/>
              <w:right w:val="single" w:color="auto" w:sz="4" w:space="0"/>
            </w:tcBorders>
            <w:vAlign w:val="center"/>
          </w:tcPr>
          <w:p>
            <w:pPr>
              <w:widowControl/>
              <w:jc w:val="left"/>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创业板</w:t>
            </w:r>
          </w:p>
        </w:tc>
        <w:tc>
          <w:tcPr>
            <w:tcW w:w="992" w:type="dxa"/>
            <w:tcBorders>
              <w:top w:val="nil"/>
              <w:left w:val="nil"/>
              <w:bottom w:val="single" w:color="auto" w:sz="4" w:space="0"/>
              <w:right w:val="single" w:color="auto" w:sz="4" w:space="0"/>
            </w:tcBorders>
            <w:vAlign w:val="center"/>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家</w:t>
            </w:r>
          </w:p>
        </w:tc>
        <w:tc>
          <w:tcPr>
            <w:tcW w:w="1276" w:type="dxa"/>
            <w:tcBorders>
              <w:top w:val="nil"/>
              <w:left w:val="nil"/>
              <w:bottom w:val="single" w:color="auto" w:sz="4" w:space="0"/>
              <w:right w:val="single" w:color="auto" w:sz="4" w:space="0"/>
            </w:tcBorders>
            <w:vAlign w:val="center"/>
          </w:tcPr>
          <w:p>
            <w:pPr>
              <w:widowControl/>
              <w:jc w:val="center"/>
              <w:rPr>
                <w:rFonts w:hint="eastAsia" w:ascii="仿宋_GB2312" w:hAnsi="华文楷体" w:eastAsia="仿宋_GB2312" w:cs="宋体"/>
                <w:color w:val="000000"/>
                <w:kern w:val="0"/>
                <w:sz w:val="20"/>
                <w:szCs w:val="20"/>
                <w:lang w:eastAsia="zh-CN"/>
              </w:rPr>
            </w:pPr>
            <w:r>
              <w:rPr>
                <w:rFonts w:hint="eastAsia" w:ascii="仿宋_GB2312" w:hAnsi="华文楷体" w:eastAsia="仿宋_GB2312" w:cs="宋体"/>
                <w:color w:val="000000"/>
                <w:kern w:val="0"/>
                <w:sz w:val="20"/>
                <w:szCs w:val="20"/>
                <w:lang w:val="en-US" w:eastAsia="zh-CN"/>
              </w:rPr>
              <w:t>3</w:t>
            </w:r>
          </w:p>
        </w:tc>
        <w:tc>
          <w:tcPr>
            <w:tcW w:w="1559" w:type="dxa"/>
            <w:tcBorders>
              <w:top w:val="nil"/>
              <w:left w:val="nil"/>
              <w:bottom w:val="single" w:color="auto" w:sz="4" w:space="0"/>
              <w:right w:val="single" w:color="auto" w:sz="4" w:space="0"/>
            </w:tcBorders>
            <w:vAlign w:val="center"/>
          </w:tcPr>
          <w:p>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3</w:t>
            </w:r>
          </w:p>
        </w:tc>
      </w:tr>
      <w:tr>
        <w:tblPrEx>
          <w:tblCellMar>
            <w:top w:w="0" w:type="dxa"/>
            <w:left w:w="108" w:type="dxa"/>
            <w:bottom w:w="0" w:type="dxa"/>
            <w:right w:w="108" w:type="dxa"/>
          </w:tblCellMar>
        </w:tblPrEx>
        <w:trPr>
          <w:trHeight w:val="370" w:hRule="atLeast"/>
          <w:jc w:val="center"/>
        </w:trPr>
        <w:tc>
          <w:tcPr>
            <w:tcW w:w="127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华文楷体" w:eastAsia="仿宋_GB2312" w:cs="宋体"/>
                <w:b/>
                <w:bCs/>
                <w:color w:val="000000"/>
                <w:kern w:val="0"/>
                <w:sz w:val="20"/>
                <w:szCs w:val="20"/>
              </w:rPr>
            </w:pPr>
          </w:p>
        </w:tc>
        <w:tc>
          <w:tcPr>
            <w:tcW w:w="3260" w:type="dxa"/>
            <w:tcBorders>
              <w:top w:val="single" w:color="auto" w:sz="4" w:space="0"/>
              <w:left w:val="nil"/>
              <w:bottom w:val="single" w:color="auto" w:sz="4" w:space="0"/>
              <w:right w:val="single" w:color="auto" w:sz="4" w:space="0"/>
            </w:tcBorders>
            <w:vAlign w:val="center"/>
          </w:tcPr>
          <w:p>
            <w:pPr>
              <w:widowControl/>
              <w:jc w:val="left"/>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科创板</w:t>
            </w:r>
          </w:p>
        </w:tc>
        <w:tc>
          <w:tcPr>
            <w:tcW w:w="992" w:type="dxa"/>
            <w:tcBorders>
              <w:top w:val="nil"/>
              <w:left w:val="nil"/>
              <w:bottom w:val="single" w:color="auto" w:sz="4" w:space="0"/>
              <w:right w:val="single" w:color="auto" w:sz="4" w:space="0"/>
            </w:tcBorders>
            <w:vAlign w:val="center"/>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家</w:t>
            </w:r>
          </w:p>
        </w:tc>
        <w:tc>
          <w:tcPr>
            <w:tcW w:w="1276" w:type="dxa"/>
            <w:tcBorders>
              <w:top w:val="nil"/>
              <w:left w:val="nil"/>
              <w:bottom w:val="single" w:color="auto" w:sz="4" w:space="0"/>
              <w:right w:val="single" w:color="auto" w:sz="4" w:space="0"/>
            </w:tcBorders>
            <w:vAlign w:val="center"/>
          </w:tcPr>
          <w:p>
            <w:pPr>
              <w:widowControl/>
              <w:jc w:val="center"/>
              <w:rPr>
                <w:rFonts w:hint="default" w:ascii="仿宋_GB2312" w:hAnsi="华文楷体" w:eastAsia="仿宋_GB2312" w:cs="宋体"/>
                <w:color w:val="000000"/>
                <w:kern w:val="0"/>
                <w:sz w:val="20"/>
                <w:szCs w:val="20"/>
                <w:lang w:val="en" w:eastAsia="zh-CN"/>
              </w:rPr>
            </w:pPr>
            <w:r>
              <w:rPr>
                <w:rFonts w:hint="default" w:ascii="仿宋_GB2312" w:hAnsi="华文楷体" w:eastAsia="仿宋_GB2312" w:cs="宋体"/>
                <w:color w:val="000000"/>
                <w:kern w:val="0"/>
                <w:sz w:val="20"/>
                <w:szCs w:val="20"/>
                <w:lang w:val="en" w:eastAsia="zh-CN"/>
              </w:rPr>
              <w:t>3</w:t>
            </w:r>
          </w:p>
        </w:tc>
        <w:tc>
          <w:tcPr>
            <w:tcW w:w="1559" w:type="dxa"/>
            <w:tcBorders>
              <w:top w:val="nil"/>
              <w:left w:val="nil"/>
              <w:bottom w:val="single" w:color="auto" w:sz="4" w:space="0"/>
              <w:right w:val="single" w:color="auto" w:sz="4" w:space="0"/>
            </w:tcBorders>
            <w:vAlign w:val="center"/>
          </w:tcPr>
          <w:p>
            <w:pPr>
              <w:widowControl/>
              <w:jc w:val="center"/>
              <w:rPr>
                <w:rFonts w:hint="default" w:ascii="仿宋_GB2312" w:hAnsi="宋体" w:eastAsia="仿宋_GB2312" w:cs="宋体"/>
                <w:color w:val="000000"/>
                <w:kern w:val="0"/>
                <w:sz w:val="20"/>
                <w:szCs w:val="20"/>
                <w:lang w:val="en" w:eastAsia="zh-CN"/>
              </w:rPr>
            </w:pPr>
            <w:r>
              <w:rPr>
                <w:rFonts w:hint="default" w:ascii="仿宋_GB2312" w:hAnsi="宋体" w:eastAsia="仿宋_GB2312" w:cs="宋体"/>
                <w:color w:val="000000"/>
                <w:kern w:val="0"/>
                <w:sz w:val="20"/>
                <w:szCs w:val="20"/>
                <w:lang w:val="en" w:eastAsia="zh-CN"/>
              </w:rPr>
              <w:t>3</w:t>
            </w:r>
          </w:p>
        </w:tc>
      </w:tr>
      <w:tr>
        <w:tblPrEx>
          <w:tblCellMar>
            <w:top w:w="0" w:type="dxa"/>
            <w:left w:w="108" w:type="dxa"/>
            <w:bottom w:w="0" w:type="dxa"/>
            <w:right w:w="108" w:type="dxa"/>
          </w:tblCellMar>
        </w:tblPrEx>
        <w:trPr>
          <w:trHeight w:val="411" w:hRule="atLeast"/>
          <w:jc w:val="center"/>
        </w:trPr>
        <w:tc>
          <w:tcPr>
            <w:tcW w:w="127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华文楷体" w:eastAsia="仿宋_GB2312" w:cs="宋体"/>
                <w:b/>
                <w:bCs/>
                <w:color w:val="000000"/>
                <w:kern w:val="0"/>
                <w:sz w:val="20"/>
                <w:szCs w:val="20"/>
              </w:rPr>
            </w:pPr>
          </w:p>
        </w:tc>
        <w:tc>
          <w:tcPr>
            <w:tcW w:w="3260" w:type="dxa"/>
            <w:tcBorders>
              <w:top w:val="single" w:color="auto" w:sz="4" w:space="0"/>
              <w:left w:val="nil"/>
              <w:bottom w:val="single" w:color="auto" w:sz="4" w:space="0"/>
              <w:right w:val="single" w:color="auto" w:sz="4" w:space="0"/>
            </w:tcBorders>
            <w:vAlign w:val="center"/>
          </w:tcPr>
          <w:p>
            <w:pPr>
              <w:widowControl/>
              <w:jc w:val="both"/>
              <w:rPr>
                <w:rFonts w:hint="eastAsia" w:ascii="仿宋_GB2312" w:hAnsi="华文楷体" w:eastAsia="仿宋_GB2312" w:cs="宋体"/>
                <w:color w:val="000000"/>
                <w:kern w:val="0"/>
                <w:sz w:val="20"/>
                <w:szCs w:val="20"/>
                <w:lang w:eastAsia="zh-CN"/>
              </w:rPr>
            </w:pPr>
            <w:r>
              <w:rPr>
                <w:rFonts w:hint="eastAsia" w:ascii="仿宋_GB2312" w:hAnsi="华文楷体" w:eastAsia="仿宋_GB2312" w:cs="宋体"/>
                <w:color w:val="000000"/>
                <w:kern w:val="0"/>
                <w:sz w:val="20"/>
                <w:szCs w:val="20"/>
                <w:lang w:eastAsia="zh-CN"/>
              </w:rPr>
              <w:t>北交所</w:t>
            </w:r>
          </w:p>
        </w:tc>
        <w:tc>
          <w:tcPr>
            <w:tcW w:w="992" w:type="dxa"/>
            <w:tcBorders>
              <w:top w:val="nil"/>
              <w:left w:val="nil"/>
              <w:bottom w:val="single" w:color="auto" w:sz="4" w:space="0"/>
              <w:right w:val="single" w:color="auto" w:sz="4" w:space="0"/>
            </w:tcBorders>
            <w:vAlign w:val="center"/>
          </w:tcPr>
          <w:p>
            <w:pPr>
              <w:widowControl/>
              <w:jc w:val="center"/>
              <w:rPr>
                <w:rFonts w:hint="eastAsia" w:ascii="仿宋_GB2312" w:hAnsi="华文楷体" w:eastAsia="仿宋_GB2312" w:cs="宋体"/>
                <w:color w:val="000000"/>
                <w:kern w:val="0"/>
                <w:sz w:val="20"/>
                <w:szCs w:val="20"/>
                <w:lang w:eastAsia="zh-CN"/>
              </w:rPr>
            </w:pPr>
            <w:r>
              <w:rPr>
                <w:rFonts w:hint="eastAsia" w:ascii="仿宋_GB2312" w:hAnsi="华文楷体" w:eastAsia="仿宋_GB2312" w:cs="宋体"/>
                <w:color w:val="000000"/>
                <w:kern w:val="0"/>
                <w:sz w:val="20"/>
                <w:szCs w:val="20"/>
                <w:lang w:eastAsia="zh-CN"/>
              </w:rPr>
              <w:t>家</w:t>
            </w:r>
          </w:p>
        </w:tc>
        <w:tc>
          <w:tcPr>
            <w:tcW w:w="1276" w:type="dxa"/>
            <w:tcBorders>
              <w:top w:val="nil"/>
              <w:left w:val="nil"/>
              <w:bottom w:val="single" w:color="auto" w:sz="4" w:space="0"/>
              <w:right w:val="single" w:color="auto" w:sz="4" w:space="0"/>
            </w:tcBorders>
            <w:vAlign w:val="center"/>
          </w:tcPr>
          <w:p>
            <w:pPr>
              <w:widowControl/>
              <w:jc w:val="center"/>
              <w:rPr>
                <w:rFonts w:hint="default" w:ascii="仿宋_GB2312" w:hAnsi="华文楷体" w:eastAsia="仿宋_GB2312" w:cs="宋体"/>
                <w:color w:val="000000"/>
                <w:kern w:val="0"/>
                <w:sz w:val="20"/>
                <w:szCs w:val="20"/>
                <w:lang w:val="en-US" w:eastAsia="zh-CN"/>
              </w:rPr>
            </w:pPr>
            <w:r>
              <w:rPr>
                <w:rFonts w:hint="eastAsia" w:ascii="仿宋_GB2312" w:hAnsi="华文楷体" w:eastAsia="仿宋_GB2312" w:cs="宋体"/>
                <w:color w:val="000000"/>
                <w:kern w:val="0"/>
                <w:sz w:val="20"/>
                <w:szCs w:val="20"/>
                <w:lang w:val="en-US" w:eastAsia="zh-CN"/>
              </w:rPr>
              <w:t>1</w:t>
            </w:r>
          </w:p>
        </w:tc>
        <w:tc>
          <w:tcPr>
            <w:tcW w:w="1559" w:type="dxa"/>
            <w:tcBorders>
              <w:top w:val="nil"/>
              <w:left w:val="nil"/>
              <w:bottom w:val="single" w:color="auto" w:sz="4" w:space="0"/>
              <w:right w:val="single" w:color="auto" w:sz="4" w:space="0"/>
            </w:tcBorders>
            <w:vAlign w:val="center"/>
          </w:tcPr>
          <w:p>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w:t>
            </w:r>
          </w:p>
        </w:tc>
      </w:tr>
      <w:tr>
        <w:tblPrEx>
          <w:tblCellMar>
            <w:top w:w="0" w:type="dxa"/>
            <w:left w:w="108" w:type="dxa"/>
            <w:bottom w:w="0" w:type="dxa"/>
            <w:right w:w="108" w:type="dxa"/>
          </w:tblCellMar>
        </w:tblPrEx>
        <w:trPr>
          <w:trHeight w:val="424" w:hRule="atLeast"/>
          <w:jc w:val="center"/>
        </w:trPr>
        <w:tc>
          <w:tcPr>
            <w:tcW w:w="127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华文楷体" w:eastAsia="仿宋_GB2312" w:cs="宋体"/>
                <w:b/>
                <w:bCs/>
                <w:color w:val="000000"/>
                <w:kern w:val="0"/>
                <w:sz w:val="20"/>
                <w:szCs w:val="20"/>
              </w:rPr>
            </w:pPr>
          </w:p>
        </w:tc>
        <w:tc>
          <w:tcPr>
            <w:tcW w:w="3260" w:type="dxa"/>
            <w:tcBorders>
              <w:top w:val="single" w:color="auto" w:sz="4" w:space="0"/>
              <w:left w:val="nil"/>
              <w:bottom w:val="single" w:color="auto" w:sz="4" w:space="0"/>
              <w:right w:val="single" w:color="auto" w:sz="4" w:space="0"/>
            </w:tcBorders>
            <w:vAlign w:val="center"/>
          </w:tcPr>
          <w:p>
            <w:pPr>
              <w:widowControl/>
              <w:jc w:val="both"/>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上市公司总股本</w:t>
            </w:r>
          </w:p>
        </w:tc>
        <w:tc>
          <w:tcPr>
            <w:tcW w:w="992" w:type="dxa"/>
            <w:tcBorders>
              <w:top w:val="nil"/>
              <w:left w:val="nil"/>
              <w:bottom w:val="single" w:color="auto" w:sz="4" w:space="0"/>
              <w:right w:val="single" w:color="auto" w:sz="4" w:space="0"/>
            </w:tcBorders>
            <w:vAlign w:val="center"/>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亿股</w:t>
            </w:r>
          </w:p>
        </w:tc>
        <w:tc>
          <w:tcPr>
            <w:tcW w:w="1276" w:type="dxa"/>
            <w:tcBorders>
              <w:top w:val="nil"/>
              <w:left w:val="nil"/>
              <w:bottom w:val="single" w:color="auto" w:sz="4" w:space="0"/>
              <w:right w:val="single" w:color="auto" w:sz="4" w:space="0"/>
            </w:tcBorders>
            <w:vAlign w:val="center"/>
          </w:tcPr>
          <w:p>
            <w:pPr>
              <w:widowControl/>
              <w:jc w:val="center"/>
              <w:rPr>
                <w:rFonts w:hint="default" w:ascii="仿宋_GB2312" w:hAnsi="华文楷体" w:eastAsia="仿宋_GB2312" w:cs="宋体"/>
                <w:color w:val="000000"/>
                <w:kern w:val="0"/>
                <w:sz w:val="20"/>
                <w:szCs w:val="20"/>
                <w:lang w:val="en" w:eastAsia="zh-CN"/>
              </w:rPr>
            </w:pPr>
            <w:r>
              <w:rPr>
                <w:rFonts w:hint="eastAsia" w:ascii="仿宋_GB2312" w:hAnsi="宋体" w:eastAsia="仿宋_GB2312" w:cs="宋体"/>
                <w:color w:val="000000"/>
                <w:kern w:val="0"/>
                <w:sz w:val="20"/>
                <w:szCs w:val="20"/>
                <w:lang w:val="en-US" w:eastAsia="zh-CN"/>
              </w:rPr>
              <w:t>299.41</w:t>
            </w:r>
          </w:p>
        </w:tc>
        <w:tc>
          <w:tcPr>
            <w:tcW w:w="1559" w:type="dxa"/>
            <w:tcBorders>
              <w:top w:val="nil"/>
              <w:left w:val="nil"/>
              <w:bottom w:val="single" w:color="auto" w:sz="4" w:space="0"/>
              <w:right w:val="single" w:color="auto" w:sz="4" w:space="0"/>
            </w:tcBorders>
            <w:vAlign w:val="center"/>
          </w:tcPr>
          <w:p>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306.77</w:t>
            </w:r>
          </w:p>
        </w:tc>
      </w:tr>
      <w:tr>
        <w:tblPrEx>
          <w:tblCellMar>
            <w:top w:w="0" w:type="dxa"/>
            <w:left w:w="108" w:type="dxa"/>
            <w:bottom w:w="0" w:type="dxa"/>
            <w:right w:w="108" w:type="dxa"/>
          </w:tblCellMar>
        </w:tblPrEx>
        <w:trPr>
          <w:trHeight w:val="384" w:hRule="atLeast"/>
          <w:jc w:val="center"/>
        </w:trPr>
        <w:tc>
          <w:tcPr>
            <w:tcW w:w="127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华文楷体" w:eastAsia="仿宋_GB2312" w:cs="宋体"/>
                <w:b/>
                <w:bCs/>
                <w:color w:val="000000"/>
                <w:kern w:val="0"/>
                <w:sz w:val="20"/>
                <w:szCs w:val="20"/>
              </w:rPr>
            </w:pPr>
          </w:p>
        </w:tc>
        <w:tc>
          <w:tcPr>
            <w:tcW w:w="3260" w:type="dxa"/>
            <w:tcBorders>
              <w:top w:val="single" w:color="auto" w:sz="4" w:space="0"/>
              <w:left w:val="nil"/>
              <w:bottom w:val="single" w:color="auto" w:sz="4" w:space="0"/>
              <w:right w:val="single" w:color="auto" w:sz="4" w:space="0"/>
            </w:tcBorders>
            <w:vAlign w:val="center"/>
          </w:tcPr>
          <w:p>
            <w:pPr>
              <w:widowControl/>
              <w:jc w:val="both"/>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上市公司总市值</w:t>
            </w:r>
          </w:p>
        </w:tc>
        <w:tc>
          <w:tcPr>
            <w:tcW w:w="992" w:type="dxa"/>
            <w:tcBorders>
              <w:top w:val="nil"/>
              <w:left w:val="nil"/>
              <w:bottom w:val="single" w:color="auto" w:sz="4" w:space="0"/>
              <w:right w:val="single" w:color="auto" w:sz="4" w:space="0"/>
            </w:tcBorders>
            <w:vAlign w:val="center"/>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亿元</w:t>
            </w:r>
          </w:p>
        </w:tc>
        <w:tc>
          <w:tcPr>
            <w:tcW w:w="1276" w:type="dxa"/>
            <w:tcBorders>
              <w:top w:val="nil"/>
              <w:left w:val="nil"/>
              <w:bottom w:val="single" w:color="auto" w:sz="4" w:space="0"/>
              <w:right w:val="single" w:color="auto" w:sz="4" w:space="0"/>
            </w:tcBorders>
            <w:vAlign w:val="center"/>
          </w:tcPr>
          <w:p>
            <w:pPr>
              <w:widowControl/>
              <w:jc w:val="center"/>
              <w:rPr>
                <w:rFonts w:hint="default" w:ascii="仿宋_GB2312" w:hAnsi="华文楷体" w:eastAsia="仿宋_GB2312" w:cs="宋体"/>
                <w:color w:val="000000"/>
                <w:kern w:val="0"/>
                <w:sz w:val="20"/>
                <w:szCs w:val="20"/>
                <w:lang w:val="en"/>
              </w:rPr>
            </w:pPr>
            <w:r>
              <w:rPr>
                <w:rFonts w:hint="eastAsia" w:ascii="仿宋_GB2312" w:hAnsi="宋体" w:eastAsia="仿宋_GB2312" w:cs="宋体"/>
                <w:color w:val="000000"/>
                <w:kern w:val="0"/>
                <w:sz w:val="20"/>
                <w:szCs w:val="20"/>
                <w:lang w:val="en-US" w:eastAsia="zh-CN"/>
              </w:rPr>
              <w:t>25030.32</w:t>
            </w:r>
          </w:p>
        </w:tc>
        <w:tc>
          <w:tcPr>
            <w:tcW w:w="1559" w:type="dxa"/>
            <w:tcBorders>
              <w:top w:val="nil"/>
              <w:left w:val="nil"/>
              <w:bottom w:val="single" w:color="auto" w:sz="4" w:space="0"/>
              <w:right w:val="single" w:color="auto" w:sz="4" w:space="0"/>
            </w:tcBorders>
            <w:shd w:val="clear" w:color="auto" w:fill="auto"/>
            <w:vAlign w:val="center"/>
          </w:tcPr>
          <w:p>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23625.18</w:t>
            </w:r>
          </w:p>
        </w:tc>
      </w:tr>
      <w:tr>
        <w:tblPrEx>
          <w:tblCellMar>
            <w:top w:w="0" w:type="dxa"/>
            <w:left w:w="108" w:type="dxa"/>
            <w:bottom w:w="0" w:type="dxa"/>
            <w:right w:w="108" w:type="dxa"/>
          </w:tblCellMar>
        </w:tblPrEx>
        <w:trPr>
          <w:trHeight w:val="438" w:hRule="atLeast"/>
          <w:jc w:val="center"/>
        </w:trPr>
        <w:tc>
          <w:tcPr>
            <w:tcW w:w="1277" w:type="dxa"/>
            <w:vMerge w:val="restart"/>
            <w:tcBorders>
              <w:top w:val="nil"/>
              <w:left w:val="single" w:color="auto" w:sz="4" w:space="0"/>
              <w:bottom w:val="single" w:color="auto" w:sz="4" w:space="0"/>
              <w:right w:val="single" w:color="auto" w:sz="4" w:space="0"/>
            </w:tcBorders>
            <w:vAlign w:val="center"/>
          </w:tcPr>
          <w:p>
            <w:pPr>
              <w:widowControl/>
              <w:jc w:val="center"/>
              <w:rPr>
                <w:rFonts w:ascii="仿宋_GB2312" w:hAnsi="华文楷体" w:eastAsia="仿宋_GB2312" w:cs="宋体"/>
                <w:b/>
                <w:bCs/>
                <w:color w:val="000000"/>
                <w:kern w:val="0"/>
                <w:sz w:val="20"/>
                <w:szCs w:val="20"/>
              </w:rPr>
            </w:pPr>
            <w:r>
              <w:rPr>
                <w:rFonts w:hint="eastAsia" w:ascii="仿宋_GB2312" w:hAnsi="华文楷体" w:eastAsia="仿宋_GB2312" w:cs="宋体"/>
                <w:b/>
                <w:bCs/>
                <w:color w:val="000000"/>
                <w:kern w:val="0"/>
                <w:sz w:val="20"/>
                <w:szCs w:val="20"/>
              </w:rPr>
              <w:t>新三板</w:t>
            </w:r>
          </w:p>
        </w:tc>
        <w:tc>
          <w:tcPr>
            <w:tcW w:w="3260" w:type="dxa"/>
            <w:tcBorders>
              <w:top w:val="single" w:color="auto" w:sz="4" w:space="0"/>
              <w:left w:val="nil"/>
              <w:bottom w:val="single" w:color="auto" w:sz="4" w:space="0"/>
              <w:right w:val="single" w:color="auto" w:sz="4" w:space="0"/>
            </w:tcBorders>
            <w:vAlign w:val="center"/>
          </w:tcPr>
          <w:p>
            <w:pPr>
              <w:widowControl/>
              <w:jc w:val="both"/>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挂牌公司数量</w:t>
            </w:r>
          </w:p>
        </w:tc>
        <w:tc>
          <w:tcPr>
            <w:tcW w:w="992" w:type="dxa"/>
            <w:tcBorders>
              <w:top w:val="nil"/>
              <w:left w:val="nil"/>
              <w:bottom w:val="single" w:color="auto" w:sz="4" w:space="0"/>
              <w:right w:val="single" w:color="auto" w:sz="4" w:space="0"/>
            </w:tcBorders>
            <w:vAlign w:val="center"/>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家</w:t>
            </w:r>
          </w:p>
        </w:tc>
        <w:tc>
          <w:tcPr>
            <w:tcW w:w="1276" w:type="dxa"/>
            <w:tcBorders>
              <w:top w:val="nil"/>
              <w:left w:val="nil"/>
              <w:bottom w:val="single" w:color="auto" w:sz="4" w:space="0"/>
              <w:right w:val="single" w:color="auto" w:sz="4" w:space="0"/>
            </w:tcBorders>
            <w:vAlign w:val="center"/>
          </w:tcPr>
          <w:p>
            <w:pPr>
              <w:widowControl/>
              <w:jc w:val="center"/>
              <w:rPr>
                <w:rFonts w:hint="default" w:ascii="仿宋_GB2312" w:hAnsi="华文楷体" w:eastAsia="仿宋_GB2312" w:cs="宋体"/>
                <w:color w:val="000000"/>
                <w:kern w:val="0"/>
                <w:sz w:val="20"/>
                <w:szCs w:val="20"/>
                <w:lang w:val="en" w:eastAsia="zh-CN"/>
              </w:rPr>
            </w:pPr>
            <w:r>
              <w:rPr>
                <w:rFonts w:hint="default" w:ascii="仿宋_GB2312" w:hAnsi="宋体" w:eastAsia="仿宋_GB2312" w:cs="宋体"/>
                <w:color w:val="000000"/>
                <w:kern w:val="0"/>
                <w:sz w:val="20"/>
                <w:szCs w:val="20"/>
                <w:lang w:val="en" w:eastAsia="zh-CN"/>
              </w:rPr>
              <w:t>3</w:t>
            </w:r>
            <w:r>
              <w:rPr>
                <w:rFonts w:hint="eastAsia" w:ascii="仿宋_GB2312" w:hAnsi="宋体" w:eastAsia="仿宋_GB2312" w:cs="宋体"/>
                <w:color w:val="000000"/>
                <w:kern w:val="0"/>
                <w:sz w:val="20"/>
                <w:szCs w:val="20"/>
                <w:lang w:val="en-US" w:eastAsia="zh-CN"/>
              </w:rPr>
              <w:t>3</w:t>
            </w:r>
          </w:p>
        </w:tc>
        <w:tc>
          <w:tcPr>
            <w:tcW w:w="1559" w:type="dxa"/>
            <w:tcBorders>
              <w:top w:val="nil"/>
              <w:left w:val="nil"/>
              <w:bottom w:val="single" w:color="auto" w:sz="4" w:space="0"/>
              <w:right w:val="single" w:color="auto" w:sz="4" w:space="0"/>
            </w:tcBorders>
            <w:shd w:val="clear" w:color="auto" w:fill="auto"/>
            <w:vAlign w:val="center"/>
          </w:tcPr>
          <w:p>
            <w:pPr>
              <w:widowControl/>
              <w:jc w:val="center"/>
              <w:rPr>
                <w:rFonts w:hint="default" w:ascii="仿宋_GB2312" w:hAnsi="宋体" w:eastAsia="仿宋_GB2312" w:cs="宋体"/>
                <w:color w:val="000000"/>
                <w:kern w:val="0"/>
                <w:sz w:val="20"/>
                <w:szCs w:val="20"/>
                <w:lang w:val="en" w:eastAsia="zh-CN"/>
              </w:rPr>
            </w:pPr>
            <w:r>
              <w:rPr>
                <w:rFonts w:hint="default" w:ascii="仿宋_GB2312" w:hAnsi="宋体" w:eastAsia="仿宋_GB2312" w:cs="宋体"/>
                <w:color w:val="000000"/>
                <w:kern w:val="0"/>
                <w:sz w:val="20"/>
                <w:szCs w:val="20"/>
                <w:lang w:val="en" w:eastAsia="zh-CN"/>
              </w:rPr>
              <w:t>32</w:t>
            </w:r>
          </w:p>
        </w:tc>
      </w:tr>
      <w:tr>
        <w:tblPrEx>
          <w:tblCellMar>
            <w:top w:w="0" w:type="dxa"/>
            <w:left w:w="108" w:type="dxa"/>
            <w:bottom w:w="0" w:type="dxa"/>
            <w:right w:w="108" w:type="dxa"/>
          </w:tblCellMar>
        </w:tblPrEx>
        <w:trPr>
          <w:trHeight w:val="384" w:hRule="atLeast"/>
          <w:jc w:val="center"/>
        </w:trPr>
        <w:tc>
          <w:tcPr>
            <w:tcW w:w="127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华文楷体" w:eastAsia="仿宋_GB2312" w:cs="宋体"/>
                <w:b/>
                <w:bCs/>
                <w:color w:val="000000"/>
                <w:kern w:val="0"/>
                <w:sz w:val="20"/>
                <w:szCs w:val="20"/>
              </w:rPr>
            </w:pPr>
          </w:p>
        </w:tc>
        <w:tc>
          <w:tcPr>
            <w:tcW w:w="3260" w:type="dxa"/>
            <w:tcBorders>
              <w:top w:val="single" w:color="auto" w:sz="4" w:space="0"/>
              <w:left w:val="nil"/>
              <w:bottom w:val="single" w:color="auto" w:sz="4" w:space="0"/>
              <w:right w:val="single" w:color="auto" w:sz="4" w:space="0"/>
            </w:tcBorders>
            <w:vAlign w:val="center"/>
          </w:tcPr>
          <w:p>
            <w:pPr>
              <w:widowControl/>
              <w:jc w:val="both"/>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挂牌公司总股本</w:t>
            </w:r>
          </w:p>
        </w:tc>
        <w:tc>
          <w:tcPr>
            <w:tcW w:w="992" w:type="dxa"/>
            <w:tcBorders>
              <w:top w:val="nil"/>
              <w:left w:val="nil"/>
              <w:bottom w:val="single" w:color="auto" w:sz="4" w:space="0"/>
              <w:right w:val="single" w:color="auto" w:sz="4" w:space="0"/>
            </w:tcBorders>
            <w:vAlign w:val="center"/>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亿股</w:t>
            </w:r>
          </w:p>
        </w:tc>
        <w:tc>
          <w:tcPr>
            <w:tcW w:w="1276" w:type="dxa"/>
            <w:tcBorders>
              <w:top w:val="nil"/>
              <w:left w:val="nil"/>
              <w:bottom w:val="single" w:color="auto" w:sz="4" w:space="0"/>
              <w:right w:val="single" w:color="auto" w:sz="4" w:space="0"/>
            </w:tcBorders>
            <w:vAlign w:val="center"/>
          </w:tcPr>
          <w:p>
            <w:pPr>
              <w:widowControl/>
              <w:jc w:val="center"/>
              <w:rPr>
                <w:rFonts w:hint="default" w:ascii="仿宋_GB2312" w:hAnsi="华文楷体" w:eastAsia="仿宋_GB2312" w:cs="宋体"/>
                <w:color w:val="000000"/>
                <w:kern w:val="0"/>
                <w:sz w:val="20"/>
                <w:szCs w:val="20"/>
                <w:lang w:val="en" w:eastAsia="zh-CN"/>
              </w:rPr>
            </w:pPr>
            <w:r>
              <w:rPr>
                <w:rFonts w:hint="eastAsia" w:ascii="仿宋_GB2312" w:hAnsi="宋体" w:eastAsia="仿宋_GB2312" w:cs="宋体"/>
                <w:color w:val="000000"/>
                <w:kern w:val="0"/>
                <w:sz w:val="20"/>
                <w:szCs w:val="20"/>
                <w:lang w:val="en-US" w:eastAsia="zh-CN"/>
              </w:rPr>
              <w:t>70.03</w:t>
            </w:r>
          </w:p>
        </w:tc>
        <w:tc>
          <w:tcPr>
            <w:tcW w:w="1559" w:type="dxa"/>
            <w:tcBorders>
              <w:top w:val="nil"/>
              <w:left w:val="nil"/>
              <w:bottom w:val="single" w:color="auto" w:sz="4" w:space="0"/>
              <w:right w:val="single" w:color="auto" w:sz="4" w:space="0"/>
            </w:tcBorders>
            <w:vAlign w:val="center"/>
          </w:tcPr>
          <w:p>
            <w:pPr>
              <w:widowControl/>
              <w:jc w:val="center"/>
              <w:rPr>
                <w:rFonts w:hint="default" w:ascii="仿宋_GB2312" w:hAnsi="宋体" w:eastAsia="仿宋_GB2312" w:cs="宋体"/>
                <w:color w:val="000000"/>
                <w:kern w:val="0"/>
                <w:sz w:val="20"/>
                <w:szCs w:val="20"/>
                <w:lang w:val="en" w:eastAsia="zh-CN"/>
              </w:rPr>
            </w:pPr>
            <w:r>
              <w:rPr>
                <w:rFonts w:hint="eastAsia" w:ascii="仿宋_GB2312" w:hAnsi="宋体" w:eastAsia="仿宋_GB2312" w:cs="宋体"/>
                <w:color w:val="000000"/>
                <w:kern w:val="0"/>
                <w:sz w:val="20"/>
                <w:szCs w:val="20"/>
                <w:lang w:val="en-US" w:eastAsia="zh-CN"/>
              </w:rPr>
              <w:t>68.</w:t>
            </w:r>
            <w:r>
              <w:rPr>
                <w:rFonts w:hint="default" w:ascii="仿宋_GB2312" w:hAnsi="宋体" w:eastAsia="仿宋_GB2312" w:cs="宋体"/>
                <w:color w:val="000000"/>
                <w:kern w:val="0"/>
                <w:sz w:val="20"/>
                <w:szCs w:val="20"/>
                <w:lang w:val="en" w:eastAsia="zh-CN"/>
              </w:rPr>
              <w:t>21</w:t>
            </w:r>
          </w:p>
        </w:tc>
      </w:tr>
      <w:tr>
        <w:tblPrEx>
          <w:tblCellMar>
            <w:top w:w="0" w:type="dxa"/>
            <w:left w:w="108" w:type="dxa"/>
            <w:bottom w:w="0" w:type="dxa"/>
            <w:right w:w="108" w:type="dxa"/>
          </w:tblCellMar>
        </w:tblPrEx>
        <w:trPr>
          <w:trHeight w:val="398" w:hRule="atLeast"/>
          <w:jc w:val="center"/>
        </w:trPr>
        <w:tc>
          <w:tcPr>
            <w:tcW w:w="1277" w:type="dxa"/>
            <w:vMerge w:val="restart"/>
            <w:tcBorders>
              <w:top w:val="nil"/>
              <w:left w:val="single" w:color="auto" w:sz="4" w:space="0"/>
              <w:bottom w:val="single" w:color="auto" w:sz="4" w:space="0"/>
              <w:right w:val="single" w:color="auto" w:sz="4" w:space="0"/>
            </w:tcBorders>
            <w:vAlign w:val="center"/>
          </w:tcPr>
          <w:p>
            <w:pPr>
              <w:widowControl/>
              <w:jc w:val="center"/>
              <w:rPr>
                <w:rFonts w:ascii="仿宋_GB2312" w:hAnsi="华文楷体" w:eastAsia="仿宋_GB2312" w:cs="宋体"/>
                <w:b/>
                <w:bCs/>
                <w:color w:val="000000"/>
                <w:kern w:val="0"/>
                <w:sz w:val="20"/>
                <w:szCs w:val="20"/>
              </w:rPr>
            </w:pPr>
            <w:r>
              <w:rPr>
                <w:rFonts w:hint="eastAsia" w:ascii="仿宋_GB2312" w:hAnsi="华文楷体" w:eastAsia="仿宋_GB2312" w:cs="宋体"/>
                <w:b/>
                <w:bCs/>
                <w:color w:val="000000"/>
                <w:kern w:val="0"/>
                <w:sz w:val="20"/>
                <w:szCs w:val="20"/>
              </w:rPr>
              <w:t>拟上市</w:t>
            </w:r>
          </w:p>
          <w:p>
            <w:pPr>
              <w:widowControl/>
              <w:jc w:val="center"/>
              <w:rPr>
                <w:rFonts w:ascii="仿宋_GB2312" w:hAnsi="华文楷体" w:eastAsia="仿宋_GB2312" w:cs="宋体"/>
                <w:b/>
                <w:bCs/>
                <w:color w:val="000000"/>
                <w:kern w:val="0"/>
                <w:sz w:val="20"/>
                <w:szCs w:val="20"/>
              </w:rPr>
            </w:pPr>
            <w:r>
              <w:rPr>
                <w:rFonts w:hint="eastAsia" w:ascii="仿宋_GB2312" w:hAnsi="华文楷体" w:eastAsia="仿宋_GB2312" w:cs="宋体"/>
                <w:b/>
                <w:bCs/>
                <w:color w:val="000000"/>
                <w:kern w:val="0"/>
                <w:sz w:val="20"/>
                <w:szCs w:val="20"/>
              </w:rPr>
              <w:t>公司</w:t>
            </w:r>
          </w:p>
        </w:tc>
        <w:tc>
          <w:tcPr>
            <w:tcW w:w="3260" w:type="dxa"/>
            <w:tcBorders>
              <w:top w:val="single" w:color="auto" w:sz="4" w:space="0"/>
              <w:left w:val="nil"/>
              <w:bottom w:val="single" w:color="auto" w:sz="4" w:space="0"/>
              <w:right w:val="single" w:color="auto" w:sz="4" w:space="0"/>
            </w:tcBorders>
            <w:vAlign w:val="center"/>
          </w:tcPr>
          <w:p>
            <w:pPr>
              <w:widowControl/>
              <w:jc w:val="both"/>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拟上市公司数量</w:t>
            </w:r>
          </w:p>
        </w:tc>
        <w:tc>
          <w:tcPr>
            <w:tcW w:w="992" w:type="dxa"/>
            <w:tcBorders>
              <w:top w:val="nil"/>
              <w:left w:val="nil"/>
              <w:bottom w:val="single" w:color="auto" w:sz="4" w:space="0"/>
              <w:right w:val="single" w:color="auto" w:sz="4" w:space="0"/>
            </w:tcBorders>
            <w:vAlign w:val="center"/>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家</w:t>
            </w:r>
          </w:p>
        </w:tc>
        <w:tc>
          <w:tcPr>
            <w:tcW w:w="1276" w:type="dxa"/>
            <w:tcBorders>
              <w:top w:val="nil"/>
              <w:left w:val="nil"/>
              <w:bottom w:val="single" w:color="auto" w:sz="4" w:space="0"/>
              <w:right w:val="single" w:color="auto" w:sz="4" w:space="0"/>
            </w:tcBorders>
            <w:vAlign w:val="center"/>
          </w:tcPr>
          <w:p>
            <w:pPr>
              <w:widowControl/>
              <w:jc w:val="center"/>
              <w:rPr>
                <w:rFonts w:hint="default" w:ascii="仿宋_GB2312" w:hAnsi="华文楷体" w:eastAsia="仿宋_GB2312" w:cs="宋体"/>
                <w:color w:val="000000"/>
                <w:kern w:val="0"/>
                <w:sz w:val="20"/>
                <w:szCs w:val="20"/>
                <w:lang w:val="en" w:eastAsia="zh-CN"/>
              </w:rPr>
            </w:pPr>
            <w:r>
              <w:rPr>
                <w:rFonts w:hint="eastAsia" w:ascii="仿宋_GB2312" w:hAnsi="宋体" w:eastAsia="仿宋_GB2312" w:cs="宋体"/>
                <w:color w:val="000000"/>
                <w:kern w:val="0"/>
                <w:sz w:val="20"/>
                <w:szCs w:val="20"/>
                <w:lang w:val="en-US" w:eastAsia="zh-CN"/>
              </w:rPr>
              <w:t>6</w:t>
            </w:r>
          </w:p>
        </w:tc>
        <w:tc>
          <w:tcPr>
            <w:tcW w:w="1559" w:type="dxa"/>
            <w:tcBorders>
              <w:top w:val="nil"/>
              <w:left w:val="nil"/>
              <w:bottom w:val="single" w:color="auto" w:sz="4" w:space="0"/>
              <w:right w:val="single" w:color="auto" w:sz="4" w:space="0"/>
            </w:tcBorders>
            <w:vAlign w:val="center"/>
          </w:tcPr>
          <w:p>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8</w:t>
            </w:r>
          </w:p>
        </w:tc>
      </w:tr>
      <w:tr>
        <w:tblPrEx>
          <w:tblCellMar>
            <w:top w:w="0" w:type="dxa"/>
            <w:left w:w="108" w:type="dxa"/>
            <w:bottom w:w="0" w:type="dxa"/>
            <w:right w:w="108" w:type="dxa"/>
          </w:tblCellMar>
        </w:tblPrEx>
        <w:trPr>
          <w:trHeight w:val="452" w:hRule="atLeast"/>
          <w:jc w:val="center"/>
        </w:trPr>
        <w:tc>
          <w:tcPr>
            <w:tcW w:w="127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华文楷体" w:eastAsia="仿宋_GB2312" w:cs="宋体"/>
                <w:b/>
                <w:bCs/>
                <w:color w:val="000000"/>
                <w:kern w:val="0"/>
                <w:sz w:val="20"/>
                <w:szCs w:val="20"/>
              </w:rPr>
            </w:pPr>
          </w:p>
        </w:tc>
        <w:tc>
          <w:tcPr>
            <w:tcW w:w="3260" w:type="dxa"/>
            <w:tcBorders>
              <w:top w:val="single" w:color="auto" w:sz="4" w:space="0"/>
              <w:left w:val="nil"/>
              <w:bottom w:val="single" w:color="auto" w:sz="4" w:space="0"/>
              <w:right w:val="single" w:color="auto" w:sz="4" w:space="0"/>
            </w:tcBorders>
            <w:vAlign w:val="center"/>
          </w:tcPr>
          <w:p>
            <w:pPr>
              <w:widowControl/>
              <w:jc w:val="both"/>
              <w:rPr>
                <w:rFonts w:hint="eastAsia" w:ascii="仿宋_GB2312" w:hAnsi="华文楷体" w:eastAsia="仿宋_GB2312" w:cs="宋体"/>
                <w:color w:val="000000"/>
                <w:kern w:val="0"/>
                <w:sz w:val="20"/>
                <w:szCs w:val="20"/>
                <w:lang w:val="en" w:eastAsia="zh-CN"/>
              </w:rPr>
            </w:pPr>
            <w:r>
              <w:rPr>
                <w:rFonts w:hint="eastAsia" w:ascii="仿宋_GB2312" w:hAnsi="华文楷体" w:eastAsia="仿宋_GB2312" w:cs="宋体"/>
                <w:color w:val="000000"/>
                <w:kern w:val="0"/>
                <w:sz w:val="20"/>
                <w:szCs w:val="20"/>
              </w:rPr>
              <w:t xml:space="preserve">    其中：已</w:t>
            </w:r>
            <w:r>
              <w:rPr>
                <w:rFonts w:hint="eastAsia" w:ascii="仿宋_GB2312" w:hAnsi="华文楷体" w:eastAsia="仿宋_GB2312" w:cs="宋体"/>
                <w:color w:val="000000"/>
                <w:kern w:val="0"/>
                <w:sz w:val="20"/>
                <w:szCs w:val="20"/>
                <w:lang w:eastAsia="zh-CN"/>
              </w:rPr>
              <w:t>过会</w:t>
            </w:r>
          </w:p>
        </w:tc>
        <w:tc>
          <w:tcPr>
            <w:tcW w:w="992" w:type="dxa"/>
            <w:tcBorders>
              <w:top w:val="nil"/>
              <w:left w:val="nil"/>
              <w:bottom w:val="single" w:color="auto" w:sz="4" w:space="0"/>
              <w:right w:val="single" w:color="auto" w:sz="4" w:space="0"/>
            </w:tcBorders>
            <w:vAlign w:val="center"/>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家</w:t>
            </w:r>
          </w:p>
        </w:tc>
        <w:tc>
          <w:tcPr>
            <w:tcW w:w="1276" w:type="dxa"/>
            <w:tcBorders>
              <w:top w:val="nil"/>
              <w:left w:val="nil"/>
              <w:bottom w:val="single" w:color="auto" w:sz="4" w:space="0"/>
              <w:right w:val="single" w:color="auto" w:sz="4" w:space="0"/>
            </w:tcBorders>
            <w:vAlign w:val="center"/>
          </w:tcPr>
          <w:p>
            <w:pPr>
              <w:widowControl/>
              <w:jc w:val="center"/>
              <w:rPr>
                <w:rFonts w:hint="default" w:ascii="仿宋_GB2312" w:hAnsi="华文楷体" w:eastAsia="仿宋_GB2312" w:cs="宋体"/>
                <w:color w:val="000000"/>
                <w:kern w:val="0"/>
                <w:sz w:val="20"/>
                <w:szCs w:val="20"/>
                <w:lang w:val="en" w:eastAsia="zh-CN"/>
              </w:rPr>
            </w:pPr>
            <w:r>
              <w:rPr>
                <w:rFonts w:hint="eastAsia" w:ascii="仿宋_GB2312" w:hAnsi="宋体" w:eastAsia="仿宋_GB2312" w:cs="宋体"/>
                <w:color w:val="000000"/>
                <w:kern w:val="0"/>
                <w:sz w:val="20"/>
                <w:szCs w:val="20"/>
                <w:lang w:val="en-US" w:eastAsia="zh-CN"/>
              </w:rPr>
              <w:t>1</w:t>
            </w:r>
          </w:p>
        </w:tc>
        <w:tc>
          <w:tcPr>
            <w:tcW w:w="1559" w:type="dxa"/>
            <w:tcBorders>
              <w:top w:val="nil"/>
              <w:left w:val="nil"/>
              <w:bottom w:val="single" w:color="auto" w:sz="4" w:space="0"/>
              <w:right w:val="single" w:color="auto" w:sz="4" w:space="0"/>
            </w:tcBorders>
            <w:vAlign w:val="center"/>
          </w:tcPr>
          <w:p>
            <w:pPr>
              <w:widowControl/>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w:t>
            </w:r>
          </w:p>
        </w:tc>
      </w:tr>
      <w:tr>
        <w:tblPrEx>
          <w:tblCellMar>
            <w:top w:w="0" w:type="dxa"/>
            <w:left w:w="108" w:type="dxa"/>
            <w:bottom w:w="0" w:type="dxa"/>
            <w:right w:w="108" w:type="dxa"/>
          </w:tblCellMar>
        </w:tblPrEx>
        <w:trPr>
          <w:trHeight w:val="438" w:hRule="atLeast"/>
          <w:jc w:val="center"/>
        </w:trPr>
        <w:tc>
          <w:tcPr>
            <w:tcW w:w="127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华文楷体" w:eastAsia="仿宋_GB2312" w:cs="宋体"/>
                <w:b/>
                <w:bCs/>
                <w:color w:val="000000"/>
                <w:kern w:val="0"/>
                <w:sz w:val="20"/>
                <w:szCs w:val="20"/>
              </w:rPr>
            </w:pPr>
          </w:p>
        </w:tc>
        <w:tc>
          <w:tcPr>
            <w:tcW w:w="3260" w:type="dxa"/>
            <w:tcBorders>
              <w:top w:val="single" w:color="auto" w:sz="4" w:space="0"/>
              <w:left w:val="nil"/>
              <w:bottom w:val="single" w:color="auto" w:sz="4" w:space="0"/>
              <w:right w:val="single" w:color="auto" w:sz="4" w:space="0"/>
            </w:tcBorders>
            <w:vAlign w:val="center"/>
          </w:tcPr>
          <w:p>
            <w:pPr>
              <w:widowControl/>
              <w:jc w:val="both"/>
              <w:rPr>
                <w:rFonts w:ascii="仿宋_GB2312" w:hAnsi="华文楷体" w:eastAsia="仿宋_GB2312" w:cs="宋体"/>
                <w:kern w:val="0"/>
                <w:sz w:val="20"/>
                <w:szCs w:val="20"/>
              </w:rPr>
            </w:pPr>
            <w:r>
              <w:rPr>
                <w:rFonts w:hint="eastAsia" w:ascii="仿宋_GB2312" w:hAnsi="华文楷体" w:eastAsia="仿宋_GB2312" w:cs="宋体"/>
                <w:kern w:val="0"/>
                <w:sz w:val="20"/>
                <w:szCs w:val="20"/>
              </w:rPr>
              <w:t xml:space="preserve">          已报送申请材料</w:t>
            </w:r>
          </w:p>
        </w:tc>
        <w:tc>
          <w:tcPr>
            <w:tcW w:w="992" w:type="dxa"/>
            <w:tcBorders>
              <w:top w:val="nil"/>
              <w:left w:val="nil"/>
              <w:bottom w:val="single" w:color="auto" w:sz="4" w:space="0"/>
              <w:right w:val="single" w:color="auto" w:sz="4" w:space="0"/>
            </w:tcBorders>
            <w:vAlign w:val="center"/>
          </w:tcPr>
          <w:p>
            <w:pPr>
              <w:widowControl/>
              <w:jc w:val="center"/>
              <w:rPr>
                <w:rFonts w:ascii="仿宋_GB2312" w:hAnsi="华文楷体" w:eastAsia="仿宋_GB2312" w:cs="宋体"/>
                <w:kern w:val="0"/>
                <w:sz w:val="20"/>
                <w:szCs w:val="20"/>
              </w:rPr>
            </w:pPr>
            <w:r>
              <w:rPr>
                <w:rFonts w:hint="eastAsia" w:ascii="仿宋_GB2312" w:hAnsi="华文楷体" w:eastAsia="仿宋_GB2312" w:cs="宋体"/>
                <w:kern w:val="0"/>
                <w:sz w:val="20"/>
                <w:szCs w:val="20"/>
              </w:rPr>
              <w:t>家</w:t>
            </w:r>
          </w:p>
        </w:tc>
        <w:tc>
          <w:tcPr>
            <w:tcW w:w="1276" w:type="dxa"/>
            <w:tcBorders>
              <w:top w:val="nil"/>
              <w:left w:val="nil"/>
              <w:bottom w:val="single" w:color="auto" w:sz="4" w:space="0"/>
              <w:right w:val="single" w:color="auto" w:sz="4" w:space="0"/>
            </w:tcBorders>
            <w:vAlign w:val="center"/>
          </w:tcPr>
          <w:p>
            <w:pPr>
              <w:widowControl/>
              <w:jc w:val="center"/>
              <w:rPr>
                <w:rFonts w:hint="eastAsia" w:ascii="仿宋_GB2312" w:hAnsi="华文楷体" w:eastAsia="仿宋_GB2312" w:cs="宋体"/>
                <w:kern w:val="0"/>
                <w:sz w:val="20"/>
                <w:szCs w:val="20"/>
                <w:lang w:eastAsia="zh-CN"/>
              </w:rPr>
            </w:pPr>
            <w:r>
              <w:rPr>
                <w:rFonts w:hint="eastAsia" w:ascii="仿宋_GB2312" w:hAnsi="宋体" w:eastAsia="仿宋_GB2312" w:cs="宋体"/>
                <w:color w:val="000000"/>
                <w:kern w:val="0"/>
                <w:sz w:val="20"/>
                <w:szCs w:val="20"/>
                <w:lang w:val="en-US" w:eastAsia="zh-CN"/>
              </w:rPr>
              <w:t>0</w:t>
            </w:r>
          </w:p>
        </w:tc>
        <w:tc>
          <w:tcPr>
            <w:tcW w:w="1559" w:type="dxa"/>
            <w:tcBorders>
              <w:top w:val="nil"/>
              <w:left w:val="nil"/>
              <w:bottom w:val="single" w:color="auto" w:sz="4" w:space="0"/>
              <w:right w:val="single" w:color="auto" w:sz="4" w:space="0"/>
            </w:tcBorders>
            <w:vAlign w:val="center"/>
          </w:tcPr>
          <w:p>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w:t>
            </w:r>
          </w:p>
        </w:tc>
      </w:tr>
      <w:tr>
        <w:tblPrEx>
          <w:tblCellMar>
            <w:top w:w="0" w:type="dxa"/>
            <w:left w:w="108" w:type="dxa"/>
            <w:bottom w:w="0" w:type="dxa"/>
            <w:right w:w="108" w:type="dxa"/>
          </w:tblCellMar>
        </w:tblPrEx>
        <w:trPr>
          <w:trHeight w:val="397" w:hRule="atLeast"/>
          <w:jc w:val="center"/>
        </w:trPr>
        <w:tc>
          <w:tcPr>
            <w:tcW w:w="127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华文楷体" w:eastAsia="仿宋_GB2312" w:cs="宋体"/>
                <w:b/>
                <w:bCs/>
                <w:color w:val="000000"/>
                <w:kern w:val="0"/>
                <w:sz w:val="20"/>
                <w:szCs w:val="20"/>
              </w:rPr>
            </w:pPr>
          </w:p>
        </w:tc>
        <w:tc>
          <w:tcPr>
            <w:tcW w:w="3260" w:type="dxa"/>
            <w:tcBorders>
              <w:top w:val="single" w:color="auto" w:sz="4" w:space="0"/>
              <w:left w:val="nil"/>
              <w:bottom w:val="single" w:color="auto" w:sz="4" w:space="0"/>
              <w:right w:val="single" w:color="auto" w:sz="4" w:space="0"/>
            </w:tcBorders>
            <w:vAlign w:val="center"/>
          </w:tcPr>
          <w:p>
            <w:pPr>
              <w:widowControl/>
              <w:jc w:val="both"/>
              <w:rPr>
                <w:rFonts w:ascii="仿宋_GB2312" w:hAnsi="华文楷体" w:eastAsia="仿宋_GB2312" w:cs="宋体"/>
                <w:kern w:val="0"/>
                <w:sz w:val="20"/>
                <w:szCs w:val="20"/>
              </w:rPr>
            </w:pPr>
            <w:r>
              <w:rPr>
                <w:rFonts w:hint="eastAsia" w:ascii="仿宋_GB2312" w:hAnsi="华文楷体" w:eastAsia="仿宋_GB2312" w:cs="宋体"/>
                <w:kern w:val="0"/>
                <w:sz w:val="20"/>
                <w:szCs w:val="20"/>
              </w:rPr>
              <w:t xml:space="preserve">          处于辅导期</w:t>
            </w:r>
          </w:p>
        </w:tc>
        <w:tc>
          <w:tcPr>
            <w:tcW w:w="992" w:type="dxa"/>
            <w:tcBorders>
              <w:top w:val="nil"/>
              <w:left w:val="nil"/>
              <w:bottom w:val="single" w:color="auto" w:sz="4" w:space="0"/>
              <w:right w:val="single" w:color="auto" w:sz="4" w:space="0"/>
            </w:tcBorders>
            <w:vAlign w:val="center"/>
          </w:tcPr>
          <w:p>
            <w:pPr>
              <w:widowControl/>
              <w:jc w:val="center"/>
              <w:rPr>
                <w:rFonts w:ascii="仿宋_GB2312" w:hAnsi="华文楷体" w:eastAsia="仿宋_GB2312" w:cs="宋体"/>
                <w:kern w:val="0"/>
                <w:sz w:val="20"/>
                <w:szCs w:val="20"/>
              </w:rPr>
            </w:pPr>
            <w:r>
              <w:rPr>
                <w:rFonts w:hint="eastAsia" w:ascii="仿宋_GB2312" w:hAnsi="华文楷体" w:eastAsia="仿宋_GB2312" w:cs="宋体"/>
                <w:kern w:val="0"/>
                <w:sz w:val="20"/>
                <w:szCs w:val="20"/>
              </w:rPr>
              <w:t>家</w:t>
            </w:r>
          </w:p>
        </w:tc>
        <w:tc>
          <w:tcPr>
            <w:tcW w:w="1276" w:type="dxa"/>
            <w:tcBorders>
              <w:top w:val="nil"/>
              <w:left w:val="nil"/>
              <w:bottom w:val="single" w:color="auto" w:sz="4" w:space="0"/>
              <w:right w:val="single" w:color="auto" w:sz="4" w:space="0"/>
            </w:tcBorders>
            <w:vAlign w:val="center"/>
          </w:tcPr>
          <w:p>
            <w:pPr>
              <w:widowControl/>
              <w:jc w:val="center"/>
              <w:rPr>
                <w:rFonts w:hint="default" w:ascii="仿宋_GB2312" w:hAnsi="华文楷体" w:eastAsia="仿宋_GB2312" w:cs="宋体"/>
                <w:kern w:val="0"/>
                <w:sz w:val="20"/>
                <w:szCs w:val="20"/>
                <w:lang w:val="en" w:eastAsia="zh-CN"/>
              </w:rPr>
            </w:pPr>
            <w:r>
              <w:rPr>
                <w:rFonts w:hint="eastAsia" w:ascii="仿宋_GB2312" w:hAnsi="宋体" w:eastAsia="仿宋_GB2312" w:cs="宋体"/>
                <w:color w:val="000000"/>
                <w:kern w:val="0"/>
                <w:sz w:val="20"/>
                <w:szCs w:val="20"/>
                <w:lang w:val="en-US" w:eastAsia="zh-CN"/>
              </w:rPr>
              <w:t>5</w:t>
            </w:r>
          </w:p>
        </w:tc>
        <w:tc>
          <w:tcPr>
            <w:tcW w:w="1559" w:type="dxa"/>
            <w:tcBorders>
              <w:top w:val="nil"/>
              <w:left w:val="nil"/>
              <w:bottom w:val="single" w:color="auto" w:sz="4" w:space="0"/>
              <w:right w:val="single" w:color="auto" w:sz="4" w:space="0"/>
            </w:tcBorders>
            <w:vAlign w:val="center"/>
          </w:tcPr>
          <w:p>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7</w:t>
            </w:r>
          </w:p>
        </w:tc>
      </w:tr>
      <w:tr>
        <w:tblPrEx>
          <w:tblCellMar>
            <w:top w:w="0" w:type="dxa"/>
            <w:left w:w="108" w:type="dxa"/>
            <w:bottom w:w="0" w:type="dxa"/>
            <w:right w:w="108" w:type="dxa"/>
          </w:tblCellMar>
        </w:tblPrEx>
        <w:trPr>
          <w:trHeight w:val="398" w:hRule="atLeast"/>
          <w:jc w:val="center"/>
        </w:trPr>
        <w:tc>
          <w:tcPr>
            <w:tcW w:w="1277"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仿宋_GB2312" w:hAnsi="华文楷体" w:eastAsia="仿宋_GB2312" w:cs="宋体"/>
                <w:b/>
                <w:bCs/>
                <w:color w:val="000000"/>
                <w:kern w:val="0"/>
                <w:sz w:val="20"/>
                <w:szCs w:val="20"/>
              </w:rPr>
            </w:pPr>
            <w:r>
              <w:rPr>
                <w:rFonts w:hint="eastAsia" w:ascii="仿宋_GB2312" w:hAnsi="华文楷体" w:eastAsia="仿宋_GB2312" w:cs="宋体"/>
                <w:b/>
                <w:bCs/>
                <w:color w:val="000000"/>
                <w:kern w:val="0"/>
                <w:sz w:val="20"/>
                <w:szCs w:val="20"/>
              </w:rPr>
              <w:t>证券经营</w:t>
            </w:r>
          </w:p>
          <w:p>
            <w:pPr>
              <w:widowControl/>
              <w:jc w:val="center"/>
              <w:rPr>
                <w:rFonts w:ascii="仿宋_GB2312" w:hAnsi="华文楷体" w:eastAsia="仿宋_GB2312" w:cs="宋体"/>
                <w:b/>
                <w:bCs/>
                <w:color w:val="000000"/>
                <w:kern w:val="0"/>
                <w:sz w:val="20"/>
                <w:szCs w:val="20"/>
              </w:rPr>
            </w:pPr>
            <w:r>
              <w:rPr>
                <w:rFonts w:hint="eastAsia" w:ascii="仿宋_GB2312" w:hAnsi="华文楷体" w:eastAsia="仿宋_GB2312" w:cs="宋体"/>
                <w:b/>
                <w:bCs/>
                <w:color w:val="000000"/>
                <w:kern w:val="0"/>
                <w:sz w:val="20"/>
                <w:szCs w:val="20"/>
              </w:rPr>
              <w:t>机构</w:t>
            </w:r>
          </w:p>
        </w:tc>
        <w:tc>
          <w:tcPr>
            <w:tcW w:w="3260" w:type="dxa"/>
            <w:tcBorders>
              <w:top w:val="single" w:color="auto" w:sz="4" w:space="0"/>
              <w:left w:val="nil"/>
              <w:bottom w:val="single" w:color="auto" w:sz="4" w:space="0"/>
              <w:right w:val="single" w:color="auto" w:sz="4" w:space="0"/>
            </w:tcBorders>
            <w:vAlign w:val="center"/>
          </w:tcPr>
          <w:p>
            <w:pPr>
              <w:widowControl/>
              <w:jc w:val="both"/>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证券公司</w:t>
            </w:r>
          </w:p>
        </w:tc>
        <w:tc>
          <w:tcPr>
            <w:tcW w:w="992" w:type="dxa"/>
            <w:tcBorders>
              <w:top w:val="nil"/>
              <w:left w:val="nil"/>
              <w:bottom w:val="single" w:color="auto" w:sz="4" w:space="0"/>
              <w:right w:val="single" w:color="auto" w:sz="4" w:space="0"/>
            </w:tcBorders>
            <w:vAlign w:val="center"/>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家</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华文楷体" w:eastAsia="仿宋_GB2312" w:cs="宋体"/>
                <w:kern w:val="0"/>
                <w:sz w:val="20"/>
                <w:szCs w:val="20"/>
              </w:rPr>
            </w:pPr>
            <w:r>
              <w:rPr>
                <w:rFonts w:hint="eastAsia" w:ascii="仿宋_GB2312" w:hAnsi="宋体" w:eastAsia="仿宋_GB2312" w:cs="宋体"/>
                <w:kern w:val="0"/>
                <w:sz w:val="20"/>
                <w:szCs w:val="20"/>
              </w:rPr>
              <w:t>2</w:t>
            </w:r>
          </w:p>
        </w:tc>
        <w:tc>
          <w:tcPr>
            <w:tcW w:w="1559"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0"/>
                <w:szCs w:val="20"/>
                <w:highlight w:val="yellow"/>
              </w:rPr>
            </w:pPr>
            <w:r>
              <w:rPr>
                <w:rFonts w:hint="eastAsia" w:ascii="仿宋_GB2312" w:hAnsi="宋体" w:eastAsia="仿宋_GB2312" w:cs="宋体"/>
                <w:kern w:val="0"/>
                <w:sz w:val="20"/>
                <w:szCs w:val="20"/>
              </w:rPr>
              <w:t>2</w:t>
            </w:r>
          </w:p>
        </w:tc>
      </w:tr>
      <w:tr>
        <w:tblPrEx>
          <w:tblCellMar>
            <w:top w:w="0" w:type="dxa"/>
            <w:left w:w="108" w:type="dxa"/>
            <w:bottom w:w="0" w:type="dxa"/>
            <w:right w:w="108" w:type="dxa"/>
          </w:tblCellMar>
        </w:tblPrEx>
        <w:trPr>
          <w:trHeight w:val="397" w:hRule="atLeast"/>
          <w:jc w:val="center"/>
        </w:trPr>
        <w:tc>
          <w:tcPr>
            <w:tcW w:w="127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华文楷体" w:eastAsia="仿宋_GB2312" w:cs="宋体"/>
                <w:b/>
                <w:bCs/>
                <w:color w:val="000000"/>
                <w:kern w:val="0"/>
                <w:sz w:val="20"/>
                <w:szCs w:val="20"/>
              </w:rPr>
            </w:pPr>
          </w:p>
        </w:tc>
        <w:tc>
          <w:tcPr>
            <w:tcW w:w="3260" w:type="dxa"/>
            <w:tcBorders>
              <w:top w:val="single" w:color="auto" w:sz="4" w:space="0"/>
              <w:left w:val="nil"/>
              <w:bottom w:val="single" w:color="auto" w:sz="4" w:space="0"/>
              <w:right w:val="single" w:color="auto" w:sz="4" w:space="0"/>
            </w:tcBorders>
            <w:vAlign w:val="center"/>
          </w:tcPr>
          <w:p>
            <w:pPr>
              <w:widowControl/>
              <w:jc w:val="left"/>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证券分公司</w:t>
            </w:r>
          </w:p>
        </w:tc>
        <w:tc>
          <w:tcPr>
            <w:tcW w:w="992" w:type="dxa"/>
            <w:tcBorders>
              <w:top w:val="nil"/>
              <w:left w:val="nil"/>
              <w:bottom w:val="single" w:color="auto" w:sz="4" w:space="0"/>
              <w:right w:val="single" w:color="auto" w:sz="4" w:space="0"/>
            </w:tcBorders>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家</w:t>
            </w:r>
          </w:p>
        </w:tc>
        <w:tc>
          <w:tcPr>
            <w:tcW w:w="1276" w:type="dxa"/>
            <w:tcBorders>
              <w:top w:val="nil"/>
              <w:left w:val="nil"/>
              <w:bottom w:val="single" w:color="auto" w:sz="4" w:space="0"/>
              <w:right w:val="single" w:color="auto" w:sz="4" w:space="0"/>
            </w:tcBorders>
            <w:vAlign w:val="top"/>
          </w:tcPr>
          <w:p>
            <w:pPr>
              <w:widowControl/>
              <w:jc w:val="center"/>
              <w:rPr>
                <w:rFonts w:hint="default" w:ascii="仿宋_GB2312" w:hAnsi="华文楷体" w:eastAsia="仿宋_GB2312" w:cs="宋体"/>
                <w:kern w:val="0"/>
                <w:sz w:val="20"/>
                <w:szCs w:val="20"/>
                <w:lang w:val="en"/>
              </w:rPr>
            </w:pPr>
            <w:r>
              <w:rPr>
                <w:rFonts w:hint="eastAsia" w:ascii="仿宋_GB2312" w:hAnsi="华文楷体" w:eastAsia="仿宋_GB2312" w:cs="宋体"/>
                <w:kern w:val="0"/>
                <w:sz w:val="20"/>
                <w:szCs w:val="20"/>
              </w:rPr>
              <w:t>2</w:t>
            </w:r>
            <w:r>
              <w:rPr>
                <w:rFonts w:hint="eastAsia" w:ascii="仿宋_GB2312" w:hAnsi="华文楷体" w:eastAsia="仿宋_GB2312" w:cs="宋体"/>
                <w:kern w:val="0"/>
                <w:sz w:val="20"/>
                <w:szCs w:val="20"/>
                <w:lang w:val="en-US" w:eastAsia="zh-CN"/>
              </w:rPr>
              <w:t>7</w:t>
            </w:r>
          </w:p>
        </w:tc>
        <w:tc>
          <w:tcPr>
            <w:tcW w:w="1559" w:type="dxa"/>
            <w:tcBorders>
              <w:top w:val="nil"/>
              <w:left w:val="nil"/>
              <w:bottom w:val="single" w:color="auto" w:sz="4" w:space="0"/>
              <w:right w:val="single" w:color="auto" w:sz="4" w:space="0"/>
            </w:tcBorders>
            <w:vAlign w:val="top"/>
          </w:tcPr>
          <w:p>
            <w:pPr>
              <w:widowControl/>
              <w:jc w:val="center"/>
              <w:rPr>
                <w:rFonts w:hint="eastAsia" w:ascii="仿宋_GB2312" w:hAnsi="宋体" w:eastAsia="仿宋_GB2312" w:cs="宋体"/>
                <w:kern w:val="0"/>
                <w:sz w:val="20"/>
                <w:szCs w:val="20"/>
                <w:highlight w:val="yellow"/>
                <w:lang w:val="en-US" w:eastAsia="zh-CN"/>
              </w:rPr>
            </w:pPr>
            <w:r>
              <w:rPr>
                <w:rFonts w:hint="eastAsia" w:ascii="仿宋_GB2312" w:hAnsi="华文楷体" w:eastAsia="仿宋_GB2312" w:cs="宋体"/>
                <w:kern w:val="0"/>
                <w:sz w:val="20"/>
                <w:szCs w:val="20"/>
              </w:rPr>
              <w:t>2</w:t>
            </w:r>
            <w:r>
              <w:rPr>
                <w:rFonts w:hint="eastAsia" w:ascii="仿宋_GB2312" w:hAnsi="华文楷体" w:eastAsia="仿宋_GB2312" w:cs="宋体"/>
                <w:kern w:val="0"/>
                <w:sz w:val="20"/>
                <w:szCs w:val="20"/>
                <w:lang w:val="en-US" w:eastAsia="zh-CN"/>
              </w:rPr>
              <w:t>7</w:t>
            </w:r>
          </w:p>
        </w:tc>
      </w:tr>
      <w:tr>
        <w:tblPrEx>
          <w:tblCellMar>
            <w:top w:w="0" w:type="dxa"/>
            <w:left w:w="108" w:type="dxa"/>
            <w:bottom w:w="0" w:type="dxa"/>
            <w:right w:w="108" w:type="dxa"/>
          </w:tblCellMar>
        </w:tblPrEx>
        <w:trPr>
          <w:trHeight w:val="411" w:hRule="atLeast"/>
          <w:jc w:val="center"/>
        </w:trPr>
        <w:tc>
          <w:tcPr>
            <w:tcW w:w="127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华文楷体" w:eastAsia="仿宋_GB2312" w:cs="宋体"/>
                <w:b/>
                <w:bCs/>
                <w:color w:val="000000"/>
                <w:kern w:val="0"/>
                <w:sz w:val="20"/>
                <w:szCs w:val="20"/>
              </w:rPr>
            </w:pPr>
          </w:p>
        </w:tc>
        <w:tc>
          <w:tcPr>
            <w:tcW w:w="3260" w:type="dxa"/>
            <w:tcBorders>
              <w:top w:val="single" w:color="auto" w:sz="4" w:space="0"/>
              <w:left w:val="nil"/>
              <w:bottom w:val="single" w:color="auto" w:sz="4" w:space="0"/>
              <w:right w:val="single" w:color="auto" w:sz="4" w:space="0"/>
            </w:tcBorders>
            <w:vAlign w:val="center"/>
          </w:tcPr>
          <w:p>
            <w:pPr>
              <w:widowControl/>
              <w:jc w:val="left"/>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证券营业部家数</w:t>
            </w:r>
          </w:p>
        </w:tc>
        <w:tc>
          <w:tcPr>
            <w:tcW w:w="992" w:type="dxa"/>
            <w:tcBorders>
              <w:top w:val="nil"/>
              <w:left w:val="nil"/>
              <w:bottom w:val="single" w:color="auto" w:sz="4" w:space="0"/>
              <w:right w:val="single" w:color="auto" w:sz="4" w:space="0"/>
            </w:tcBorders>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家</w:t>
            </w:r>
          </w:p>
        </w:tc>
        <w:tc>
          <w:tcPr>
            <w:tcW w:w="1276" w:type="dxa"/>
            <w:tcBorders>
              <w:top w:val="nil"/>
              <w:left w:val="nil"/>
              <w:bottom w:val="single" w:color="auto" w:sz="4" w:space="0"/>
              <w:right w:val="single" w:color="auto" w:sz="4" w:space="0"/>
            </w:tcBorders>
            <w:vAlign w:val="top"/>
          </w:tcPr>
          <w:p>
            <w:pPr>
              <w:widowControl/>
              <w:jc w:val="center"/>
              <w:rPr>
                <w:rFonts w:hint="default" w:ascii="仿宋_GB2312" w:hAnsi="华文楷体" w:eastAsia="仿宋_GB2312" w:cs="宋体"/>
                <w:kern w:val="0"/>
                <w:sz w:val="20"/>
                <w:szCs w:val="20"/>
                <w:lang w:val="en-US" w:eastAsia="zh-CN"/>
              </w:rPr>
            </w:pPr>
            <w:r>
              <w:rPr>
                <w:rFonts w:hint="eastAsia" w:ascii="仿宋_GB2312" w:hAnsi="华文楷体" w:eastAsia="仿宋_GB2312" w:cs="宋体"/>
                <w:kern w:val="0"/>
                <w:sz w:val="20"/>
                <w:szCs w:val="20"/>
                <w:lang w:val="en-US" w:eastAsia="zh-CN"/>
              </w:rPr>
              <w:t>92</w:t>
            </w:r>
          </w:p>
        </w:tc>
        <w:tc>
          <w:tcPr>
            <w:tcW w:w="1559" w:type="dxa"/>
            <w:tcBorders>
              <w:top w:val="nil"/>
              <w:left w:val="nil"/>
              <w:bottom w:val="single" w:color="auto" w:sz="4" w:space="0"/>
              <w:right w:val="single" w:color="auto" w:sz="4" w:space="0"/>
            </w:tcBorders>
            <w:vAlign w:val="top"/>
          </w:tcPr>
          <w:p>
            <w:pPr>
              <w:widowControl/>
              <w:jc w:val="center"/>
              <w:rPr>
                <w:rFonts w:hint="default" w:ascii="仿宋_GB2312" w:hAnsi="宋体" w:eastAsia="仿宋_GB2312" w:cs="宋体"/>
                <w:kern w:val="0"/>
                <w:sz w:val="20"/>
                <w:szCs w:val="20"/>
                <w:highlight w:val="yellow"/>
                <w:lang w:val="en-US"/>
              </w:rPr>
            </w:pPr>
            <w:r>
              <w:rPr>
                <w:rFonts w:hint="eastAsia" w:ascii="仿宋_GB2312" w:hAnsi="华文楷体" w:eastAsia="仿宋_GB2312" w:cs="宋体"/>
                <w:kern w:val="0"/>
                <w:sz w:val="20"/>
                <w:szCs w:val="20"/>
                <w:lang w:val="en-US" w:eastAsia="zh-CN"/>
              </w:rPr>
              <w:t>91</w:t>
            </w:r>
          </w:p>
        </w:tc>
      </w:tr>
      <w:tr>
        <w:tblPrEx>
          <w:tblCellMar>
            <w:top w:w="0" w:type="dxa"/>
            <w:left w:w="108" w:type="dxa"/>
            <w:bottom w:w="0" w:type="dxa"/>
            <w:right w:w="108" w:type="dxa"/>
          </w:tblCellMar>
        </w:tblPrEx>
        <w:trPr>
          <w:trHeight w:val="397" w:hRule="atLeast"/>
          <w:jc w:val="center"/>
        </w:trPr>
        <w:tc>
          <w:tcPr>
            <w:tcW w:w="127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华文楷体" w:eastAsia="仿宋_GB2312" w:cs="宋体"/>
                <w:b/>
                <w:bCs/>
                <w:color w:val="000000"/>
                <w:kern w:val="0"/>
                <w:sz w:val="20"/>
                <w:szCs w:val="20"/>
              </w:rPr>
            </w:pPr>
          </w:p>
        </w:tc>
        <w:tc>
          <w:tcPr>
            <w:tcW w:w="3260" w:type="dxa"/>
            <w:tcBorders>
              <w:top w:val="single" w:color="auto" w:sz="4" w:space="0"/>
              <w:left w:val="nil"/>
              <w:bottom w:val="single" w:color="auto" w:sz="4" w:space="0"/>
              <w:right w:val="single" w:color="auto" w:sz="4" w:space="0"/>
            </w:tcBorders>
            <w:vAlign w:val="center"/>
          </w:tcPr>
          <w:p>
            <w:pPr>
              <w:widowControl/>
              <w:jc w:val="left"/>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证券从业人员数量</w:t>
            </w:r>
          </w:p>
        </w:tc>
        <w:tc>
          <w:tcPr>
            <w:tcW w:w="992" w:type="dxa"/>
            <w:tcBorders>
              <w:top w:val="nil"/>
              <w:left w:val="nil"/>
              <w:bottom w:val="single" w:color="auto" w:sz="4" w:space="0"/>
              <w:right w:val="single" w:color="auto" w:sz="4" w:space="0"/>
            </w:tcBorders>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人</w:t>
            </w:r>
          </w:p>
        </w:tc>
        <w:tc>
          <w:tcPr>
            <w:tcW w:w="1276" w:type="dxa"/>
            <w:tcBorders>
              <w:top w:val="nil"/>
              <w:left w:val="nil"/>
              <w:bottom w:val="single" w:color="auto" w:sz="4" w:space="0"/>
              <w:right w:val="single" w:color="auto" w:sz="4" w:space="0"/>
            </w:tcBorders>
            <w:vAlign w:val="top"/>
          </w:tcPr>
          <w:p>
            <w:pPr>
              <w:widowControl/>
              <w:jc w:val="center"/>
              <w:rPr>
                <w:rFonts w:hint="default" w:ascii="仿宋_GB2312" w:hAnsi="华文楷体" w:eastAsia="仿宋_GB2312" w:cs="宋体"/>
                <w:kern w:val="0"/>
                <w:sz w:val="20"/>
                <w:szCs w:val="20"/>
                <w:lang w:val="en" w:eastAsia="zh-CN"/>
              </w:rPr>
            </w:pPr>
            <w:r>
              <w:rPr>
                <w:rFonts w:hint="default" w:ascii="仿宋_GB2312" w:hAnsi="华文楷体" w:eastAsia="仿宋_GB2312" w:cs="宋体"/>
                <w:kern w:val="0"/>
                <w:sz w:val="20"/>
                <w:szCs w:val="20"/>
                <w:lang w:val="en" w:eastAsia="zh-CN"/>
              </w:rPr>
              <w:t>3</w:t>
            </w:r>
            <w:r>
              <w:rPr>
                <w:rFonts w:hint="eastAsia" w:ascii="仿宋_GB2312" w:hAnsi="华文楷体" w:eastAsia="仿宋_GB2312" w:cs="宋体"/>
                <w:kern w:val="0"/>
                <w:sz w:val="20"/>
                <w:szCs w:val="20"/>
                <w:lang w:val="en-US" w:eastAsia="zh-CN"/>
              </w:rPr>
              <w:t>538</w:t>
            </w:r>
          </w:p>
        </w:tc>
        <w:tc>
          <w:tcPr>
            <w:tcW w:w="1559" w:type="dxa"/>
            <w:tcBorders>
              <w:top w:val="nil"/>
              <w:left w:val="nil"/>
              <w:bottom w:val="single" w:color="auto" w:sz="4" w:space="0"/>
              <w:right w:val="single" w:color="auto" w:sz="4" w:space="0"/>
            </w:tcBorders>
            <w:vAlign w:val="top"/>
          </w:tcPr>
          <w:p>
            <w:pPr>
              <w:widowControl/>
              <w:jc w:val="center"/>
              <w:rPr>
                <w:rFonts w:hint="default" w:ascii="仿宋_GB2312" w:hAnsi="宋体" w:eastAsia="仿宋_GB2312" w:cs="宋体"/>
                <w:kern w:val="0"/>
                <w:sz w:val="20"/>
                <w:szCs w:val="20"/>
                <w:highlight w:val="yellow"/>
                <w:lang w:val="en-US"/>
              </w:rPr>
            </w:pPr>
            <w:r>
              <w:rPr>
                <w:rFonts w:hint="default" w:ascii="仿宋_GB2312" w:hAnsi="华文楷体" w:eastAsia="仿宋_GB2312" w:cs="宋体"/>
                <w:kern w:val="0"/>
                <w:sz w:val="20"/>
                <w:szCs w:val="20"/>
                <w:lang w:val="en" w:eastAsia="zh-CN"/>
              </w:rPr>
              <w:t>3</w:t>
            </w:r>
            <w:r>
              <w:rPr>
                <w:rFonts w:hint="eastAsia" w:ascii="仿宋_GB2312" w:hAnsi="华文楷体" w:eastAsia="仿宋_GB2312" w:cs="宋体"/>
                <w:kern w:val="0"/>
                <w:sz w:val="20"/>
                <w:szCs w:val="20"/>
                <w:lang w:val="en-US" w:eastAsia="zh-CN"/>
              </w:rPr>
              <w:t>486</w:t>
            </w:r>
          </w:p>
        </w:tc>
      </w:tr>
      <w:tr>
        <w:tblPrEx>
          <w:tblCellMar>
            <w:top w:w="0" w:type="dxa"/>
            <w:left w:w="108" w:type="dxa"/>
            <w:bottom w:w="0" w:type="dxa"/>
            <w:right w:w="108" w:type="dxa"/>
          </w:tblCellMar>
        </w:tblPrEx>
        <w:trPr>
          <w:trHeight w:val="384" w:hRule="atLeast"/>
          <w:jc w:val="center"/>
        </w:trPr>
        <w:tc>
          <w:tcPr>
            <w:tcW w:w="127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华文楷体" w:eastAsia="仿宋_GB2312" w:cs="宋体"/>
                <w:b/>
                <w:bCs/>
                <w:color w:val="000000"/>
                <w:kern w:val="0"/>
                <w:sz w:val="20"/>
                <w:szCs w:val="20"/>
              </w:rPr>
            </w:pPr>
          </w:p>
        </w:tc>
        <w:tc>
          <w:tcPr>
            <w:tcW w:w="3260" w:type="dxa"/>
            <w:tcBorders>
              <w:top w:val="single" w:color="auto" w:sz="4" w:space="0"/>
              <w:left w:val="nil"/>
              <w:bottom w:val="single" w:color="auto" w:sz="4" w:space="0"/>
              <w:right w:val="single" w:color="auto" w:sz="4" w:space="0"/>
            </w:tcBorders>
            <w:vAlign w:val="center"/>
          </w:tcPr>
          <w:p>
            <w:pPr>
              <w:widowControl/>
              <w:jc w:val="left"/>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证券投资者资金账户数量</w:t>
            </w:r>
          </w:p>
        </w:tc>
        <w:tc>
          <w:tcPr>
            <w:tcW w:w="992" w:type="dxa"/>
            <w:tcBorders>
              <w:top w:val="nil"/>
              <w:left w:val="nil"/>
              <w:bottom w:val="single" w:color="auto" w:sz="4" w:space="0"/>
              <w:right w:val="single" w:color="auto" w:sz="4" w:space="0"/>
            </w:tcBorders>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万户</w:t>
            </w:r>
          </w:p>
        </w:tc>
        <w:tc>
          <w:tcPr>
            <w:tcW w:w="1276" w:type="dxa"/>
            <w:tcBorders>
              <w:top w:val="nil"/>
              <w:left w:val="nil"/>
              <w:bottom w:val="single" w:color="auto" w:sz="4" w:space="0"/>
              <w:right w:val="single" w:color="auto" w:sz="4" w:space="0"/>
            </w:tcBorders>
            <w:vAlign w:val="top"/>
          </w:tcPr>
          <w:p>
            <w:pPr>
              <w:widowControl/>
              <w:jc w:val="center"/>
              <w:rPr>
                <w:rFonts w:hint="default" w:ascii="仿宋_GB2312" w:hAnsi="华文楷体" w:eastAsia="仿宋_GB2312" w:cs="宋体"/>
                <w:kern w:val="0"/>
                <w:sz w:val="20"/>
                <w:szCs w:val="20"/>
                <w:lang w:val="en-US" w:eastAsia="zh-CN"/>
              </w:rPr>
            </w:pPr>
            <w:r>
              <w:rPr>
                <w:rFonts w:hint="eastAsia" w:ascii="仿宋_GB2312" w:hAnsi="华文楷体" w:eastAsia="仿宋_GB2312" w:cs="宋体"/>
                <w:kern w:val="0"/>
                <w:sz w:val="20"/>
                <w:szCs w:val="20"/>
                <w:lang w:val="en-US" w:eastAsia="zh-CN"/>
              </w:rPr>
              <w:t>285.96</w:t>
            </w:r>
          </w:p>
        </w:tc>
        <w:tc>
          <w:tcPr>
            <w:tcW w:w="1559" w:type="dxa"/>
            <w:tcBorders>
              <w:top w:val="nil"/>
              <w:left w:val="nil"/>
              <w:bottom w:val="single" w:color="auto" w:sz="4" w:space="0"/>
              <w:right w:val="single" w:color="auto" w:sz="4" w:space="0"/>
            </w:tcBorders>
            <w:vAlign w:val="top"/>
          </w:tcPr>
          <w:p>
            <w:pPr>
              <w:widowControl/>
              <w:jc w:val="center"/>
              <w:rPr>
                <w:rFonts w:hint="default" w:ascii="仿宋_GB2312" w:hAnsi="宋体" w:eastAsia="仿宋_GB2312" w:cs="宋体"/>
                <w:kern w:val="0"/>
                <w:sz w:val="20"/>
                <w:szCs w:val="20"/>
                <w:highlight w:val="yellow"/>
                <w:lang w:val="en-US"/>
              </w:rPr>
            </w:pPr>
            <w:r>
              <w:rPr>
                <w:rFonts w:hint="eastAsia" w:ascii="仿宋_GB2312" w:hAnsi="华文楷体" w:eastAsia="仿宋_GB2312" w:cs="宋体"/>
                <w:kern w:val="0"/>
                <w:sz w:val="20"/>
                <w:szCs w:val="20"/>
                <w:lang w:val="en-US" w:eastAsia="zh-CN"/>
              </w:rPr>
              <w:t>296.76</w:t>
            </w:r>
          </w:p>
        </w:tc>
      </w:tr>
      <w:tr>
        <w:tblPrEx>
          <w:tblCellMar>
            <w:top w:w="0" w:type="dxa"/>
            <w:left w:w="108" w:type="dxa"/>
            <w:bottom w:w="0" w:type="dxa"/>
            <w:right w:w="108" w:type="dxa"/>
          </w:tblCellMar>
        </w:tblPrEx>
        <w:trPr>
          <w:trHeight w:val="370" w:hRule="atLeast"/>
          <w:jc w:val="center"/>
        </w:trPr>
        <w:tc>
          <w:tcPr>
            <w:tcW w:w="1277"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仿宋_GB2312" w:hAnsi="华文楷体" w:eastAsia="仿宋_GB2312" w:cs="宋体"/>
                <w:b/>
                <w:bCs/>
                <w:color w:val="000000"/>
                <w:kern w:val="0"/>
                <w:sz w:val="20"/>
                <w:szCs w:val="20"/>
              </w:rPr>
            </w:pPr>
            <w:r>
              <w:rPr>
                <w:rFonts w:hint="eastAsia" w:ascii="仿宋_GB2312" w:hAnsi="华文楷体" w:eastAsia="仿宋_GB2312" w:cs="宋体"/>
                <w:b/>
                <w:bCs/>
                <w:color w:val="000000"/>
                <w:kern w:val="0"/>
                <w:sz w:val="20"/>
                <w:szCs w:val="20"/>
              </w:rPr>
              <w:t>期货经营</w:t>
            </w:r>
          </w:p>
          <w:p>
            <w:pPr>
              <w:widowControl/>
              <w:jc w:val="center"/>
              <w:rPr>
                <w:rFonts w:ascii="仿宋_GB2312" w:hAnsi="华文楷体" w:eastAsia="仿宋_GB2312" w:cs="宋体"/>
                <w:b/>
                <w:bCs/>
                <w:color w:val="000000"/>
                <w:kern w:val="0"/>
                <w:sz w:val="20"/>
                <w:szCs w:val="20"/>
              </w:rPr>
            </w:pPr>
            <w:r>
              <w:rPr>
                <w:rFonts w:hint="eastAsia" w:ascii="仿宋_GB2312" w:hAnsi="华文楷体" w:eastAsia="仿宋_GB2312" w:cs="宋体"/>
                <w:b/>
                <w:bCs/>
                <w:color w:val="000000"/>
                <w:kern w:val="0"/>
                <w:sz w:val="20"/>
                <w:szCs w:val="20"/>
              </w:rPr>
              <w:t>机构</w:t>
            </w:r>
          </w:p>
        </w:tc>
        <w:tc>
          <w:tcPr>
            <w:tcW w:w="3260" w:type="dxa"/>
            <w:tcBorders>
              <w:top w:val="single" w:color="auto" w:sz="4" w:space="0"/>
              <w:left w:val="nil"/>
              <w:bottom w:val="single" w:color="auto" w:sz="4" w:space="0"/>
              <w:right w:val="single" w:color="auto" w:sz="4" w:space="0"/>
            </w:tcBorders>
            <w:vAlign w:val="center"/>
          </w:tcPr>
          <w:p>
            <w:pPr>
              <w:widowControl/>
              <w:jc w:val="left"/>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期货</w:t>
            </w:r>
            <w:r>
              <w:rPr>
                <w:rFonts w:hint="eastAsia" w:ascii="仿宋_GB2312" w:hAnsi="华文楷体" w:eastAsia="仿宋_GB2312" w:cs="宋体"/>
                <w:color w:val="000000"/>
                <w:kern w:val="0"/>
                <w:sz w:val="20"/>
                <w:szCs w:val="20"/>
                <w:lang w:eastAsia="zh-CN"/>
              </w:rPr>
              <w:t>分支机构</w:t>
            </w:r>
            <w:r>
              <w:rPr>
                <w:rFonts w:hint="eastAsia" w:ascii="仿宋_GB2312" w:hAnsi="华文楷体" w:eastAsia="仿宋_GB2312" w:cs="宋体"/>
                <w:color w:val="000000"/>
                <w:kern w:val="0"/>
                <w:sz w:val="20"/>
                <w:szCs w:val="20"/>
              </w:rPr>
              <w:t>数量</w:t>
            </w:r>
          </w:p>
        </w:tc>
        <w:tc>
          <w:tcPr>
            <w:tcW w:w="992" w:type="dxa"/>
            <w:tcBorders>
              <w:top w:val="nil"/>
              <w:left w:val="nil"/>
              <w:bottom w:val="single" w:color="auto" w:sz="4" w:space="0"/>
              <w:right w:val="single" w:color="auto" w:sz="4" w:space="0"/>
            </w:tcBorders>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家</w:t>
            </w:r>
          </w:p>
        </w:tc>
        <w:tc>
          <w:tcPr>
            <w:tcW w:w="1276" w:type="dxa"/>
            <w:tcBorders>
              <w:top w:val="nil"/>
              <w:left w:val="nil"/>
              <w:bottom w:val="single" w:color="auto" w:sz="4" w:space="0"/>
              <w:right w:val="single" w:color="auto" w:sz="4" w:space="0"/>
            </w:tcBorders>
            <w:vAlign w:val="top"/>
          </w:tcPr>
          <w:p>
            <w:pPr>
              <w:widowControl/>
              <w:jc w:val="center"/>
              <w:rPr>
                <w:rFonts w:hint="default" w:ascii="仿宋_GB2312" w:hAnsi="华文楷体" w:eastAsia="仿宋_GB2312" w:cs="宋体"/>
                <w:kern w:val="0"/>
                <w:sz w:val="20"/>
                <w:szCs w:val="20"/>
                <w:lang w:val="en"/>
              </w:rPr>
            </w:pPr>
            <w:r>
              <w:rPr>
                <w:rFonts w:hint="eastAsia" w:ascii="仿宋_GB2312" w:hAnsi="宋体" w:eastAsia="仿宋_GB2312" w:cs="宋体"/>
                <w:kern w:val="0"/>
                <w:sz w:val="20"/>
                <w:szCs w:val="20"/>
                <w:lang w:val="en-US" w:eastAsia="zh-CN"/>
              </w:rPr>
              <w:t>8</w:t>
            </w:r>
          </w:p>
        </w:tc>
        <w:tc>
          <w:tcPr>
            <w:tcW w:w="1559" w:type="dxa"/>
            <w:tcBorders>
              <w:top w:val="nil"/>
              <w:left w:val="nil"/>
              <w:bottom w:val="single" w:color="auto" w:sz="4" w:space="0"/>
              <w:right w:val="single" w:color="auto" w:sz="4" w:space="0"/>
            </w:tcBorders>
            <w:vAlign w:val="top"/>
          </w:tcPr>
          <w:p>
            <w:pPr>
              <w:widowControl/>
              <w:jc w:val="center"/>
              <w:rPr>
                <w:rFonts w:hint="default" w:ascii="仿宋_GB2312" w:hAnsi="宋体" w:eastAsia="仿宋_GB2312" w:cs="宋体"/>
                <w:kern w:val="0"/>
                <w:sz w:val="20"/>
                <w:szCs w:val="20"/>
                <w:lang w:val="en-US" w:eastAsia="zh-CN"/>
              </w:rPr>
            </w:pPr>
            <w:r>
              <w:rPr>
                <w:rFonts w:hint="eastAsia" w:ascii="仿宋_GB2312" w:hAnsi="宋体" w:eastAsia="仿宋_GB2312" w:cs="宋体"/>
                <w:kern w:val="0"/>
                <w:sz w:val="20"/>
                <w:szCs w:val="20"/>
                <w:lang w:val="en-US" w:eastAsia="zh-CN"/>
              </w:rPr>
              <w:t>8</w:t>
            </w:r>
          </w:p>
        </w:tc>
      </w:tr>
      <w:tr>
        <w:tblPrEx>
          <w:tblCellMar>
            <w:top w:w="0" w:type="dxa"/>
            <w:left w:w="108" w:type="dxa"/>
            <w:bottom w:w="0" w:type="dxa"/>
            <w:right w:w="108" w:type="dxa"/>
          </w:tblCellMar>
        </w:tblPrEx>
        <w:trPr>
          <w:trHeight w:val="370" w:hRule="atLeast"/>
          <w:jc w:val="center"/>
        </w:trPr>
        <w:tc>
          <w:tcPr>
            <w:tcW w:w="127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华文楷体" w:eastAsia="仿宋_GB2312" w:cs="宋体"/>
                <w:b/>
                <w:bCs/>
                <w:color w:val="000000"/>
                <w:kern w:val="0"/>
                <w:sz w:val="20"/>
                <w:szCs w:val="20"/>
              </w:rPr>
            </w:pPr>
          </w:p>
        </w:tc>
        <w:tc>
          <w:tcPr>
            <w:tcW w:w="3260" w:type="dxa"/>
            <w:tcBorders>
              <w:top w:val="single" w:color="auto" w:sz="4" w:space="0"/>
              <w:left w:val="nil"/>
              <w:bottom w:val="single" w:color="auto" w:sz="4" w:space="0"/>
              <w:right w:val="single" w:color="auto" w:sz="4" w:space="0"/>
            </w:tcBorders>
            <w:vAlign w:val="center"/>
          </w:tcPr>
          <w:p>
            <w:pPr>
              <w:widowControl/>
              <w:jc w:val="left"/>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期货从业人员数量</w:t>
            </w:r>
          </w:p>
        </w:tc>
        <w:tc>
          <w:tcPr>
            <w:tcW w:w="992" w:type="dxa"/>
            <w:tcBorders>
              <w:top w:val="nil"/>
              <w:left w:val="nil"/>
              <w:bottom w:val="single" w:color="auto" w:sz="4" w:space="0"/>
              <w:right w:val="single" w:color="auto" w:sz="4" w:space="0"/>
            </w:tcBorders>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人</w:t>
            </w:r>
          </w:p>
        </w:tc>
        <w:tc>
          <w:tcPr>
            <w:tcW w:w="1276" w:type="dxa"/>
            <w:tcBorders>
              <w:top w:val="nil"/>
              <w:left w:val="nil"/>
              <w:bottom w:val="single" w:color="auto" w:sz="4" w:space="0"/>
              <w:right w:val="single" w:color="auto" w:sz="4" w:space="0"/>
            </w:tcBorders>
            <w:vAlign w:val="top"/>
          </w:tcPr>
          <w:p>
            <w:pPr>
              <w:widowControl/>
              <w:jc w:val="center"/>
              <w:rPr>
                <w:rFonts w:hint="default" w:ascii="仿宋_GB2312" w:hAnsi="华文楷体" w:eastAsia="仿宋_GB2312" w:cs="宋体"/>
                <w:kern w:val="0"/>
                <w:sz w:val="20"/>
                <w:szCs w:val="20"/>
                <w:lang w:val="en" w:eastAsia="zh-CN"/>
              </w:rPr>
            </w:pPr>
            <w:r>
              <w:rPr>
                <w:rFonts w:hint="default" w:ascii="仿宋_GB2312" w:hAnsi="宋体" w:eastAsia="仿宋_GB2312" w:cs="宋体"/>
                <w:kern w:val="0"/>
                <w:sz w:val="20"/>
                <w:szCs w:val="20"/>
                <w:lang w:eastAsia="zh-CN"/>
              </w:rPr>
              <w:t>5</w:t>
            </w:r>
            <w:r>
              <w:rPr>
                <w:rFonts w:hint="eastAsia" w:ascii="仿宋_GB2312" w:hAnsi="宋体" w:eastAsia="仿宋_GB2312" w:cs="宋体"/>
                <w:kern w:val="0"/>
                <w:sz w:val="20"/>
                <w:szCs w:val="20"/>
                <w:lang w:val="en-US" w:eastAsia="zh-CN"/>
              </w:rPr>
              <w:t>8</w:t>
            </w:r>
          </w:p>
        </w:tc>
        <w:tc>
          <w:tcPr>
            <w:tcW w:w="1559" w:type="dxa"/>
            <w:tcBorders>
              <w:top w:val="nil"/>
              <w:left w:val="nil"/>
              <w:bottom w:val="single" w:color="auto" w:sz="4" w:space="0"/>
              <w:right w:val="single" w:color="auto" w:sz="4" w:space="0"/>
            </w:tcBorders>
            <w:vAlign w:val="top"/>
          </w:tcPr>
          <w:p>
            <w:pPr>
              <w:widowControl/>
              <w:jc w:val="center"/>
              <w:rPr>
                <w:rFonts w:hint="default" w:ascii="仿宋_GB2312" w:hAnsi="宋体" w:eastAsia="仿宋_GB2312" w:cs="宋体"/>
                <w:kern w:val="0"/>
                <w:sz w:val="20"/>
                <w:szCs w:val="20"/>
                <w:lang w:val="en-US" w:eastAsia="zh-CN"/>
              </w:rPr>
            </w:pPr>
            <w:r>
              <w:rPr>
                <w:rFonts w:hint="default" w:ascii="仿宋_GB2312" w:hAnsi="宋体" w:eastAsia="仿宋_GB2312" w:cs="宋体"/>
                <w:kern w:val="0"/>
                <w:sz w:val="20"/>
                <w:szCs w:val="20"/>
                <w:lang w:eastAsia="zh-CN"/>
              </w:rPr>
              <w:t>5</w:t>
            </w:r>
            <w:r>
              <w:rPr>
                <w:rFonts w:hint="eastAsia" w:ascii="仿宋_GB2312" w:hAnsi="宋体" w:eastAsia="仿宋_GB2312" w:cs="宋体"/>
                <w:kern w:val="0"/>
                <w:sz w:val="20"/>
                <w:szCs w:val="20"/>
                <w:lang w:val="en-US" w:eastAsia="zh-CN"/>
              </w:rPr>
              <w:t>3</w:t>
            </w:r>
          </w:p>
        </w:tc>
      </w:tr>
      <w:tr>
        <w:tblPrEx>
          <w:tblCellMar>
            <w:top w:w="0" w:type="dxa"/>
            <w:left w:w="108" w:type="dxa"/>
            <w:bottom w:w="0" w:type="dxa"/>
            <w:right w:w="108" w:type="dxa"/>
          </w:tblCellMar>
        </w:tblPrEx>
        <w:trPr>
          <w:trHeight w:val="371" w:hRule="atLeast"/>
          <w:jc w:val="center"/>
        </w:trPr>
        <w:tc>
          <w:tcPr>
            <w:tcW w:w="127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华文楷体" w:eastAsia="仿宋_GB2312" w:cs="宋体"/>
                <w:b/>
                <w:bCs/>
                <w:color w:val="000000"/>
                <w:kern w:val="0"/>
                <w:sz w:val="20"/>
                <w:szCs w:val="20"/>
              </w:rPr>
            </w:pPr>
          </w:p>
        </w:tc>
        <w:tc>
          <w:tcPr>
            <w:tcW w:w="3260" w:type="dxa"/>
            <w:tcBorders>
              <w:top w:val="single" w:color="auto" w:sz="4" w:space="0"/>
              <w:left w:val="nil"/>
              <w:bottom w:val="single" w:color="auto" w:sz="4" w:space="0"/>
              <w:right w:val="single" w:color="auto" w:sz="4" w:space="0"/>
            </w:tcBorders>
            <w:vAlign w:val="center"/>
          </w:tcPr>
          <w:p>
            <w:pPr>
              <w:widowControl/>
              <w:jc w:val="left"/>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期货投资者资金账户数量</w:t>
            </w:r>
          </w:p>
        </w:tc>
        <w:tc>
          <w:tcPr>
            <w:tcW w:w="992" w:type="dxa"/>
            <w:tcBorders>
              <w:top w:val="nil"/>
              <w:left w:val="nil"/>
              <w:bottom w:val="single" w:color="auto" w:sz="4" w:space="0"/>
              <w:right w:val="single" w:color="auto" w:sz="4" w:space="0"/>
            </w:tcBorders>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万户</w:t>
            </w:r>
          </w:p>
        </w:tc>
        <w:tc>
          <w:tcPr>
            <w:tcW w:w="1276" w:type="dxa"/>
            <w:tcBorders>
              <w:top w:val="nil"/>
              <w:left w:val="nil"/>
              <w:bottom w:val="single" w:color="auto" w:sz="4" w:space="0"/>
              <w:right w:val="single" w:color="auto" w:sz="4" w:space="0"/>
            </w:tcBorders>
            <w:vAlign w:val="top"/>
          </w:tcPr>
          <w:p>
            <w:pPr>
              <w:widowControl/>
              <w:jc w:val="center"/>
              <w:rPr>
                <w:rFonts w:hint="default" w:ascii="仿宋_GB2312" w:hAnsi="华文楷体" w:eastAsia="仿宋_GB2312" w:cs="宋体"/>
                <w:kern w:val="0"/>
                <w:sz w:val="20"/>
                <w:szCs w:val="20"/>
                <w:lang w:val="en" w:eastAsia="zh-CN"/>
              </w:rPr>
            </w:pPr>
            <w:r>
              <w:rPr>
                <w:rFonts w:hint="eastAsia" w:ascii="仿宋_GB2312" w:hAnsi="华文楷体" w:eastAsia="仿宋_GB2312" w:cs="宋体"/>
                <w:kern w:val="0"/>
                <w:sz w:val="20"/>
                <w:szCs w:val="20"/>
                <w:lang w:val="en-US" w:eastAsia="zh-CN"/>
              </w:rPr>
              <w:t>2.32</w:t>
            </w:r>
          </w:p>
        </w:tc>
        <w:tc>
          <w:tcPr>
            <w:tcW w:w="1559" w:type="dxa"/>
            <w:tcBorders>
              <w:top w:val="nil"/>
              <w:left w:val="nil"/>
              <w:bottom w:val="single" w:color="auto" w:sz="4" w:space="0"/>
              <w:right w:val="single" w:color="auto" w:sz="4" w:space="0"/>
            </w:tcBorders>
            <w:vAlign w:val="top"/>
          </w:tcPr>
          <w:p>
            <w:pPr>
              <w:widowControl/>
              <w:jc w:val="center"/>
              <w:rPr>
                <w:rFonts w:hint="default" w:ascii="仿宋_GB2312" w:hAnsi="宋体" w:eastAsia="仿宋_GB2312" w:cs="宋体"/>
                <w:kern w:val="0"/>
                <w:sz w:val="20"/>
                <w:szCs w:val="20"/>
                <w:lang w:val="en-US"/>
              </w:rPr>
            </w:pPr>
            <w:r>
              <w:rPr>
                <w:rFonts w:hint="eastAsia" w:ascii="仿宋_GB2312" w:hAnsi="华文楷体" w:eastAsia="仿宋_GB2312" w:cs="宋体"/>
                <w:kern w:val="0"/>
                <w:sz w:val="20"/>
                <w:szCs w:val="20"/>
                <w:lang w:val="en-US" w:eastAsia="zh-CN"/>
              </w:rPr>
              <w:t>2.46</w:t>
            </w:r>
          </w:p>
        </w:tc>
      </w:tr>
      <w:tr>
        <w:tblPrEx>
          <w:tblCellMar>
            <w:top w:w="0" w:type="dxa"/>
            <w:left w:w="108" w:type="dxa"/>
            <w:bottom w:w="0" w:type="dxa"/>
            <w:right w:w="108" w:type="dxa"/>
          </w:tblCellMar>
        </w:tblPrEx>
        <w:trPr>
          <w:trHeight w:val="425" w:hRule="atLeast"/>
          <w:jc w:val="center"/>
        </w:trPr>
        <w:tc>
          <w:tcPr>
            <w:tcW w:w="1277" w:type="dxa"/>
            <w:vMerge w:val="restart"/>
            <w:tcBorders>
              <w:top w:val="nil"/>
              <w:left w:val="single" w:color="auto" w:sz="4" w:space="0"/>
              <w:bottom w:val="single" w:color="auto" w:sz="4" w:space="0"/>
              <w:right w:val="single" w:color="auto" w:sz="4" w:space="0"/>
            </w:tcBorders>
            <w:vAlign w:val="center"/>
          </w:tcPr>
          <w:p>
            <w:pPr>
              <w:widowControl/>
              <w:jc w:val="center"/>
              <w:rPr>
                <w:rFonts w:ascii="仿宋_GB2312" w:hAnsi="华文楷体" w:eastAsia="仿宋_GB2312" w:cs="宋体"/>
                <w:b/>
                <w:bCs/>
                <w:color w:val="000000"/>
                <w:kern w:val="0"/>
                <w:sz w:val="20"/>
                <w:szCs w:val="20"/>
              </w:rPr>
            </w:pPr>
            <w:r>
              <w:rPr>
                <w:rFonts w:hint="eastAsia" w:ascii="仿宋_GB2312" w:hAnsi="华文楷体" w:eastAsia="仿宋_GB2312" w:cs="宋体"/>
                <w:b/>
                <w:bCs/>
                <w:color w:val="000000"/>
                <w:kern w:val="0"/>
                <w:sz w:val="20"/>
                <w:szCs w:val="20"/>
              </w:rPr>
              <w:t>私募基金</w:t>
            </w:r>
          </w:p>
        </w:tc>
        <w:tc>
          <w:tcPr>
            <w:tcW w:w="326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私募基金管理人数量（已登记）</w:t>
            </w:r>
          </w:p>
        </w:tc>
        <w:tc>
          <w:tcPr>
            <w:tcW w:w="992" w:type="dxa"/>
            <w:tcBorders>
              <w:top w:val="nil"/>
              <w:left w:val="nil"/>
              <w:bottom w:val="single" w:color="auto" w:sz="4" w:space="0"/>
              <w:right w:val="single" w:color="auto" w:sz="4" w:space="0"/>
            </w:tcBorders>
            <w:shd w:val="clear" w:color="auto" w:fill="auto"/>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家</w:t>
            </w:r>
          </w:p>
        </w:tc>
        <w:tc>
          <w:tcPr>
            <w:tcW w:w="1276" w:type="dxa"/>
            <w:tcBorders>
              <w:top w:val="nil"/>
              <w:left w:val="nil"/>
              <w:bottom w:val="single" w:color="auto" w:sz="4" w:space="0"/>
              <w:right w:val="single" w:color="auto" w:sz="4" w:space="0"/>
            </w:tcBorders>
            <w:shd w:val="clear" w:color="auto" w:fill="auto"/>
            <w:vAlign w:val="top"/>
          </w:tcPr>
          <w:p>
            <w:pPr>
              <w:widowControl/>
              <w:jc w:val="center"/>
              <w:rPr>
                <w:rFonts w:hint="default" w:ascii="仿宋_GB2312" w:hAnsi="华文楷体" w:eastAsia="仿宋_GB2312" w:cs="宋体"/>
                <w:kern w:val="0"/>
                <w:sz w:val="20"/>
                <w:szCs w:val="20"/>
                <w:lang w:val="en" w:eastAsia="zh-CN"/>
              </w:rPr>
            </w:pPr>
            <w:r>
              <w:rPr>
                <w:rFonts w:hint="default" w:ascii="仿宋_GB2312" w:hAnsi="宋体" w:eastAsia="仿宋_GB2312" w:cs="宋体"/>
                <w:kern w:val="0"/>
                <w:sz w:val="20"/>
                <w:szCs w:val="20"/>
                <w:lang w:val="en"/>
              </w:rPr>
              <w:t>6</w:t>
            </w:r>
            <w:r>
              <w:rPr>
                <w:rFonts w:hint="eastAsia" w:ascii="仿宋_GB2312" w:hAnsi="宋体" w:eastAsia="仿宋_GB2312" w:cs="宋体"/>
                <w:kern w:val="0"/>
                <w:sz w:val="20"/>
                <w:szCs w:val="20"/>
                <w:lang w:val="en-US" w:eastAsia="zh-CN"/>
              </w:rPr>
              <w:t>3</w:t>
            </w:r>
          </w:p>
        </w:tc>
        <w:tc>
          <w:tcPr>
            <w:tcW w:w="1559" w:type="dxa"/>
            <w:tcBorders>
              <w:top w:val="nil"/>
              <w:left w:val="nil"/>
              <w:bottom w:val="single" w:color="auto" w:sz="4" w:space="0"/>
              <w:right w:val="single" w:color="auto" w:sz="4" w:space="0"/>
            </w:tcBorders>
            <w:shd w:val="clear" w:color="auto" w:fill="auto"/>
            <w:vAlign w:val="top"/>
          </w:tcPr>
          <w:p>
            <w:pPr>
              <w:widowControl/>
              <w:jc w:val="center"/>
              <w:rPr>
                <w:rFonts w:hint="eastAsia" w:ascii="仿宋_GB2312" w:hAnsi="宋体" w:eastAsia="仿宋_GB2312" w:cs="宋体"/>
                <w:kern w:val="0"/>
                <w:sz w:val="20"/>
                <w:szCs w:val="20"/>
                <w:lang w:val="en-US" w:eastAsia="zh-CN"/>
              </w:rPr>
            </w:pPr>
            <w:r>
              <w:rPr>
                <w:rFonts w:hint="default" w:ascii="仿宋_GB2312" w:hAnsi="宋体" w:eastAsia="仿宋_GB2312" w:cs="宋体"/>
                <w:kern w:val="0"/>
                <w:sz w:val="20"/>
                <w:szCs w:val="20"/>
                <w:lang w:val="en"/>
              </w:rPr>
              <w:t>6</w:t>
            </w:r>
            <w:r>
              <w:rPr>
                <w:rFonts w:hint="eastAsia" w:ascii="仿宋_GB2312" w:hAnsi="宋体" w:eastAsia="仿宋_GB2312" w:cs="宋体"/>
                <w:kern w:val="0"/>
                <w:sz w:val="20"/>
                <w:szCs w:val="20"/>
                <w:lang w:val="en-US" w:eastAsia="zh-CN"/>
              </w:rPr>
              <w:t>0</w:t>
            </w:r>
          </w:p>
        </w:tc>
      </w:tr>
      <w:tr>
        <w:tblPrEx>
          <w:tblCellMar>
            <w:top w:w="0" w:type="dxa"/>
            <w:left w:w="108" w:type="dxa"/>
            <w:bottom w:w="0" w:type="dxa"/>
            <w:right w:w="108" w:type="dxa"/>
          </w:tblCellMar>
        </w:tblPrEx>
        <w:trPr>
          <w:trHeight w:val="370" w:hRule="atLeast"/>
          <w:jc w:val="center"/>
        </w:trPr>
        <w:tc>
          <w:tcPr>
            <w:tcW w:w="127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华文楷体" w:eastAsia="仿宋_GB2312" w:cs="宋体"/>
                <w:b/>
                <w:bCs/>
                <w:color w:val="000000"/>
                <w:kern w:val="0"/>
                <w:sz w:val="20"/>
                <w:szCs w:val="20"/>
              </w:rPr>
            </w:pPr>
          </w:p>
        </w:tc>
        <w:tc>
          <w:tcPr>
            <w:tcW w:w="3260" w:type="dxa"/>
            <w:tcBorders>
              <w:top w:val="single" w:color="auto" w:sz="4" w:space="0"/>
              <w:left w:val="nil"/>
              <w:bottom w:val="single" w:color="auto" w:sz="4" w:space="0"/>
              <w:right w:val="single" w:color="auto" w:sz="4" w:space="0"/>
            </w:tcBorders>
            <w:vAlign w:val="center"/>
          </w:tcPr>
          <w:p>
            <w:pPr>
              <w:widowControl/>
              <w:jc w:val="left"/>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私募基金管理产品（已备案）</w:t>
            </w:r>
          </w:p>
        </w:tc>
        <w:tc>
          <w:tcPr>
            <w:tcW w:w="992" w:type="dxa"/>
            <w:tcBorders>
              <w:top w:val="nil"/>
              <w:left w:val="nil"/>
              <w:bottom w:val="single" w:color="auto" w:sz="4" w:space="0"/>
              <w:right w:val="single" w:color="auto" w:sz="4" w:space="0"/>
            </w:tcBorders>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只</w:t>
            </w:r>
          </w:p>
        </w:tc>
        <w:tc>
          <w:tcPr>
            <w:tcW w:w="1276" w:type="dxa"/>
            <w:tcBorders>
              <w:top w:val="nil"/>
              <w:left w:val="nil"/>
              <w:bottom w:val="single" w:color="auto" w:sz="4" w:space="0"/>
              <w:right w:val="single" w:color="auto" w:sz="4" w:space="0"/>
            </w:tcBorders>
            <w:vAlign w:val="top"/>
          </w:tcPr>
          <w:p>
            <w:pPr>
              <w:widowControl/>
              <w:jc w:val="center"/>
              <w:rPr>
                <w:rFonts w:hint="default" w:ascii="仿宋_GB2312" w:hAnsi="华文楷体" w:eastAsia="仿宋_GB2312" w:cs="宋体"/>
                <w:kern w:val="0"/>
                <w:sz w:val="20"/>
                <w:szCs w:val="20"/>
                <w:lang w:val="en" w:eastAsia="zh-CN"/>
              </w:rPr>
            </w:pPr>
            <w:r>
              <w:rPr>
                <w:rFonts w:hint="eastAsia" w:ascii="仿宋_GB2312" w:hAnsi="华文楷体" w:eastAsia="仿宋_GB2312" w:cs="宋体"/>
                <w:i w:val="0"/>
                <w:iCs w:val="0"/>
                <w:kern w:val="0"/>
                <w:sz w:val="20"/>
                <w:szCs w:val="20"/>
                <w:lang w:val="en-US" w:eastAsia="zh-CN"/>
              </w:rPr>
              <w:t>260</w:t>
            </w:r>
          </w:p>
        </w:tc>
        <w:tc>
          <w:tcPr>
            <w:tcW w:w="1559" w:type="dxa"/>
            <w:tcBorders>
              <w:top w:val="nil"/>
              <w:left w:val="nil"/>
              <w:bottom w:val="single" w:color="auto" w:sz="4" w:space="0"/>
              <w:right w:val="single" w:color="auto" w:sz="4" w:space="0"/>
            </w:tcBorders>
            <w:vAlign w:val="top"/>
          </w:tcPr>
          <w:p>
            <w:pPr>
              <w:widowControl/>
              <w:jc w:val="center"/>
              <w:rPr>
                <w:rFonts w:hint="default" w:ascii="仿宋_GB2312" w:hAnsi="宋体" w:eastAsia="仿宋_GB2312" w:cs="宋体"/>
                <w:i w:val="0"/>
                <w:iCs w:val="0"/>
                <w:kern w:val="0"/>
                <w:sz w:val="20"/>
                <w:szCs w:val="20"/>
                <w:lang w:val="en-US"/>
              </w:rPr>
            </w:pPr>
            <w:r>
              <w:rPr>
                <w:rFonts w:hint="eastAsia" w:ascii="仿宋_GB2312" w:hAnsi="华文楷体" w:eastAsia="仿宋_GB2312" w:cs="宋体"/>
                <w:i w:val="0"/>
                <w:iCs w:val="0"/>
                <w:kern w:val="0"/>
                <w:sz w:val="20"/>
                <w:szCs w:val="20"/>
                <w:lang w:val="en-US" w:eastAsia="zh-CN"/>
              </w:rPr>
              <w:t>257</w:t>
            </w:r>
          </w:p>
        </w:tc>
      </w:tr>
      <w:tr>
        <w:tblPrEx>
          <w:tblCellMar>
            <w:top w:w="0" w:type="dxa"/>
            <w:left w:w="108" w:type="dxa"/>
            <w:bottom w:w="0" w:type="dxa"/>
            <w:right w:w="108" w:type="dxa"/>
          </w:tblCellMar>
        </w:tblPrEx>
        <w:trPr>
          <w:trHeight w:val="420" w:hRule="atLeast"/>
          <w:jc w:val="center"/>
        </w:trPr>
        <w:tc>
          <w:tcPr>
            <w:tcW w:w="127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华文楷体" w:eastAsia="仿宋_GB2312" w:cs="宋体"/>
                <w:b/>
                <w:bCs/>
                <w:color w:val="000000"/>
                <w:kern w:val="0"/>
                <w:sz w:val="20"/>
                <w:szCs w:val="20"/>
              </w:rPr>
            </w:pPr>
          </w:p>
        </w:tc>
        <w:tc>
          <w:tcPr>
            <w:tcW w:w="3260" w:type="dxa"/>
            <w:tcBorders>
              <w:top w:val="single" w:color="auto" w:sz="4" w:space="0"/>
              <w:left w:val="nil"/>
              <w:bottom w:val="single" w:color="auto" w:sz="4" w:space="0"/>
              <w:right w:val="single" w:color="auto" w:sz="4" w:space="0"/>
            </w:tcBorders>
            <w:vAlign w:val="center"/>
          </w:tcPr>
          <w:p>
            <w:pPr>
              <w:widowControl/>
              <w:jc w:val="left"/>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私募基金管理规模</w:t>
            </w:r>
          </w:p>
        </w:tc>
        <w:tc>
          <w:tcPr>
            <w:tcW w:w="992" w:type="dxa"/>
            <w:tcBorders>
              <w:top w:val="nil"/>
              <w:left w:val="nil"/>
              <w:bottom w:val="single" w:color="auto" w:sz="4" w:space="0"/>
              <w:right w:val="single" w:color="auto" w:sz="4" w:space="0"/>
            </w:tcBorders>
          </w:tcPr>
          <w:p>
            <w:pPr>
              <w:widowControl/>
              <w:jc w:val="center"/>
              <w:rPr>
                <w:rFonts w:ascii="仿宋_GB2312" w:hAnsi="华文楷体" w:eastAsia="仿宋_GB2312" w:cs="宋体"/>
                <w:color w:val="000000"/>
                <w:kern w:val="0"/>
                <w:sz w:val="20"/>
                <w:szCs w:val="20"/>
              </w:rPr>
            </w:pPr>
            <w:r>
              <w:rPr>
                <w:rFonts w:hint="eastAsia" w:ascii="仿宋_GB2312" w:hAnsi="华文楷体" w:eastAsia="仿宋_GB2312" w:cs="宋体"/>
                <w:color w:val="000000"/>
                <w:kern w:val="0"/>
                <w:sz w:val="20"/>
                <w:szCs w:val="20"/>
              </w:rPr>
              <w:t>亿元</w:t>
            </w:r>
          </w:p>
        </w:tc>
        <w:tc>
          <w:tcPr>
            <w:tcW w:w="1276" w:type="dxa"/>
            <w:tcBorders>
              <w:top w:val="nil"/>
              <w:left w:val="nil"/>
              <w:bottom w:val="single" w:color="auto" w:sz="4" w:space="0"/>
              <w:right w:val="single" w:color="auto" w:sz="4" w:space="0"/>
            </w:tcBorders>
            <w:vAlign w:val="center"/>
          </w:tcPr>
          <w:p>
            <w:pPr>
              <w:widowControl/>
              <w:jc w:val="center"/>
              <w:rPr>
                <w:rFonts w:hint="default" w:ascii="仿宋_GB2312" w:hAnsi="华文楷体" w:eastAsia="仿宋_GB2312" w:cs="宋体"/>
                <w:kern w:val="0"/>
                <w:sz w:val="20"/>
                <w:szCs w:val="20"/>
                <w:lang w:val="en-US" w:eastAsia="zh-CN"/>
              </w:rPr>
            </w:pPr>
            <w:r>
              <w:rPr>
                <w:rFonts w:hint="eastAsia" w:ascii="仿宋_GB2312" w:hAnsi="宋体" w:eastAsia="仿宋_GB2312" w:cs="宋体"/>
                <w:kern w:val="0"/>
                <w:sz w:val="20"/>
                <w:szCs w:val="20"/>
                <w:lang w:val="en-US" w:eastAsia="zh-CN"/>
              </w:rPr>
              <w:t>1799.48</w:t>
            </w:r>
          </w:p>
        </w:tc>
        <w:tc>
          <w:tcPr>
            <w:tcW w:w="1559" w:type="dxa"/>
            <w:tcBorders>
              <w:top w:val="nil"/>
              <w:left w:val="nil"/>
              <w:bottom w:val="single" w:color="auto" w:sz="4" w:space="0"/>
              <w:right w:val="single" w:color="auto" w:sz="4" w:space="0"/>
            </w:tcBorders>
            <w:vAlign w:val="center"/>
          </w:tcPr>
          <w:p>
            <w:pPr>
              <w:widowControl/>
              <w:jc w:val="center"/>
              <w:rPr>
                <w:rFonts w:hint="default" w:ascii="仿宋_GB2312" w:hAnsi="宋体" w:eastAsia="仿宋_GB2312" w:cs="宋体"/>
                <w:kern w:val="0"/>
                <w:sz w:val="20"/>
                <w:szCs w:val="20"/>
                <w:lang w:val="en-US" w:eastAsia="zh-CN"/>
              </w:rPr>
            </w:pPr>
            <w:r>
              <w:rPr>
                <w:rFonts w:hint="default" w:ascii="仿宋_GB2312" w:hAnsi="宋体" w:eastAsia="仿宋_GB2312" w:cs="宋体"/>
                <w:kern w:val="0"/>
                <w:sz w:val="20"/>
                <w:szCs w:val="20"/>
                <w:lang w:val="en" w:eastAsia="zh-CN"/>
              </w:rPr>
              <w:t>16</w:t>
            </w:r>
            <w:r>
              <w:rPr>
                <w:rFonts w:hint="eastAsia" w:ascii="仿宋_GB2312" w:hAnsi="宋体" w:eastAsia="仿宋_GB2312" w:cs="宋体"/>
                <w:kern w:val="0"/>
                <w:sz w:val="20"/>
                <w:szCs w:val="20"/>
                <w:lang w:val="en-US" w:eastAsia="zh-CN"/>
              </w:rPr>
              <w:t>10.35</w:t>
            </w:r>
          </w:p>
        </w:tc>
      </w:tr>
    </w:tbl>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b/>
          <w:bCs/>
          <w:color w:val="333333"/>
          <w:kern w:val="0"/>
          <w:sz w:val="32"/>
          <w:szCs w:val="32"/>
        </w:rPr>
      </w:pPr>
      <w:r>
        <w:rPr>
          <w:rFonts w:hint="eastAsia" w:ascii="仿宋_GB2312" w:hAnsi="宋体" w:eastAsia="仿宋_GB2312" w:cs="宋体"/>
          <w:b/>
          <w:bCs/>
          <w:color w:val="333333"/>
          <w:kern w:val="0"/>
          <w:sz w:val="32"/>
          <w:szCs w:val="32"/>
        </w:rPr>
        <w:t>数据指标说明：</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ascii="仿宋_GB2312" w:hAnsi="宋体" w:eastAsia="仿宋_GB2312" w:cs="宋体"/>
          <w:color w:val="333333"/>
          <w:kern w:val="0"/>
          <w:sz w:val="32"/>
          <w:szCs w:val="32"/>
        </w:rPr>
        <w:t>1.首发（IPO）融资额：指统计期内</w:t>
      </w:r>
      <w:r>
        <w:rPr>
          <w:rFonts w:hint="eastAsia" w:ascii="仿宋_GB2312" w:hAnsi="宋体" w:eastAsia="仿宋_GB2312" w:cs="宋体"/>
          <w:color w:val="333333"/>
          <w:kern w:val="0"/>
          <w:sz w:val="32"/>
          <w:szCs w:val="32"/>
          <w:lang w:eastAsia="zh-CN"/>
        </w:rPr>
        <w:t>贵州辖区</w:t>
      </w:r>
      <w:r>
        <w:rPr>
          <w:rFonts w:ascii="仿宋_GB2312" w:hAnsi="宋体" w:eastAsia="仿宋_GB2312" w:cs="宋体"/>
          <w:color w:val="333333"/>
          <w:kern w:val="0"/>
          <w:sz w:val="32"/>
          <w:szCs w:val="32"/>
        </w:rPr>
        <w:t>IPO筹集的资金总额。</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ascii="仿宋_GB2312" w:hAnsi="宋体" w:eastAsia="仿宋_GB2312" w:cs="宋体"/>
          <w:color w:val="333333"/>
          <w:kern w:val="0"/>
          <w:sz w:val="32"/>
          <w:szCs w:val="32"/>
        </w:rPr>
        <w:t>2.上市公司再融资额：</w:t>
      </w:r>
      <w:r>
        <w:rPr>
          <w:rFonts w:hint="eastAsia" w:ascii="仿宋_GB2312" w:hAnsi="宋体" w:eastAsia="仿宋_GB2312" w:cs="宋体"/>
          <w:color w:val="333333"/>
          <w:kern w:val="0"/>
          <w:sz w:val="32"/>
          <w:szCs w:val="32"/>
        </w:rPr>
        <w:t>指统计期内贵州辖区上市公司通过增发股份、配股、发行优先股、发行可转债等方式实现的融资总额。</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ascii="仿宋_GB2312" w:hAnsi="宋体" w:eastAsia="仿宋_GB2312" w:cs="宋体"/>
          <w:color w:val="333333"/>
          <w:kern w:val="0"/>
          <w:sz w:val="32"/>
          <w:szCs w:val="32"/>
        </w:rPr>
        <w:t>3.新三板融资额：指统计期内贵州辖区新三板挂牌公司通过配股、增发股份、发行优先股、发行可转债等方式实现的融资总额。</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ascii="仿宋_GB2312" w:hAnsi="宋体" w:eastAsia="仿宋_GB2312" w:cs="宋体"/>
          <w:color w:val="333333"/>
          <w:kern w:val="0"/>
          <w:sz w:val="32"/>
          <w:szCs w:val="32"/>
        </w:rPr>
        <w:t>4.优先股融资额：指统计期内</w:t>
      </w:r>
      <w:r>
        <w:rPr>
          <w:rFonts w:hint="eastAsia" w:ascii="仿宋_GB2312" w:hAnsi="宋体" w:eastAsia="仿宋_GB2312" w:cs="宋体"/>
          <w:color w:val="333333"/>
          <w:kern w:val="0"/>
          <w:sz w:val="32"/>
          <w:szCs w:val="32"/>
          <w:lang w:eastAsia="zh-CN"/>
        </w:rPr>
        <w:t>贵州辖区</w:t>
      </w:r>
      <w:r>
        <w:rPr>
          <w:rFonts w:ascii="仿宋_GB2312" w:hAnsi="宋体" w:eastAsia="仿宋_GB2312" w:cs="宋体"/>
          <w:color w:val="333333"/>
          <w:kern w:val="0"/>
          <w:sz w:val="32"/>
          <w:szCs w:val="32"/>
        </w:rPr>
        <w:t>上市公司、新三板挂牌公司发行优先股筹集的资金总额。</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ascii="仿宋_GB2312" w:hAnsi="宋体" w:eastAsia="仿宋_GB2312" w:cs="宋体"/>
          <w:color w:val="333333"/>
          <w:kern w:val="0"/>
          <w:sz w:val="32"/>
          <w:szCs w:val="32"/>
        </w:rPr>
        <w:t>5.公司</w:t>
      </w:r>
      <w:r>
        <w:rPr>
          <w:rFonts w:hint="eastAsia" w:ascii="仿宋_GB2312" w:hAnsi="宋体" w:eastAsia="仿宋_GB2312" w:cs="宋体"/>
          <w:color w:val="333333"/>
          <w:kern w:val="0"/>
          <w:sz w:val="32"/>
          <w:szCs w:val="32"/>
          <w:lang w:val="en-US" w:eastAsia="zh-CN"/>
        </w:rPr>
        <w:t>(企业)</w:t>
      </w:r>
      <w:r>
        <w:rPr>
          <w:rFonts w:ascii="仿宋_GB2312" w:hAnsi="宋体" w:eastAsia="仿宋_GB2312" w:cs="宋体"/>
          <w:color w:val="333333"/>
          <w:kern w:val="0"/>
          <w:sz w:val="32"/>
          <w:szCs w:val="32"/>
        </w:rPr>
        <w:t>债融资额：指统计期内注册地在贵州的公司通过发行公司</w:t>
      </w:r>
      <w:r>
        <w:rPr>
          <w:rFonts w:hint="eastAsia" w:ascii="仿宋_GB2312" w:hAnsi="宋体" w:eastAsia="仿宋_GB2312" w:cs="宋体"/>
          <w:color w:val="333333"/>
          <w:kern w:val="0"/>
          <w:sz w:val="32"/>
          <w:szCs w:val="32"/>
          <w:lang w:val="en-US" w:eastAsia="zh-CN"/>
        </w:rPr>
        <w:t>(企业)</w:t>
      </w:r>
      <w:r>
        <w:rPr>
          <w:rFonts w:ascii="仿宋_GB2312" w:hAnsi="宋体" w:eastAsia="仿宋_GB2312" w:cs="宋体"/>
          <w:color w:val="333333"/>
          <w:kern w:val="0"/>
          <w:sz w:val="32"/>
          <w:szCs w:val="32"/>
        </w:rPr>
        <w:t>债券实现的融资总额。</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ascii="仿宋_GB2312" w:hAnsi="宋体" w:eastAsia="仿宋_GB2312" w:cs="宋体"/>
          <w:color w:val="333333"/>
          <w:kern w:val="0"/>
          <w:sz w:val="32"/>
          <w:szCs w:val="32"/>
        </w:rPr>
        <w:t>6.可交换债融资额：指统计期内注册地在贵州的公司通过发行可交换债实现的融资总额。</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ascii="仿宋_GB2312" w:hAnsi="宋体" w:eastAsia="仿宋_GB2312" w:cs="宋体"/>
          <w:color w:val="333333"/>
          <w:kern w:val="0"/>
          <w:sz w:val="32"/>
          <w:szCs w:val="32"/>
        </w:rPr>
        <w:t>7.资产证券化产品融资额：指统计期内注册地在贵州的原始权益人通过发行资产证券化产品实现的融资总额。</w:t>
      </w:r>
    </w:p>
    <w:p>
      <w:pPr>
        <w:keepNext w:val="0"/>
        <w:keepLines w:val="0"/>
        <w:pageBreakBefore w:val="0"/>
        <w:widowControl/>
        <w:kinsoku/>
        <w:wordWrap/>
        <w:overflowPunct/>
        <w:topLinePunct w:val="0"/>
        <w:autoSpaceDE/>
        <w:autoSpaceDN/>
        <w:bidi w:val="0"/>
        <w:adjustRightInd/>
        <w:snapToGrid/>
        <w:spacing w:line="240" w:lineRule="auto"/>
        <w:ind w:firstLine="622" w:firstLineChars="200"/>
        <w:jc w:val="left"/>
        <w:textAlignment w:val="auto"/>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lang w:val="en-US" w:eastAsia="zh-CN"/>
        </w:rPr>
        <w:t>8</w:t>
      </w:r>
      <w:r>
        <w:rPr>
          <w:rFonts w:ascii="仿宋_GB2312" w:hAnsi="宋体" w:eastAsia="仿宋_GB2312" w:cs="宋体"/>
          <w:color w:val="333333"/>
          <w:kern w:val="0"/>
          <w:sz w:val="32"/>
          <w:szCs w:val="32"/>
        </w:rPr>
        <w:t>.证券成交金额：指统计期内贵州辖区股票、优先股、政府债、信用债、基金、债券、期权、回购成交金额合计（数据源于沪、深证券交易所）。</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lang w:val="en-US" w:eastAsia="zh-CN"/>
        </w:rPr>
        <w:t>9</w:t>
      </w:r>
      <w:r>
        <w:rPr>
          <w:rFonts w:ascii="仿宋_GB2312" w:hAnsi="宋体" w:eastAsia="仿宋_GB2312" w:cs="宋体"/>
          <w:color w:val="333333"/>
          <w:kern w:val="0"/>
          <w:sz w:val="32"/>
          <w:szCs w:val="32"/>
        </w:rPr>
        <w:t>.期货成交数量：指统计期内贵州辖区期货分支机构客户在特定单位时间内成交期货产品数量。</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ascii="仿宋_GB2312" w:hAnsi="宋体" w:eastAsia="仿宋_GB2312" w:cs="宋体"/>
          <w:color w:val="333333"/>
          <w:kern w:val="0"/>
          <w:sz w:val="32"/>
          <w:szCs w:val="32"/>
        </w:rPr>
        <w:t>1</w:t>
      </w:r>
      <w:r>
        <w:rPr>
          <w:rFonts w:hint="eastAsia" w:ascii="仿宋_GB2312" w:hAnsi="宋体" w:eastAsia="仿宋_GB2312" w:cs="宋体"/>
          <w:color w:val="333333"/>
          <w:kern w:val="0"/>
          <w:sz w:val="32"/>
          <w:szCs w:val="32"/>
          <w:lang w:val="en-US" w:eastAsia="zh-CN"/>
        </w:rPr>
        <w:t>0</w:t>
      </w:r>
      <w:r>
        <w:rPr>
          <w:rFonts w:ascii="仿宋_GB2312" w:hAnsi="宋体" w:eastAsia="仿宋_GB2312" w:cs="宋体"/>
          <w:color w:val="333333"/>
          <w:kern w:val="0"/>
          <w:sz w:val="32"/>
          <w:szCs w:val="32"/>
        </w:rPr>
        <w:t>.期货成交金额：指统计期内贵州辖区期货交易成交的数量乘以成交均价得到的成交金额。</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ascii="仿宋_GB2312" w:hAnsi="宋体" w:eastAsia="仿宋_GB2312" w:cs="宋体"/>
          <w:color w:val="333333"/>
          <w:kern w:val="0"/>
          <w:sz w:val="32"/>
          <w:szCs w:val="32"/>
        </w:rPr>
        <w:t>1</w:t>
      </w:r>
      <w:r>
        <w:rPr>
          <w:rFonts w:hint="eastAsia" w:ascii="仿宋_GB2312" w:hAnsi="宋体" w:eastAsia="仿宋_GB2312" w:cs="宋体"/>
          <w:color w:val="333333"/>
          <w:kern w:val="0"/>
          <w:sz w:val="32"/>
          <w:szCs w:val="32"/>
          <w:lang w:val="en-US" w:eastAsia="zh-CN"/>
        </w:rPr>
        <w:t>1</w:t>
      </w:r>
      <w:r>
        <w:rPr>
          <w:rFonts w:ascii="仿宋_GB2312" w:hAnsi="宋体" w:eastAsia="仿宋_GB2312" w:cs="宋体"/>
          <w:color w:val="333333"/>
          <w:kern w:val="0"/>
          <w:sz w:val="32"/>
          <w:szCs w:val="32"/>
        </w:rPr>
        <w:t>.上市公司数量：指在统计期末股票在沪、深证券交易所上市的贵州辖区股份有限公司数量合计。</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ascii="仿宋_GB2312" w:hAnsi="宋体" w:eastAsia="仿宋_GB2312" w:cs="宋体"/>
          <w:color w:val="333333"/>
          <w:kern w:val="0"/>
          <w:sz w:val="32"/>
          <w:szCs w:val="32"/>
        </w:rPr>
        <w:t>1</w:t>
      </w:r>
      <w:r>
        <w:rPr>
          <w:rFonts w:hint="eastAsia" w:ascii="仿宋_GB2312" w:hAnsi="宋体" w:eastAsia="仿宋_GB2312" w:cs="宋体"/>
          <w:color w:val="333333"/>
          <w:kern w:val="0"/>
          <w:sz w:val="32"/>
          <w:szCs w:val="32"/>
          <w:lang w:val="en-US" w:eastAsia="zh-CN"/>
        </w:rPr>
        <w:t>2</w:t>
      </w:r>
      <w:r>
        <w:rPr>
          <w:rFonts w:ascii="仿宋_GB2312" w:hAnsi="宋体" w:eastAsia="仿宋_GB2312" w:cs="宋体"/>
          <w:color w:val="333333"/>
          <w:kern w:val="0"/>
          <w:sz w:val="32"/>
          <w:szCs w:val="32"/>
        </w:rPr>
        <w:t>.上市公司总股本：指在统计期末贵州辖区上市公司发行的全部股份数量合计。</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ascii="仿宋_GB2312" w:hAnsi="宋体" w:eastAsia="仿宋_GB2312" w:cs="宋体"/>
          <w:color w:val="333333"/>
          <w:kern w:val="0"/>
          <w:sz w:val="32"/>
          <w:szCs w:val="32"/>
        </w:rPr>
        <w:t>1</w:t>
      </w:r>
      <w:r>
        <w:rPr>
          <w:rFonts w:hint="eastAsia" w:ascii="仿宋_GB2312" w:hAnsi="宋体" w:eastAsia="仿宋_GB2312" w:cs="宋体"/>
          <w:color w:val="333333"/>
          <w:kern w:val="0"/>
          <w:sz w:val="32"/>
          <w:szCs w:val="32"/>
          <w:lang w:val="en-US" w:eastAsia="zh-CN"/>
        </w:rPr>
        <w:t>3</w:t>
      </w:r>
      <w:r>
        <w:rPr>
          <w:rFonts w:ascii="仿宋_GB2312" w:hAnsi="宋体" w:eastAsia="仿宋_GB2312" w:cs="宋体"/>
          <w:color w:val="333333"/>
          <w:kern w:val="0"/>
          <w:sz w:val="32"/>
          <w:szCs w:val="32"/>
        </w:rPr>
        <w:t>.上市公司总市值：指在统计期末贵州辖区上市公司各自发行的股票其价格与相对应的股本计算得来的股权价值合计。</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ascii="仿宋_GB2312" w:hAnsi="宋体" w:eastAsia="仿宋_GB2312" w:cs="宋体"/>
          <w:color w:val="333333"/>
          <w:kern w:val="0"/>
          <w:sz w:val="32"/>
          <w:szCs w:val="32"/>
        </w:rPr>
        <w:t>1</w:t>
      </w:r>
      <w:r>
        <w:rPr>
          <w:rFonts w:hint="eastAsia" w:ascii="仿宋_GB2312" w:hAnsi="宋体" w:eastAsia="仿宋_GB2312" w:cs="宋体"/>
          <w:color w:val="333333"/>
          <w:kern w:val="0"/>
          <w:sz w:val="32"/>
          <w:szCs w:val="32"/>
          <w:lang w:val="en-US" w:eastAsia="zh-CN"/>
        </w:rPr>
        <w:t>4</w:t>
      </w:r>
      <w:r>
        <w:rPr>
          <w:rFonts w:ascii="仿宋_GB2312" w:hAnsi="宋体" w:eastAsia="仿宋_GB2312" w:cs="宋体"/>
          <w:color w:val="333333"/>
          <w:kern w:val="0"/>
          <w:sz w:val="32"/>
          <w:szCs w:val="32"/>
        </w:rPr>
        <w:t>.新三板挂牌公司数量：指在统计期末股票在全国股转系统挂牌的贵州辖区股份有限公司的数量合计。</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ascii="仿宋_GB2312" w:hAnsi="宋体" w:eastAsia="仿宋_GB2312" w:cs="宋体"/>
          <w:color w:val="333333"/>
          <w:kern w:val="0"/>
          <w:sz w:val="32"/>
          <w:szCs w:val="32"/>
        </w:rPr>
        <w:t>1</w:t>
      </w:r>
      <w:r>
        <w:rPr>
          <w:rFonts w:hint="eastAsia" w:ascii="仿宋_GB2312" w:hAnsi="宋体" w:eastAsia="仿宋_GB2312" w:cs="宋体"/>
          <w:color w:val="333333"/>
          <w:kern w:val="0"/>
          <w:sz w:val="32"/>
          <w:szCs w:val="32"/>
          <w:lang w:val="en-US" w:eastAsia="zh-CN"/>
        </w:rPr>
        <w:t>5</w:t>
      </w:r>
      <w:r>
        <w:rPr>
          <w:rFonts w:ascii="仿宋_GB2312" w:hAnsi="宋体" w:eastAsia="仿宋_GB2312" w:cs="宋体"/>
          <w:color w:val="333333"/>
          <w:kern w:val="0"/>
          <w:sz w:val="32"/>
          <w:szCs w:val="32"/>
        </w:rPr>
        <w:t>.新三板挂牌公司总股本：指在统计期末贵州辖区新三板挂牌公司全部股份数量合计。</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1</w:t>
      </w:r>
      <w:r>
        <w:rPr>
          <w:rFonts w:hint="eastAsia" w:ascii="仿宋_GB2312" w:hAnsi="宋体" w:eastAsia="仿宋_GB2312" w:cs="宋体"/>
          <w:color w:val="333333"/>
          <w:kern w:val="0"/>
          <w:sz w:val="32"/>
          <w:szCs w:val="32"/>
          <w:lang w:val="en-US" w:eastAsia="zh-CN"/>
        </w:rPr>
        <w:t>6</w:t>
      </w:r>
      <w:r>
        <w:rPr>
          <w:rFonts w:ascii="仿宋_GB2312" w:hAnsi="宋体" w:eastAsia="仿宋_GB2312" w:cs="宋体"/>
          <w:color w:val="333333"/>
          <w:kern w:val="0"/>
          <w:sz w:val="32"/>
          <w:szCs w:val="32"/>
        </w:rPr>
        <w:t>.拟上市公司数量：指在统计期末已向我局辅导备案且未上市的辅导备案公司数量合计。</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lang w:val="en-US" w:eastAsia="zh-CN"/>
        </w:rPr>
        <w:t>17</w:t>
      </w:r>
      <w:r>
        <w:rPr>
          <w:rFonts w:ascii="仿宋_GB2312" w:hAnsi="宋体" w:eastAsia="仿宋_GB2312" w:cs="宋体"/>
          <w:color w:val="333333"/>
          <w:kern w:val="0"/>
          <w:sz w:val="32"/>
          <w:szCs w:val="32"/>
        </w:rPr>
        <w:t>.证券公司数量：指在统计期末贵州辖区内已注册登记的证券公司数量合计。</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lang w:val="en-US" w:eastAsia="zh-CN"/>
        </w:rPr>
        <w:t>18</w:t>
      </w:r>
      <w:r>
        <w:rPr>
          <w:rFonts w:ascii="仿宋_GB2312" w:hAnsi="宋体" w:eastAsia="仿宋_GB2312" w:cs="宋体"/>
          <w:color w:val="333333"/>
          <w:kern w:val="0"/>
          <w:sz w:val="32"/>
          <w:szCs w:val="32"/>
        </w:rPr>
        <w:t>.证券分公司数量：指在统计期末贵州辖区内已注册登记的证券分公司数量合计。</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lang w:val="en-US" w:eastAsia="zh-CN"/>
        </w:rPr>
        <w:t>19</w:t>
      </w:r>
      <w:r>
        <w:rPr>
          <w:rFonts w:ascii="仿宋_GB2312" w:hAnsi="宋体" w:eastAsia="仿宋_GB2312" w:cs="宋体"/>
          <w:color w:val="333333"/>
          <w:kern w:val="0"/>
          <w:sz w:val="32"/>
          <w:szCs w:val="32"/>
        </w:rPr>
        <w:t>.证券营业部数量：指在统计期末贵州辖区内已注册登记的证券营业部数量合计。</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2</w:t>
      </w:r>
      <w:r>
        <w:rPr>
          <w:rFonts w:hint="eastAsia" w:ascii="仿宋_GB2312" w:hAnsi="宋体" w:eastAsia="仿宋_GB2312" w:cs="宋体"/>
          <w:color w:val="333333"/>
          <w:kern w:val="0"/>
          <w:sz w:val="32"/>
          <w:szCs w:val="32"/>
          <w:lang w:val="en-US" w:eastAsia="zh-CN"/>
        </w:rPr>
        <w:t>0</w:t>
      </w:r>
      <w:r>
        <w:rPr>
          <w:rFonts w:ascii="仿宋_GB2312" w:hAnsi="宋体" w:eastAsia="仿宋_GB2312" w:cs="宋体"/>
          <w:color w:val="333333"/>
          <w:kern w:val="0"/>
          <w:sz w:val="32"/>
          <w:szCs w:val="32"/>
        </w:rPr>
        <w:t>.证券从业人员数量：指在统计期末贵州辖区内已注册登记的证券分支机构从业人员数量合计。</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2</w:t>
      </w:r>
      <w:r>
        <w:rPr>
          <w:rFonts w:hint="eastAsia" w:ascii="仿宋_GB2312" w:hAnsi="宋体" w:eastAsia="仿宋_GB2312" w:cs="宋体"/>
          <w:color w:val="333333"/>
          <w:kern w:val="0"/>
          <w:sz w:val="32"/>
          <w:szCs w:val="32"/>
          <w:lang w:val="en-US" w:eastAsia="zh-CN"/>
        </w:rPr>
        <w:t>1</w:t>
      </w:r>
      <w:r>
        <w:rPr>
          <w:rFonts w:ascii="仿宋_GB2312" w:hAnsi="宋体" w:eastAsia="仿宋_GB2312" w:cs="宋体"/>
          <w:color w:val="333333"/>
          <w:kern w:val="0"/>
          <w:sz w:val="32"/>
          <w:szCs w:val="32"/>
        </w:rPr>
        <w:t>.证券投资者资金账户数量：指在统计期末投资者在辖区内证券分支机构开立用于证券交易资金清算的专用账户数量合计。</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2</w:t>
      </w:r>
      <w:r>
        <w:rPr>
          <w:rFonts w:hint="eastAsia" w:ascii="仿宋_GB2312" w:hAnsi="宋体" w:eastAsia="仿宋_GB2312" w:cs="宋体"/>
          <w:color w:val="333333"/>
          <w:kern w:val="0"/>
          <w:sz w:val="32"/>
          <w:szCs w:val="32"/>
          <w:lang w:val="en-US" w:eastAsia="zh-CN"/>
        </w:rPr>
        <w:t>2</w:t>
      </w:r>
      <w:r>
        <w:rPr>
          <w:rFonts w:ascii="仿宋_GB2312" w:hAnsi="宋体" w:eastAsia="仿宋_GB2312" w:cs="宋体"/>
          <w:color w:val="333333"/>
          <w:kern w:val="0"/>
          <w:sz w:val="32"/>
          <w:szCs w:val="32"/>
        </w:rPr>
        <w:t>.期货营业部数量：指在统计期末贵州辖区内已注册登记的期货营业部数量（含分公司）合计。</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2</w:t>
      </w:r>
      <w:r>
        <w:rPr>
          <w:rFonts w:hint="eastAsia" w:ascii="仿宋_GB2312" w:hAnsi="宋体" w:eastAsia="仿宋_GB2312" w:cs="宋体"/>
          <w:color w:val="333333"/>
          <w:kern w:val="0"/>
          <w:sz w:val="32"/>
          <w:szCs w:val="32"/>
          <w:lang w:val="en-US" w:eastAsia="zh-CN"/>
        </w:rPr>
        <w:t>3</w:t>
      </w:r>
      <w:r>
        <w:rPr>
          <w:rFonts w:ascii="仿宋_GB2312" w:hAnsi="宋体" w:eastAsia="仿宋_GB2312" w:cs="宋体"/>
          <w:color w:val="333333"/>
          <w:kern w:val="0"/>
          <w:sz w:val="32"/>
          <w:szCs w:val="32"/>
        </w:rPr>
        <w:t>.期货从业人员数量：指在统计期末贵州辖区内已注册登记的期货从业人员数量合计。</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2</w:t>
      </w:r>
      <w:r>
        <w:rPr>
          <w:rFonts w:hint="eastAsia" w:ascii="仿宋_GB2312" w:hAnsi="宋体" w:eastAsia="仿宋_GB2312" w:cs="宋体"/>
          <w:color w:val="333333"/>
          <w:kern w:val="0"/>
          <w:sz w:val="32"/>
          <w:szCs w:val="32"/>
          <w:lang w:val="en-US" w:eastAsia="zh-CN"/>
        </w:rPr>
        <w:t>4</w:t>
      </w:r>
      <w:r>
        <w:rPr>
          <w:rFonts w:ascii="仿宋_GB2312" w:hAnsi="宋体" w:eastAsia="仿宋_GB2312" w:cs="宋体"/>
          <w:color w:val="333333"/>
          <w:kern w:val="0"/>
          <w:sz w:val="32"/>
          <w:szCs w:val="32"/>
        </w:rPr>
        <w:t>.期货投资者资金账户数量：指在统计期末投资者在贵州辖区内期货分支机构开立用于期货交易资金清算的专用账户数量合计。</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2</w:t>
      </w:r>
      <w:r>
        <w:rPr>
          <w:rFonts w:hint="eastAsia" w:ascii="仿宋_GB2312" w:hAnsi="宋体" w:eastAsia="仿宋_GB2312" w:cs="宋体"/>
          <w:color w:val="333333"/>
          <w:kern w:val="0"/>
          <w:sz w:val="32"/>
          <w:szCs w:val="32"/>
          <w:lang w:val="en-US" w:eastAsia="zh-CN"/>
        </w:rPr>
        <w:t>5</w:t>
      </w:r>
      <w:r>
        <w:rPr>
          <w:rFonts w:ascii="仿宋_GB2312" w:hAnsi="宋体" w:eastAsia="仿宋_GB2312" w:cs="宋体"/>
          <w:color w:val="333333"/>
          <w:kern w:val="0"/>
          <w:sz w:val="32"/>
          <w:szCs w:val="32"/>
        </w:rPr>
        <w:t>.私募基金管理人数量：指在统计期末注册地在贵州</w:t>
      </w:r>
      <w:r>
        <w:rPr>
          <w:rFonts w:hint="eastAsia" w:ascii="仿宋_GB2312" w:hAnsi="宋体" w:eastAsia="仿宋_GB2312" w:cs="宋体"/>
          <w:color w:val="333333"/>
          <w:kern w:val="0"/>
          <w:sz w:val="32"/>
          <w:szCs w:val="32"/>
        </w:rPr>
        <w:t>辖区内的私募基金管理人数量合计。</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2</w:t>
      </w:r>
      <w:r>
        <w:rPr>
          <w:rFonts w:hint="eastAsia" w:ascii="仿宋_GB2312" w:hAnsi="宋体" w:eastAsia="仿宋_GB2312" w:cs="宋体"/>
          <w:color w:val="333333"/>
          <w:kern w:val="0"/>
          <w:sz w:val="32"/>
          <w:szCs w:val="32"/>
          <w:lang w:val="en-US" w:eastAsia="zh-CN"/>
        </w:rPr>
        <w:t>6</w:t>
      </w:r>
      <w:r>
        <w:rPr>
          <w:rFonts w:ascii="仿宋_GB2312" w:hAnsi="宋体" w:eastAsia="仿宋_GB2312" w:cs="宋体"/>
          <w:color w:val="333333"/>
          <w:kern w:val="0"/>
          <w:sz w:val="32"/>
          <w:szCs w:val="32"/>
        </w:rPr>
        <w:t>.私募基金管理产品数量：指在统计期末注册地在贵州辖区内的私募基金管理人所管理的基金只数合计。</w:t>
      </w:r>
    </w:p>
    <w:p>
      <w:pPr>
        <w:keepNext w:val="0"/>
        <w:keepLines w:val="0"/>
        <w:pageBreakBefore w:val="0"/>
        <w:tabs>
          <w:tab w:val="left" w:pos="709"/>
        </w:tabs>
        <w:kinsoku/>
        <w:wordWrap/>
        <w:overflowPunct/>
        <w:topLinePunct w:val="0"/>
        <w:autoSpaceDE/>
        <w:autoSpaceDN/>
        <w:bidi w:val="0"/>
        <w:adjustRightInd/>
        <w:snapToGrid/>
        <w:spacing w:line="240" w:lineRule="auto"/>
        <w:ind w:firstLine="622" w:firstLineChars="200"/>
        <w:textAlignment w:val="auto"/>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lang w:val="en-US" w:eastAsia="zh-CN"/>
        </w:rPr>
        <w:t>27</w:t>
      </w:r>
      <w:r>
        <w:rPr>
          <w:rFonts w:ascii="仿宋_GB2312" w:hAnsi="宋体" w:eastAsia="仿宋_GB2312" w:cs="宋体"/>
          <w:color w:val="333333"/>
          <w:kern w:val="0"/>
          <w:sz w:val="32"/>
          <w:szCs w:val="32"/>
        </w:rPr>
        <w:t>.私募基金管理规模：指在统计期末注册地在贵州辖区内的私募基金管理人所管理的基金规模（净资产）。</w:t>
      </w:r>
    </w:p>
    <w:p>
      <w:pPr>
        <w:keepNext w:val="0"/>
        <w:keepLines w:val="0"/>
        <w:pageBreakBefore w:val="0"/>
        <w:kinsoku/>
        <w:wordWrap/>
        <w:overflowPunct/>
        <w:topLinePunct w:val="0"/>
        <w:autoSpaceDE/>
        <w:autoSpaceDN/>
        <w:bidi w:val="0"/>
        <w:adjustRightInd/>
        <w:snapToGrid/>
        <w:spacing w:before="156" w:line="240" w:lineRule="auto"/>
        <w:textAlignment w:val="auto"/>
      </w:pPr>
    </w:p>
    <w:sectPr>
      <w:footerReference r:id="rId3" w:type="default"/>
      <w:pgSz w:w="11906" w:h="16838"/>
      <w:pgMar w:top="2098" w:right="1531" w:bottom="1417" w:left="1531" w:header="851" w:footer="1417" w:gutter="0"/>
      <w:pgNumType w:fmt="numberInDash"/>
      <w:cols w:space="0" w:num="1"/>
      <w:rtlGutter w:val="0"/>
      <w:docGrid w:type="linesAndChars" w:linePitch="302"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华文楷体">
    <w:altName w:val="方正楷体_GBK"/>
    <w:panose1 w:val="02010600040101010101"/>
    <w:charset w:val="86"/>
    <w:family w:val="auto"/>
    <w:pitch w:val="default"/>
    <w:sig w:usb0="00000000" w:usb1="00000000" w:usb2="00000010" w:usb3="00000000" w:csb0="000400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snapToGrid w:val="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- 5 -</w:t>
                          </w:r>
                          <w:r>
                            <w:rPr>
                              <w:rFonts w:hint="eastAsia" w:ascii="宋体" w:hAnsi="宋体" w:eastAsia="宋体" w:cs="宋体"/>
                              <w:sz w:val="28"/>
                              <w:szCs w:val="28"/>
                            </w:rPr>
                            <w:fldChar w:fldCharType="end"/>
                          </w:r>
                        </w:p>
                      </w:txbxContent>
                    </wps:txbx>
                    <wps:bodyPr wrap="none" lIns="0" tIns="0" rIns="0" bIns="0" upright="true">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zql5uc8AAAAFAQAADwAAAAAAAAABACAAAAA4AAAAZHJzL2Rvd25yZXYueG1s&#10;UEsBAhQAFAAAAAgAh07iQFcpx3uyAQAAUQMAAA4AAAAAAAAAAQAgAAAANAEAAGRycy9lMm9Eb2Mu&#10;eG1sUEsFBgAAAAAGAAYAWQEAAFgFAAAAAA==&#10;">
              <v:fill on="f" focussize="0,0"/>
              <v:stroke on="f"/>
              <v:imagedata o:title=""/>
              <o:lock v:ext="edit" aspectratio="f"/>
              <v:textbox inset="0mm,0mm,0mm,0mm" style="mso-fit-shape-to-text:t;">
                <w:txbxContent>
                  <w:p>
                    <w:pPr>
                      <w:snapToGrid w:val="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- 5 -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false"/>
  <w:bordersDoNotSurroundFooter w:val="false"/>
  <w:trackRevisions w:val="true"/>
  <w:documentProtection w:formatting="1" w:enforcement="0"/>
  <w:defaultTabStop w:val="420"/>
  <w:drawingGridHorizontalSpacing w:val="101"/>
  <w:drawingGridVerticalSpacing w:val="151"/>
  <w:displayHorizontalDrawingGridEvery w:val="1"/>
  <w:displayVerticalDrawingGridEvery w:val="1"/>
  <w:noPunctuationKerning w:val="true"/>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0.147.182:80/GZZJJ/OfficeServer;jsessionid=45C197BE39ECD119B6AD6E9794666193"/>
  </w:docVars>
  <w:rsids>
    <w:rsidRoot w:val="00AF7787"/>
    <w:rsid w:val="0000218F"/>
    <w:rsid w:val="0000325B"/>
    <w:rsid w:val="00014846"/>
    <w:rsid w:val="00020DCC"/>
    <w:rsid w:val="0003124A"/>
    <w:rsid w:val="00044197"/>
    <w:rsid w:val="0006083C"/>
    <w:rsid w:val="00065D15"/>
    <w:rsid w:val="00074140"/>
    <w:rsid w:val="0008102F"/>
    <w:rsid w:val="00084B23"/>
    <w:rsid w:val="0009237B"/>
    <w:rsid w:val="000975F0"/>
    <w:rsid w:val="000B034E"/>
    <w:rsid w:val="000B25C4"/>
    <w:rsid w:val="000D2A8F"/>
    <w:rsid w:val="000D7EAB"/>
    <w:rsid w:val="000E6BBF"/>
    <w:rsid w:val="000E74D1"/>
    <w:rsid w:val="00104CAA"/>
    <w:rsid w:val="001125B9"/>
    <w:rsid w:val="001271DD"/>
    <w:rsid w:val="00130941"/>
    <w:rsid w:val="00132107"/>
    <w:rsid w:val="00137ED1"/>
    <w:rsid w:val="00146C29"/>
    <w:rsid w:val="00154BE6"/>
    <w:rsid w:val="0015592F"/>
    <w:rsid w:val="00170025"/>
    <w:rsid w:val="00175953"/>
    <w:rsid w:val="00180431"/>
    <w:rsid w:val="001852B1"/>
    <w:rsid w:val="0019762C"/>
    <w:rsid w:val="001A0AA9"/>
    <w:rsid w:val="001A2DB4"/>
    <w:rsid w:val="001A45A3"/>
    <w:rsid w:val="001A5BFD"/>
    <w:rsid w:val="001B09C1"/>
    <w:rsid w:val="001B2122"/>
    <w:rsid w:val="001B2E5C"/>
    <w:rsid w:val="001B4388"/>
    <w:rsid w:val="001C2955"/>
    <w:rsid w:val="001D029B"/>
    <w:rsid w:val="001E40BC"/>
    <w:rsid w:val="001F47DD"/>
    <w:rsid w:val="00202564"/>
    <w:rsid w:val="00206716"/>
    <w:rsid w:val="002157A8"/>
    <w:rsid w:val="00222404"/>
    <w:rsid w:val="00225CBC"/>
    <w:rsid w:val="00256E18"/>
    <w:rsid w:val="00265D09"/>
    <w:rsid w:val="00273E01"/>
    <w:rsid w:val="002A1372"/>
    <w:rsid w:val="002A54BB"/>
    <w:rsid w:val="002B7EAB"/>
    <w:rsid w:val="002C6E70"/>
    <w:rsid w:val="002E1A88"/>
    <w:rsid w:val="002E3A49"/>
    <w:rsid w:val="003054C5"/>
    <w:rsid w:val="00316D4B"/>
    <w:rsid w:val="00317A38"/>
    <w:rsid w:val="003240E6"/>
    <w:rsid w:val="003302A8"/>
    <w:rsid w:val="00332099"/>
    <w:rsid w:val="00333E15"/>
    <w:rsid w:val="00335FAD"/>
    <w:rsid w:val="00341B87"/>
    <w:rsid w:val="003446C6"/>
    <w:rsid w:val="00346210"/>
    <w:rsid w:val="003466DD"/>
    <w:rsid w:val="00346919"/>
    <w:rsid w:val="00352B63"/>
    <w:rsid w:val="00354DED"/>
    <w:rsid w:val="00357F5A"/>
    <w:rsid w:val="00362552"/>
    <w:rsid w:val="00362DD6"/>
    <w:rsid w:val="0036600E"/>
    <w:rsid w:val="00380E5C"/>
    <w:rsid w:val="003A0CF2"/>
    <w:rsid w:val="003A678D"/>
    <w:rsid w:val="003A7BB5"/>
    <w:rsid w:val="003B0850"/>
    <w:rsid w:val="003B1647"/>
    <w:rsid w:val="003D4D7C"/>
    <w:rsid w:val="00410B51"/>
    <w:rsid w:val="004122D8"/>
    <w:rsid w:val="00416569"/>
    <w:rsid w:val="0042572A"/>
    <w:rsid w:val="004308C6"/>
    <w:rsid w:val="00436FBF"/>
    <w:rsid w:val="00441282"/>
    <w:rsid w:val="0044138A"/>
    <w:rsid w:val="00441506"/>
    <w:rsid w:val="00444DB6"/>
    <w:rsid w:val="00445A93"/>
    <w:rsid w:val="00454527"/>
    <w:rsid w:val="00464E28"/>
    <w:rsid w:val="00466357"/>
    <w:rsid w:val="00467C56"/>
    <w:rsid w:val="00475E54"/>
    <w:rsid w:val="004871D3"/>
    <w:rsid w:val="004A0FEA"/>
    <w:rsid w:val="004A41BA"/>
    <w:rsid w:val="004A7FD5"/>
    <w:rsid w:val="004B05A6"/>
    <w:rsid w:val="004B334F"/>
    <w:rsid w:val="004B5F12"/>
    <w:rsid w:val="004D4057"/>
    <w:rsid w:val="004D4DCE"/>
    <w:rsid w:val="004E771F"/>
    <w:rsid w:val="004F10BB"/>
    <w:rsid w:val="004F52CC"/>
    <w:rsid w:val="004F7697"/>
    <w:rsid w:val="005108F5"/>
    <w:rsid w:val="00514800"/>
    <w:rsid w:val="005151E0"/>
    <w:rsid w:val="005268CF"/>
    <w:rsid w:val="005331B2"/>
    <w:rsid w:val="005352B8"/>
    <w:rsid w:val="00564A3E"/>
    <w:rsid w:val="00565014"/>
    <w:rsid w:val="00582BDA"/>
    <w:rsid w:val="005840C0"/>
    <w:rsid w:val="005A2A57"/>
    <w:rsid w:val="005A3500"/>
    <w:rsid w:val="005B3131"/>
    <w:rsid w:val="005C1722"/>
    <w:rsid w:val="005C4F60"/>
    <w:rsid w:val="005F39FC"/>
    <w:rsid w:val="00606EB1"/>
    <w:rsid w:val="00607ECE"/>
    <w:rsid w:val="00613BB9"/>
    <w:rsid w:val="00617C67"/>
    <w:rsid w:val="00633CAA"/>
    <w:rsid w:val="00633CE0"/>
    <w:rsid w:val="00637534"/>
    <w:rsid w:val="00653B11"/>
    <w:rsid w:val="00654B3F"/>
    <w:rsid w:val="00663206"/>
    <w:rsid w:val="006672BA"/>
    <w:rsid w:val="00686B9B"/>
    <w:rsid w:val="00697CA2"/>
    <w:rsid w:val="006A3610"/>
    <w:rsid w:val="006A6F29"/>
    <w:rsid w:val="006B0593"/>
    <w:rsid w:val="006B5822"/>
    <w:rsid w:val="006C40B5"/>
    <w:rsid w:val="006D0A52"/>
    <w:rsid w:val="006D498D"/>
    <w:rsid w:val="006E71E8"/>
    <w:rsid w:val="00701356"/>
    <w:rsid w:val="00705D92"/>
    <w:rsid w:val="00707289"/>
    <w:rsid w:val="007218FC"/>
    <w:rsid w:val="00726659"/>
    <w:rsid w:val="007312EC"/>
    <w:rsid w:val="007325E7"/>
    <w:rsid w:val="00745006"/>
    <w:rsid w:val="00752D60"/>
    <w:rsid w:val="00760935"/>
    <w:rsid w:val="00767F78"/>
    <w:rsid w:val="00785BB6"/>
    <w:rsid w:val="00792C18"/>
    <w:rsid w:val="00796E3E"/>
    <w:rsid w:val="007A15D4"/>
    <w:rsid w:val="007A3ED4"/>
    <w:rsid w:val="007A72F5"/>
    <w:rsid w:val="007B39F8"/>
    <w:rsid w:val="007C54E3"/>
    <w:rsid w:val="007D0FC4"/>
    <w:rsid w:val="007D10A1"/>
    <w:rsid w:val="007D154E"/>
    <w:rsid w:val="007D74B6"/>
    <w:rsid w:val="007E1E8C"/>
    <w:rsid w:val="007E42D2"/>
    <w:rsid w:val="007F0D36"/>
    <w:rsid w:val="007F1DD1"/>
    <w:rsid w:val="0080241A"/>
    <w:rsid w:val="0081695B"/>
    <w:rsid w:val="00820334"/>
    <w:rsid w:val="00821A23"/>
    <w:rsid w:val="00835469"/>
    <w:rsid w:val="0084287A"/>
    <w:rsid w:val="0085219A"/>
    <w:rsid w:val="00854EA5"/>
    <w:rsid w:val="00860E28"/>
    <w:rsid w:val="00864D4D"/>
    <w:rsid w:val="008666A3"/>
    <w:rsid w:val="00866C82"/>
    <w:rsid w:val="00872D64"/>
    <w:rsid w:val="0087522B"/>
    <w:rsid w:val="00876B64"/>
    <w:rsid w:val="00882628"/>
    <w:rsid w:val="00884777"/>
    <w:rsid w:val="008A2DAB"/>
    <w:rsid w:val="008A7951"/>
    <w:rsid w:val="008D3266"/>
    <w:rsid w:val="008E1744"/>
    <w:rsid w:val="008E3022"/>
    <w:rsid w:val="008E361C"/>
    <w:rsid w:val="008E6008"/>
    <w:rsid w:val="008E7155"/>
    <w:rsid w:val="008F0A41"/>
    <w:rsid w:val="008F190B"/>
    <w:rsid w:val="008F7862"/>
    <w:rsid w:val="008F7976"/>
    <w:rsid w:val="00905FCF"/>
    <w:rsid w:val="009066DD"/>
    <w:rsid w:val="0091020A"/>
    <w:rsid w:val="00910371"/>
    <w:rsid w:val="00911D16"/>
    <w:rsid w:val="00934905"/>
    <w:rsid w:val="00940ED9"/>
    <w:rsid w:val="00946FA6"/>
    <w:rsid w:val="00953340"/>
    <w:rsid w:val="00953ADB"/>
    <w:rsid w:val="00954F07"/>
    <w:rsid w:val="00957EB5"/>
    <w:rsid w:val="0097222C"/>
    <w:rsid w:val="00985CA5"/>
    <w:rsid w:val="00996727"/>
    <w:rsid w:val="009B469B"/>
    <w:rsid w:val="009C0CEB"/>
    <w:rsid w:val="009C4126"/>
    <w:rsid w:val="009C47B3"/>
    <w:rsid w:val="009D0386"/>
    <w:rsid w:val="009D7748"/>
    <w:rsid w:val="009F2054"/>
    <w:rsid w:val="009F2480"/>
    <w:rsid w:val="009F500F"/>
    <w:rsid w:val="009F5440"/>
    <w:rsid w:val="00A025A3"/>
    <w:rsid w:val="00A0456C"/>
    <w:rsid w:val="00A36D83"/>
    <w:rsid w:val="00A37B4C"/>
    <w:rsid w:val="00A47B93"/>
    <w:rsid w:val="00A51F98"/>
    <w:rsid w:val="00A56B1D"/>
    <w:rsid w:val="00A61E9E"/>
    <w:rsid w:val="00A72D05"/>
    <w:rsid w:val="00A7743D"/>
    <w:rsid w:val="00A86BFC"/>
    <w:rsid w:val="00A96154"/>
    <w:rsid w:val="00A97E92"/>
    <w:rsid w:val="00AD1E12"/>
    <w:rsid w:val="00AD4CD6"/>
    <w:rsid w:val="00AD7098"/>
    <w:rsid w:val="00AE1F88"/>
    <w:rsid w:val="00AE5B60"/>
    <w:rsid w:val="00AE6E47"/>
    <w:rsid w:val="00AF10EC"/>
    <w:rsid w:val="00AF7787"/>
    <w:rsid w:val="00B02B53"/>
    <w:rsid w:val="00B103F5"/>
    <w:rsid w:val="00B1100F"/>
    <w:rsid w:val="00B12477"/>
    <w:rsid w:val="00B34171"/>
    <w:rsid w:val="00B52C73"/>
    <w:rsid w:val="00B549E8"/>
    <w:rsid w:val="00B711FB"/>
    <w:rsid w:val="00B7734C"/>
    <w:rsid w:val="00B83B86"/>
    <w:rsid w:val="00B8737D"/>
    <w:rsid w:val="00B9778A"/>
    <w:rsid w:val="00BA0221"/>
    <w:rsid w:val="00BB51B8"/>
    <w:rsid w:val="00BB60A6"/>
    <w:rsid w:val="00BD796B"/>
    <w:rsid w:val="00BF0F51"/>
    <w:rsid w:val="00C11785"/>
    <w:rsid w:val="00C12F34"/>
    <w:rsid w:val="00C20B45"/>
    <w:rsid w:val="00C250CA"/>
    <w:rsid w:val="00C31A26"/>
    <w:rsid w:val="00C334BC"/>
    <w:rsid w:val="00C456CE"/>
    <w:rsid w:val="00C57813"/>
    <w:rsid w:val="00C70A5D"/>
    <w:rsid w:val="00C8336A"/>
    <w:rsid w:val="00C97E24"/>
    <w:rsid w:val="00CB6034"/>
    <w:rsid w:val="00CC2C8A"/>
    <w:rsid w:val="00CC6AAE"/>
    <w:rsid w:val="00CE688E"/>
    <w:rsid w:val="00CF0470"/>
    <w:rsid w:val="00D06688"/>
    <w:rsid w:val="00D1376F"/>
    <w:rsid w:val="00D159EC"/>
    <w:rsid w:val="00D22932"/>
    <w:rsid w:val="00D46D0B"/>
    <w:rsid w:val="00D47D31"/>
    <w:rsid w:val="00D50B43"/>
    <w:rsid w:val="00D51099"/>
    <w:rsid w:val="00D52621"/>
    <w:rsid w:val="00D57D86"/>
    <w:rsid w:val="00D70F63"/>
    <w:rsid w:val="00D719D6"/>
    <w:rsid w:val="00DA2851"/>
    <w:rsid w:val="00DA5770"/>
    <w:rsid w:val="00DC1189"/>
    <w:rsid w:val="00DD45DB"/>
    <w:rsid w:val="00DD51ED"/>
    <w:rsid w:val="00DD6609"/>
    <w:rsid w:val="00DE5A1B"/>
    <w:rsid w:val="00E01420"/>
    <w:rsid w:val="00E03B05"/>
    <w:rsid w:val="00E06EA3"/>
    <w:rsid w:val="00E244EF"/>
    <w:rsid w:val="00E25FC1"/>
    <w:rsid w:val="00E30D25"/>
    <w:rsid w:val="00E31219"/>
    <w:rsid w:val="00E45426"/>
    <w:rsid w:val="00E5042F"/>
    <w:rsid w:val="00E52E7B"/>
    <w:rsid w:val="00E538DB"/>
    <w:rsid w:val="00E579B9"/>
    <w:rsid w:val="00E66922"/>
    <w:rsid w:val="00E81653"/>
    <w:rsid w:val="00E852DC"/>
    <w:rsid w:val="00E858B0"/>
    <w:rsid w:val="00E92967"/>
    <w:rsid w:val="00E9525E"/>
    <w:rsid w:val="00E975E6"/>
    <w:rsid w:val="00EA29BD"/>
    <w:rsid w:val="00EA76D8"/>
    <w:rsid w:val="00EB10ED"/>
    <w:rsid w:val="00EB3F8C"/>
    <w:rsid w:val="00EB5102"/>
    <w:rsid w:val="00EC2306"/>
    <w:rsid w:val="00EC47F9"/>
    <w:rsid w:val="00ED2526"/>
    <w:rsid w:val="00EE32A8"/>
    <w:rsid w:val="00EF5B9D"/>
    <w:rsid w:val="00F03F6A"/>
    <w:rsid w:val="00F07670"/>
    <w:rsid w:val="00F13815"/>
    <w:rsid w:val="00F13F84"/>
    <w:rsid w:val="00F15CEA"/>
    <w:rsid w:val="00F327B7"/>
    <w:rsid w:val="00F33CDB"/>
    <w:rsid w:val="00F62C6C"/>
    <w:rsid w:val="00F65A28"/>
    <w:rsid w:val="00F66595"/>
    <w:rsid w:val="00F758DB"/>
    <w:rsid w:val="00F815B0"/>
    <w:rsid w:val="00F837E7"/>
    <w:rsid w:val="00F95B53"/>
    <w:rsid w:val="00FA7125"/>
    <w:rsid w:val="00FB53FA"/>
    <w:rsid w:val="00FB7CE6"/>
    <w:rsid w:val="00FC048A"/>
    <w:rsid w:val="00FC1C93"/>
    <w:rsid w:val="00FC3F55"/>
    <w:rsid w:val="00FD2D24"/>
    <w:rsid w:val="00FD525D"/>
    <w:rsid w:val="00FD6478"/>
    <w:rsid w:val="00FE6A5B"/>
    <w:rsid w:val="00FF741B"/>
    <w:rsid w:val="0FBFA3E6"/>
    <w:rsid w:val="0FDF50EA"/>
    <w:rsid w:val="25B5796A"/>
    <w:rsid w:val="2F374FA8"/>
    <w:rsid w:val="357B2EFC"/>
    <w:rsid w:val="3BFCD73B"/>
    <w:rsid w:val="3F3DE41F"/>
    <w:rsid w:val="3F3FA062"/>
    <w:rsid w:val="3FEE7151"/>
    <w:rsid w:val="3FFFCDD6"/>
    <w:rsid w:val="42D52413"/>
    <w:rsid w:val="4ADEF258"/>
    <w:rsid w:val="4B2B091F"/>
    <w:rsid w:val="4DFC4C55"/>
    <w:rsid w:val="53F7BE63"/>
    <w:rsid w:val="5AD5326B"/>
    <w:rsid w:val="5B6FA487"/>
    <w:rsid w:val="5FD9AD93"/>
    <w:rsid w:val="5FFDEB9D"/>
    <w:rsid w:val="67746AD9"/>
    <w:rsid w:val="69B920EF"/>
    <w:rsid w:val="6FCBC574"/>
    <w:rsid w:val="6FF7AEB8"/>
    <w:rsid w:val="6FFD6FD5"/>
    <w:rsid w:val="73FFE68F"/>
    <w:rsid w:val="73FFE920"/>
    <w:rsid w:val="74FC12AC"/>
    <w:rsid w:val="7799ADAB"/>
    <w:rsid w:val="7ABEB70D"/>
    <w:rsid w:val="7B5B83E9"/>
    <w:rsid w:val="7BF1DDC2"/>
    <w:rsid w:val="7BF3F04A"/>
    <w:rsid w:val="7CF7B777"/>
    <w:rsid w:val="7DBF9FA5"/>
    <w:rsid w:val="7DFDD419"/>
    <w:rsid w:val="7DFF0330"/>
    <w:rsid w:val="7E4F324A"/>
    <w:rsid w:val="7F3BD71B"/>
    <w:rsid w:val="7FEE91E5"/>
    <w:rsid w:val="7FFA6CA0"/>
    <w:rsid w:val="7FFE0A40"/>
    <w:rsid w:val="97D70D24"/>
    <w:rsid w:val="9FB578C7"/>
    <w:rsid w:val="A6EB6E22"/>
    <w:rsid w:val="ABBF7475"/>
    <w:rsid w:val="B1FFB9FA"/>
    <w:rsid w:val="B2BF36C1"/>
    <w:rsid w:val="BAEDA7DA"/>
    <w:rsid w:val="BEF3BB0C"/>
    <w:rsid w:val="BF9E5750"/>
    <w:rsid w:val="BFDF7ED2"/>
    <w:rsid w:val="BFF79CA9"/>
    <w:rsid w:val="D771AC83"/>
    <w:rsid w:val="D77E260F"/>
    <w:rsid w:val="DB5FDA23"/>
    <w:rsid w:val="DED991C8"/>
    <w:rsid w:val="DFEE96BA"/>
    <w:rsid w:val="DFEF8323"/>
    <w:rsid w:val="E9F11A81"/>
    <w:rsid w:val="ECEFA947"/>
    <w:rsid w:val="EDFBBBE8"/>
    <w:rsid w:val="EFDF5EEE"/>
    <w:rsid w:val="F34D6011"/>
    <w:rsid w:val="F36DD4D5"/>
    <w:rsid w:val="F3FC1D2B"/>
    <w:rsid w:val="F4714791"/>
    <w:rsid w:val="F736C81C"/>
    <w:rsid w:val="F7637237"/>
    <w:rsid w:val="F7FF91FD"/>
    <w:rsid w:val="F8B79C8F"/>
    <w:rsid w:val="F97B3B9C"/>
    <w:rsid w:val="FAA33E04"/>
    <w:rsid w:val="FADF5555"/>
    <w:rsid w:val="FBD17106"/>
    <w:rsid w:val="FBFD18E6"/>
    <w:rsid w:val="FBFFE5C9"/>
    <w:rsid w:val="FEE73767"/>
    <w:rsid w:val="FEF31B6D"/>
    <w:rsid w:val="FFBCA757"/>
    <w:rsid w:val="FFBFFFF2"/>
    <w:rsid w:val="FFDFD021"/>
    <w:rsid w:val="FFEDCD92"/>
    <w:rsid w:val="FFFBAF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rPr>
  </w:style>
  <w:style w:type="paragraph" w:styleId="4">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footnote text"/>
    <w:basedOn w:val="1"/>
    <w:link w:val="15"/>
    <w:semiHidden/>
    <w:unhideWhenUsed/>
    <w:qFormat/>
    <w:uiPriority w:val="99"/>
    <w:pPr>
      <w:snapToGrid w:val="0"/>
      <w:jc w:val="left"/>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styleId="9">
    <w:name w:val="footnote reference"/>
    <w:basedOn w:val="8"/>
    <w:semiHidden/>
    <w:unhideWhenUsed/>
    <w:qFormat/>
    <w:uiPriority w:val="99"/>
    <w:rPr>
      <w:vertAlign w:val="superscript"/>
    </w:rPr>
  </w:style>
  <w:style w:type="character" w:customStyle="1" w:styleId="10">
    <w:name w:val="页脚 Char"/>
    <w:basedOn w:val="8"/>
    <w:link w:val="3"/>
    <w:qFormat/>
    <w:uiPriority w:val="99"/>
    <w:rPr>
      <w:rFonts w:ascii="Times New Roman" w:hAnsi="Times New Roman" w:eastAsia="宋体" w:cs="Times New Roman"/>
      <w:sz w:val="18"/>
      <w:szCs w:val="24"/>
    </w:rPr>
  </w:style>
  <w:style w:type="character" w:customStyle="1" w:styleId="11">
    <w:name w:val="页脚 Char1"/>
    <w:basedOn w:val="8"/>
    <w:link w:val="3"/>
    <w:semiHidden/>
    <w:qFormat/>
    <w:uiPriority w:val="99"/>
    <w:rPr>
      <w:rFonts w:ascii="Times New Roman" w:hAnsi="Times New Roman" w:eastAsia="宋体" w:cs="Times New Roman"/>
      <w:sz w:val="18"/>
      <w:szCs w:val="18"/>
    </w:rPr>
  </w:style>
  <w:style w:type="paragraph" w:customStyle="1" w:styleId="12">
    <w:name w:val="列出段落2"/>
    <w:basedOn w:val="1"/>
    <w:qFormat/>
    <w:uiPriority w:val="34"/>
    <w:pPr>
      <w:ind w:firstLine="420" w:firstLineChars="200"/>
    </w:pPr>
    <w:rPr>
      <w:rFonts w:ascii="Calibri" w:hAnsi="Calibri"/>
      <w:szCs w:val="22"/>
    </w:rPr>
  </w:style>
  <w:style w:type="character" w:customStyle="1" w:styleId="13">
    <w:name w:val="批注框文本 Char"/>
    <w:basedOn w:val="8"/>
    <w:link w:val="2"/>
    <w:semiHidden/>
    <w:qFormat/>
    <w:uiPriority w:val="99"/>
    <w:rPr>
      <w:rFonts w:ascii="Times New Roman" w:hAnsi="Times New Roman"/>
      <w:kern w:val="2"/>
      <w:sz w:val="18"/>
      <w:szCs w:val="18"/>
    </w:rPr>
  </w:style>
  <w:style w:type="character" w:customStyle="1" w:styleId="14">
    <w:name w:val="页眉 Char"/>
    <w:basedOn w:val="8"/>
    <w:link w:val="4"/>
    <w:semiHidden/>
    <w:qFormat/>
    <w:uiPriority w:val="99"/>
    <w:rPr>
      <w:rFonts w:ascii="Times New Roman" w:hAnsi="Times New Roman"/>
      <w:kern w:val="2"/>
      <w:sz w:val="18"/>
      <w:szCs w:val="18"/>
    </w:rPr>
  </w:style>
  <w:style w:type="character" w:customStyle="1" w:styleId="15">
    <w:name w:val="脚注文本 Char"/>
    <w:basedOn w:val="8"/>
    <w:link w:val="5"/>
    <w:semiHidden/>
    <w:qFormat/>
    <w:uiPriority w:val="99"/>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1732</Words>
  <Characters>1992</Characters>
  <Lines>18</Lines>
  <Paragraphs>5</Paragraphs>
  <TotalTime>150</TotalTime>
  <ScaleCrop>false</ScaleCrop>
  <LinksUpToDate>false</LinksUpToDate>
  <CharactersWithSpaces>2122</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2020-10-02T18:00:00Z</dcterms:created>
  <dc:creator>张玲：处室办理人</dc:creator>
  <cp:lastModifiedBy>uos</cp:lastModifiedBy>
  <cp:lastPrinted>2020-07-02T20:12:00Z</cp:lastPrinted>
  <dcterms:modified xsi:type="dcterms:W3CDTF">2024-06-26T11:37:11Z</dcterms:modified>
  <dc:title>贵州辖区证券期货市场概况（2022年1月）</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5E05DF29A95EA22A245A79646D767D78</vt:lpwstr>
  </property>
</Properties>
</file>