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631D9">
      <w:pPr>
        <w:widowControl w:val="0"/>
        <w:tabs>
          <w:tab w:val="left" w:pos="420"/>
        </w:tabs>
        <w:spacing w:after="0" w:line="240" w:lineRule="auto"/>
        <w:jc w:val="center"/>
        <w:rPr>
          <w:rFonts w:hint="eastAsia" w:ascii="方正小标宋简体" w:hAnsi="方正小标宋简体" w:eastAsia="方正小标宋简体" w:cs="Times New Roman"/>
          <w:b/>
          <w:color w:val="FF0000"/>
          <w:w w:val="95"/>
          <w:kern w:val="0"/>
          <w:sz w:val="44"/>
          <w:szCs w:val="116"/>
          <w:lang w:eastAsia="zh-CN"/>
        </w:rPr>
      </w:pPr>
      <w:bookmarkStart w:id="0" w:name="_Hlk141567855"/>
      <w:bookmarkEnd w:id="0"/>
      <w:r>
        <w:rPr>
          <w:rFonts w:hint="eastAsia" w:ascii="方正小标宋简体" w:hAnsi="方正小标宋简体" w:eastAsia="方正小标宋简体" w:cs="黑体"/>
          <w:b/>
          <w:color w:val="FF0000"/>
          <w:w w:val="95"/>
          <w:kern w:val="2"/>
          <w:sz w:val="44"/>
          <w:szCs w:val="72"/>
          <w:lang w:eastAsia="zh-CN"/>
        </w:rPr>
        <w:t>中国证券监督管理委员会广东监管局</w:t>
      </w:r>
    </w:p>
    <w:p w14:paraId="7A386B6E">
      <w:pPr>
        <w:widowControl w:val="0"/>
        <w:spacing w:after="0" w:line="240" w:lineRule="auto"/>
        <w:jc w:val="center"/>
        <w:rPr>
          <w:rFonts w:hint="eastAsia" w:ascii="方正小标宋简体" w:hAnsi="方正小标宋简体" w:eastAsia="方正小标宋简体" w:cs="Times New Roman"/>
          <w:snapToGrid w:val="0"/>
          <w:spacing w:val="85"/>
          <w:w w:val="90"/>
          <w:kern w:val="2"/>
          <w:sz w:val="72"/>
          <w:szCs w:val="72"/>
          <w:lang w:eastAsia="zh-CN"/>
        </w:rPr>
      </w:pPr>
      <w:r>
        <w:rPr>
          <w:rFonts w:hint="eastAsia" w:ascii="方正小标宋简体" w:hAnsi="方正小标宋简体" w:eastAsia="方正小标宋简体" w:cs="Times New Roman"/>
          <w:b/>
          <w:bCs/>
          <w:snapToGrid w:val="0"/>
          <w:color w:val="FF0000"/>
          <w:spacing w:val="85"/>
          <w:w w:val="90"/>
          <w:kern w:val="2"/>
          <w:sz w:val="72"/>
          <w:szCs w:val="72"/>
          <w:lang w:eastAsia="zh-CN"/>
        </w:rPr>
        <w:t>行政监管措施决定书</w:t>
      </w:r>
    </w:p>
    <w:p w14:paraId="5E435E4E">
      <w:pPr>
        <w:widowControl w:val="0"/>
        <w:snapToGrid w:val="0"/>
        <w:spacing w:after="0" w:line="240" w:lineRule="auto"/>
        <w:jc w:val="center"/>
        <w:rPr>
          <w:rFonts w:hint="eastAsia" w:ascii="仿宋_GB2312" w:hAnsi="仿宋_GB2312" w:eastAsia="仿宋_GB2312" w:cs="宋体"/>
          <w:kern w:val="2"/>
          <w:sz w:val="28"/>
          <w:szCs w:val="28"/>
          <w:lang w:eastAsia="zh-CN"/>
        </w:rPr>
      </w:pPr>
    </w:p>
    <w:p w14:paraId="318786EE">
      <w:pPr>
        <w:widowControl w:val="0"/>
        <w:suppressAutoHyphens/>
        <w:kinsoku/>
        <w:autoSpaceDE/>
        <w:autoSpaceDN/>
        <w:bidi w:val="0"/>
        <w:adjustRightInd/>
        <w:snapToGrid w:val="0"/>
        <w:spacing w:before="156" w:beforeLines="50" w:after="0" w:line="300" w:lineRule="auto"/>
        <w:ind w:firstLine="0" w:firstLineChars="0"/>
        <w:jc w:val="center"/>
        <w:textAlignment w:val="auto"/>
        <w:rPr>
          <w:rFonts w:ascii="黑体" w:hAnsi="Times New Roman" w:eastAsia="黑体" w:cs="Times New Roman"/>
          <w:snapToGrid/>
          <w:color w:val="000000"/>
          <w:spacing w:val="12"/>
          <w:kern w:val="2"/>
          <w:sz w:val="32"/>
          <w:szCs w:val="20"/>
          <w:lang w:eastAsia="zh-CN"/>
        </w:rPr>
      </w:pPr>
      <w:bookmarkStart w:id="1" w:name="WH"/>
      <w:bookmarkEnd w:id="1"/>
      <w:r>
        <w:rPr>
          <w:rFonts w:hint="eastAsia" w:ascii="仿宋_GB2312" w:hAnsi="Times New Roman" w:eastAsia="仿宋_GB2312" w:cs="Times New Roman"/>
          <w:snapToGrid/>
          <w:color w:val="000000"/>
          <w:spacing w:val="12"/>
          <w:kern w:val="2"/>
          <w:sz w:val="28"/>
          <w:szCs w:val="20"/>
          <w:lang w:eastAsia="zh-CN"/>
        </w:rPr>
        <w:t>〔20</w:t>
      </w:r>
      <w:r>
        <w:rPr>
          <w:rFonts w:hint="default" w:ascii="仿宋_GB2312" w:hAnsi="Times New Roman" w:eastAsia="仿宋_GB2312" w:cs="Times New Roman"/>
          <w:snapToGrid/>
          <w:color w:val="000000"/>
          <w:spacing w:val="12"/>
          <w:kern w:val="2"/>
          <w:sz w:val="28"/>
          <w:szCs w:val="20"/>
          <w:lang w:val="en-US" w:eastAsia="zh-CN"/>
        </w:rPr>
        <w:t>26</w:t>
      </w:r>
      <w:r>
        <w:rPr>
          <w:rFonts w:hint="eastAsia" w:ascii="仿宋_GB2312" w:hAnsi="Times New Roman" w:eastAsia="仿宋_GB2312" w:cs="Times New Roman"/>
          <w:snapToGrid/>
          <w:color w:val="000000"/>
          <w:spacing w:val="12"/>
          <w:kern w:val="2"/>
          <w:sz w:val="28"/>
          <w:szCs w:val="20"/>
          <w:lang w:eastAsia="zh-CN"/>
        </w:rPr>
        <w:t>〕</w:t>
      </w:r>
      <w:r>
        <w:rPr>
          <w:rFonts w:hint="default" w:ascii="仿宋_GB2312" w:hAnsi="Times New Roman" w:eastAsia="仿宋_GB2312" w:cs="Times New Roman"/>
          <w:snapToGrid/>
          <w:color w:val="000000"/>
          <w:spacing w:val="12"/>
          <w:kern w:val="2"/>
          <w:sz w:val="28"/>
          <w:szCs w:val="20"/>
          <w:lang w:val="en-US" w:eastAsia="zh-CN"/>
        </w:rPr>
        <w:t>137</w:t>
      </w:r>
      <w:r>
        <w:rPr>
          <w:rFonts w:hint="eastAsia" w:ascii="仿宋_GB2312" w:hAnsi="Times New Roman" w:eastAsia="仿宋_GB2312" w:cs="Times New Roman"/>
          <w:snapToGrid/>
          <w:color w:val="000000"/>
          <w:spacing w:val="12"/>
          <w:kern w:val="2"/>
          <w:sz w:val="28"/>
          <w:szCs w:val="20"/>
          <w:lang w:eastAsia="zh-CN"/>
        </w:rPr>
        <w:t>号</w:t>
      </w:r>
    </w:p>
    <w:p w14:paraId="37A80DBF">
      <w:pPr>
        <w:widowControl w:val="0"/>
        <w:snapToGrid w:val="0"/>
        <w:spacing w:after="0" w:line="240" w:lineRule="auto"/>
        <w:jc w:val="center"/>
        <w:rPr>
          <w:rFonts w:hint="eastAsia" w:ascii="仿宋_GB2312" w:hAnsi="仿宋_GB2312" w:eastAsia="仿宋_GB2312" w:cs="Times New Roman"/>
          <w:kern w:val="2"/>
          <w:sz w:val="28"/>
          <w:szCs w:val="28"/>
          <w:lang w:eastAsia="zh-CN"/>
        </w:rPr>
      </w:pPr>
      <w:r>
        <w:rPr>
          <w:rFonts w:ascii="Times New Roman" w:hAnsi="Times New Roman" w:cs="Times New Roman"/>
          <w:kern w:val="2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128905</wp:posOffset>
                </wp:positionV>
                <wp:extent cx="555180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180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35pt;margin-top:10.15pt;height:0.05pt;width:437.15pt;z-index:251659264;mso-width-relative:page;mso-height-relative:page;" filled="f" stroked="t" coordsize="21600,21600" o:gfxdata="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C+1ktYAAAAIAQAADwAAAAAAAAABACAAAAAiAAAAZHJzL2Rvd25yZXYu&#10;eG1sUEsBAhQAFAAAAAgAh07iQBXy5mP9AQAA9QMAAA4AAAAAAAAAAQAgAAAAJQEAAGRycy9lMm9E&#10;b2MueG1sUEsFBgAAAAAGAAYAWQEAAJQF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7A96D20E">
      <w:pPr>
        <w:widowControl w:val="0"/>
        <w:spacing w:after="0" w:line="240" w:lineRule="auto"/>
        <w:jc w:val="center"/>
        <w:rPr>
          <w:rFonts w:hint="eastAsia" w:ascii="Times New Roman" w:hAnsi="Times New Roman" w:cs="Times New Roman"/>
          <w:kern w:val="2"/>
          <w:sz w:val="28"/>
          <w:szCs w:val="28"/>
          <w:lang w:eastAsia="zh-CN"/>
        </w:rPr>
      </w:pPr>
    </w:p>
    <w:p w14:paraId="7F2845AA">
      <w:pPr>
        <w:widowControl/>
        <w:spacing w:before="0" w:after="0" w:line="640" w:lineRule="exact"/>
        <w:jc w:val="center"/>
        <w:rPr>
          <w:rFonts w:ascii="仿宋_GB2312" w:hAnsi="仿宋_GB2312" w:eastAsia="仿宋_GB2312" w:cs="Times New Roman"/>
          <w:kern w:val="0"/>
          <w:sz w:val="32"/>
          <w:szCs w:val="22"/>
          <w:lang w:eastAsia="en-US"/>
        </w:rPr>
      </w:pPr>
      <w:bookmarkStart w:id="3" w:name="_GoBack"/>
      <w:bookmarkStart w:id="2" w:name="quanwen"/>
      <w:r>
        <w:rPr>
          <w:rFonts w:ascii="方正小标宋简体" w:hAnsi="方正小标宋简体" w:eastAsia="方正小标宋简体" w:cs="Times New Roman"/>
          <w:b w:val="0"/>
          <w:color w:val="000000"/>
          <w:kern w:val="0"/>
          <w:sz w:val="44"/>
          <w:szCs w:val="22"/>
          <w:lang w:eastAsia="en-US"/>
        </w:rPr>
        <w:t>关于对广州钏铂资产管理有限公司</w:t>
      </w:r>
    </w:p>
    <w:p w14:paraId="2F54C713">
      <w:pPr>
        <w:widowControl/>
        <w:spacing w:before="0" w:after="0" w:line="640" w:lineRule="exact"/>
        <w:jc w:val="center"/>
        <w:rPr>
          <w:rFonts w:ascii="仿宋_GB2312" w:hAnsi="仿宋_GB2312" w:eastAsia="仿宋_GB2312" w:cs="Times New Roman"/>
          <w:kern w:val="0"/>
          <w:sz w:val="32"/>
          <w:szCs w:val="22"/>
          <w:lang w:eastAsia="en-US"/>
        </w:rPr>
      </w:pPr>
      <w:r>
        <w:rPr>
          <w:rFonts w:ascii="方正小标宋简体" w:hAnsi="方正小标宋简体" w:eastAsia="方正小标宋简体" w:cs="Times New Roman"/>
          <w:b w:val="0"/>
          <w:color w:val="000000"/>
          <w:kern w:val="0"/>
          <w:sz w:val="44"/>
          <w:szCs w:val="22"/>
          <w:lang w:eastAsia="en-US"/>
        </w:rPr>
        <w:t>采取责令改正措施的决定</w:t>
      </w:r>
    </w:p>
    <w:bookmarkEnd w:id="3"/>
    <w:p w14:paraId="71F5ABE7">
      <w:pPr>
        <w:widowControl/>
        <w:spacing w:before="0" w:after="0" w:line="560" w:lineRule="exact"/>
        <w:jc w:val="both"/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</w:pPr>
    </w:p>
    <w:p w14:paraId="0F63B0FF">
      <w:pPr>
        <w:widowControl/>
        <w:snapToGrid w:val="0"/>
        <w:spacing w:before="0" w:beforeLines="0" w:after="0" w:afterLines="0" w:line="336" w:lineRule="auto"/>
        <w:jc w:val="both"/>
        <w:rPr>
          <w:rFonts w:ascii="仿宋_GB2312" w:hAnsi="仿宋_GB2312" w:eastAsia="仿宋_GB2312" w:cs="Times New Roman"/>
          <w:kern w:val="0"/>
          <w:sz w:val="32"/>
          <w:szCs w:val="22"/>
          <w:lang w:eastAsia="en-US"/>
        </w:rPr>
      </w:pP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广州钏铂资产管理有限公司：</w:t>
      </w:r>
    </w:p>
    <w:p w14:paraId="51049A29">
      <w:pPr>
        <w:widowControl/>
        <w:snapToGrid w:val="0"/>
        <w:spacing w:before="0" w:beforeLines="0" w:after="0" w:afterLines="0" w:line="336" w:lineRule="auto"/>
        <w:ind w:firstLine="640" w:firstLineChars="200"/>
        <w:jc w:val="both"/>
        <w:rPr>
          <w:rFonts w:ascii="仿宋_GB2312" w:hAnsi="仿宋_GB2312" w:eastAsia="仿宋_GB2312" w:cs="Times New Roman"/>
          <w:kern w:val="0"/>
          <w:sz w:val="32"/>
          <w:szCs w:val="22"/>
          <w:lang w:eastAsia="en-US"/>
        </w:rPr>
      </w:pP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经查，你公司在开展私募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val="en-US" w:eastAsia="zh-CN"/>
        </w:rPr>
        <w:t>投资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基金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val="en-US" w:eastAsia="zh-CN"/>
        </w:rPr>
        <w:t>管理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业务过程中，存在以下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val="en-US" w:eastAsia="zh-CN"/>
        </w:rPr>
        <w:t>违规行为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：</w:t>
      </w:r>
    </w:p>
    <w:p w14:paraId="5362CD0C">
      <w:pPr>
        <w:widowControl/>
        <w:snapToGrid w:val="0"/>
        <w:spacing w:before="0" w:beforeLines="0" w:after="0" w:afterLines="0" w:line="336" w:lineRule="auto"/>
        <w:ind w:firstLine="643" w:firstLineChars="200"/>
        <w:jc w:val="both"/>
        <w:rPr>
          <w:rFonts w:ascii="仿宋_GB2312" w:hAnsi="仿宋_GB2312" w:eastAsia="仿宋_GB2312" w:cs="Times New Roman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 w:cs="Times New Roman"/>
          <w:b/>
          <w:color w:val="000000"/>
          <w:kern w:val="0"/>
          <w:sz w:val="32"/>
          <w:szCs w:val="22"/>
          <w:lang w:val="en-US" w:eastAsia="zh-CN"/>
        </w:rPr>
        <w:t>一</w:t>
      </w:r>
      <w:r>
        <w:rPr>
          <w:rFonts w:ascii="仿宋_GB2312" w:hAnsi="仿宋_GB2312" w:eastAsia="仿宋_GB2312" w:cs="Times New Roman"/>
          <w:b/>
          <w:color w:val="000000"/>
          <w:kern w:val="0"/>
          <w:sz w:val="32"/>
          <w:szCs w:val="22"/>
          <w:lang w:eastAsia="en-US"/>
        </w:rPr>
        <w:t>是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你公司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val="en-US" w:eastAsia="zh-CN"/>
        </w:rPr>
        <w:t>暂无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办公场所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val="en-US" w:eastAsia="zh-CN"/>
        </w:rPr>
        <w:t>财务状况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不符合持续经营要求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22"/>
          <w:lang w:val="en-US" w:eastAsia="zh-CN"/>
        </w:rPr>
        <w:t>违反了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22"/>
          <w:lang w:eastAsia="en-US"/>
        </w:rPr>
        <w:t>《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22"/>
          <w:lang w:eastAsia="en-US"/>
        </w:rPr>
        <w:t>私募投资基金监督管理条例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22"/>
          <w:lang w:eastAsia="en-US"/>
        </w:rPr>
        <w:t>》（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22"/>
          <w:lang w:eastAsia="zh-CN"/>
        </w:rPr>
        <w:t>国务院令第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lang w:val="en-US" w:eastAsia="zh-CN"/>
        </w:rPr>
        <w:t>762号，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lang w:eastAsia="en-US"/>
        </w:rPr>
        <w:t>以下简称《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lang w:val="en-US" w:eastAsia="zh-CN"/>
        </w:rPr>
        <w:t>私募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22"/>
          <w:lang w:eastAsia="en-US"/>
        </w:rPr>
        <w:t>条例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lang w:eastAsia="en-US"/>
        </w:rPr>
        <w:t>》）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22"/>
          <w:lang w:eastAsia="en-US"/>
        </w:rPr>
        <w:t>第十三条第一项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22"/>
          <w:lang w:val="en-US" w:eastAsia="zh-CN"/>
        </w:rPr>
        <w:t>的规定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。</w:t>
      </w:r>
    </w:p>
    <w:p w14:paraId="713D59B5">
      <w:pPr>
        <w:widowControl/>
        <w:snapToGrid w:val="0"/>
        <w:spacing w:before="0" w:beforeLines="0" w:after="0" w:afterLines="0" w:line="336" w:lineRule="auto"/>
        <w:ind w:firstLine="643" w:firstLineChars="200"/>
        <w:jc w:val="both"/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</w:pPr>
      <w:r>
        <w:rPr>
          <w:rFonts w:hint="eastAsia" w:ascii="仿宋_GB2312" w:hAnsi="仿宋_GB2312" w:eastAsia="仿宋_GB2312" w:cs="Times New Roman"/>
          <w:b/>
          <w:color w:val="000000"/>
          <w:kern w:val="0"/>
          <w:sz w:val="32"/>
          <w:szCs w:val="22"/>
          <w:lang w:val="en-US" w:eastAsia="zh-CN"/>
        </w:rPr>
        <w:t>二</w:t>
      </w:r>
      <w:r>
        <w:rPr>
          <w:rFonts w:ascii="仿宋_GB2312" w:hAnsi="仿宋_GB2312" w:eastAsia="仿宋_GB2312" w:cs="Times New Roman"/>
          <w:b/>
          <w:color w:val="000000"/>
          <w:kern w:val="0"/>
          <w:sz w:val="32"/>
          <w:szCs w:val="22"/>
          <w:lang w:eastAsia="en-US"/>
        </w:rPr>
        <w:t>是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你公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  <w:t>司未按要求按时提交经审计的年度财务报告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val="en-US" w:eastAsia="zh-CN"/>
        </w:rPr>
        <w:t>违反了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  <w:t>《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eastAsia="zh-CN"/>
        </w:rPr>
        <w:t>私募投资基金监督管理暂行办法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  <w:t>》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22"/>
          <w:lang w:eastAsia="en-US"/>
        </w:rPr>
        <w:t>（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22"/>
          <w:lang w:eastAsia="zh-CN"/>
        </w:rPr>
        <w:t>证监会令第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lang w:val="en-US" w:eastAsia="zh-CN"/>
        </w:rPr>
        <w:t>105号，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lang w:eastAsia="en-US"/>
        </w:rPr>
        <w:t>以下简称《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lang w:val="en-US" w:eastAsia="zh-CN"/>
        </w:rPr>
        <w:t>私募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lang w:eastAsia="en-US"/>
        </w:rPr>
        <w:t>》）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  <w:t>第二十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  <w:t>五条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eastAsia="zh-CN"/>
        </w:rPr>
        <w:t>第二款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  <w:t>的规定。</w:t>
      </w:r>
    </w:p>
    <w:p w14:paraId="2AB2B4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"/>
          <w:color w:val="auto"/>
          <w:kern w:val="0"/>
          <w:sz w:val="32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val="en-US" w:eastAsia="zh-CN"/>
        </w:rPr>
        <w:t>依据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highlight w:val="none"/>
          <w:lang w:eastAsia="en-US"/>
        </w:rPr>
        <w:t>《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highlight w:val="none"/>
          <w:lang w:val="en-US" w:eastAsia="zh-CN"/>
        </w:rPr>
        <w:t>私募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  <w:t>条例</w:t>
      </w:r>
      <w:r>
        <w:rPr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22"/>
          <w:highlight w:val="none"/>
          <w:lang w:eastAsia="en-US"/>
        </w:rPr>
        <w:t>》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  <w:t>第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22"/>
          <w:highlight w:val="none"/>
          <w:lang w:eastAsia="zh-CN"/>
        </w:rPr>
        <w:t>四十</w:t>
      </w:r>
      <w:r>
        <w:rPr>
          <w:rFonts w:ascii="Times New Roman" w:hAnsi="Times New Roman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  <w:t>条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szCs w:val="22"/>
          <w:highlight w:val="none"/>
          <w:lang w:eastAsia="zh-CN"/>
        </w:rPr>
        <w:t>第二款、</w:t>
      </w:r>
      <w:r>
        <w:rPr>
          <w:rFonts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eastAsia="en-US"/>
        </w:rPr>
        <w:t>《私募办法》第三十三条的规定，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highlight w:val="none"/>
          <w:lang w:val="en-US" w:eastAsia="zh-CN"/>
        </w:rPr>
        <w:t>我局决定对你公司采取责令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val="en-US" w:eastAsia="zh-CN"/>
        </w:rPr>
        <w:t>改正的行政监管措施。你公司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应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zh-CN"/>
        </w:rPr>
        <w:t>高度重视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，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zh-CN"/>
        </w:rPr>
        <w:t>采取切实有效的措施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en-US"/>
        </w:rPr>
        <w:t>，</w:t>
      </w:r>
      <w:r>
        <w:rPr>
          <w:rFonts w:hint="eastAsia" w:ascii="仿宋_GB2312" w:hAnsi="仿宋_GB2312" w:eastAsia="仿宋_GB2312" w:cs="Times New Roman"/>
          <w:b w:val="0"/>
          <w:color w:val="000000"/>
          <w:kern w:val="0"/>
          <w:sz w:val="32"/>
          <w:szCs w:val="22"/>
          <w:lang w:eastAsia="zh-CN"/>
        </w:rPr>
        <w:t>对存在的问题进行整改，对相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24"/>
          <w:highlight w:val="none"/>
          <w:lang w:eastAsia="zh-CN"/>
        </w:rPr>
        <w:t>关责任人员进行问责，并在收到本决定书之日起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24"/>
          <w:highlight w:val="none"/>
          <w:lang w:val="en-US" w:eastAsia="zh-CN"/>
        </w:rPr>
        <w:t>30日内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24"/>
          <w:highlight w:val="none"/>
          <w:lang w:eastAsia="zh-CN"/>
        </w:rPr>
        <w:t>向我局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24"/>
          <w:highlight w:val="none"/>
          <w:lang w:eastAsia="en-US"/>
        </w:rPr>
        <w:t>提交书面整改报</w:t>
      </w:r>
      <w:r>
        <w:rPr>
          <w:rFonts w:hint="eastAsia" w:ascii="仿宋_GB2312" w:hAnsi="仿宋_GB2312" w:eastAsia="仿宋_GB2312" w:cs="仿宋_GB2312"/>
          <w:kern w:val="0"/>
          <w:sz w:val="32"/>
          <w:szCs w:val="24"/>
          <w:highlight w:val="none"/>
          <w:lang w:eastAsia="en-US"/>
        </w:rPr>
        <w:t>告</w:t>
      </w:r>
      <w:r>
        <w:rPr>
          <w:rFonts w:hint="eastAsia" w:ascii="仿宋_GB2312" w:hAnsi="仿宋_GB2312" w:eastAsia="仿宋_GB2312" w:cs="仿宋"/>
          <w:color w:val="auto"/>
          <w:kern w:val="0"/>
          <w:sz w:val="32"/>
          <w:szCs w:val="30"/>
          <w:highlight w:val="none"/>
          <w:lang w:val="en-US" w:eastAsia="zh-CN"/>
        </w:rPr>
        <w:t>。</w:t>
      </w:r>
    </w:p>
    <w:p w14:paraId="354F1385">
      <w:pPr>
        <w:widowControl/>
        <w:snapToGrid w:val="0"/>
        <w:spacing w:before="0" w:beforeLines="0" w:after="0" w:afterLines="0" w:line="336" w:lineRule="auto"/>
        <w:ind w:firstLine="640" w:firstLineChars="200"/>
        <w:jc w:val="both"/>
        <w:rPr>
          <w:rFonts w:ascii="仿宋_GB2312" w:hAnsi="仿宋_GB2312" w:eastAsia="仿宋_GB2312" w:cs="Times New Roman"/>
          <w:kern w:val="0"/>
          <w:sz w:val="32"/>
          <w:szCs w:val="22"/>
          <w:lang w:eastAsia="en-US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24"/>
          <w:highlight w:val="none"/>
          <w:lang w:val="en-US" w:eastAsia="zh-CN"/>
        </w:rPr>
        <w:t>你公司</w:t>
      </w:r>
      <w:r>
        <w:rPr>
          <w:rFonts w:hint="eastAsia" w:ascii="仿宋_GB2312" w:hAnsi="仿宋_GB2312" w:eastAsia="仿宋_GB2312" w:cs="仿宋_GB2312"/>
          <w:kern w:val="0"/>
          <w:sz w:val="32"/>
          <w:szCs w:val="24"/>
          <w:highlight w:val="none"/>
          <w:lang w:eastAsia="en-US"/>
        </w:rPr>
        <w:t>如果对本监督管理措施不服，可以在收到本决定书之日起60日内向中国证券监督管理委员会提出行政复议申请</w:t>
      </w:r>
      <w:r>
        <w:rPr>
          <w:rFonts w:hint="eastAsia" w:ascii="仿宋_GB2312" w:hAnsi="仿宋_GB2312" w:eastAsia="仿宋_GB2312" w:cs="仿宋_GB2312"/>
          <w:kern w:val="0"/>
          <w:sz w:val="32"/>
          <w:szCs w:val="24"/>
          <w:highlight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kern w:val="0"/>
          <w:sz w:val="32"/>
          <w:szCs w:val="24"/>
          <w:highlight w:val="none"/>
          <w:lang w:eastAsia="en-US"/>
        </w:rPr>
        <w:t>也可以在收到本决定书之日起6个月内向有管辖权的人民法院提起诉讼。复议与诉讼期间，上述监督管理措施不停止执行。</w:t>
      </w:r>
    </w:p>
    <w:p w14:paraId="1A371FD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ascii="宋体" w:hAnsi="宋体" w:eastAsia="宋体" w:cs="宋体"/>
          <w:snapToGrid/>
          <w:color w:val="000000"/>
          <w:kern w:val="2"/>
          <w:sz w:val="28"/>
          <w:szCs w:val="28"/>
          <w:lang w:eastAsia="zh-CN"/>
        </w:rPr>
      </w:pPr>
    </w:p>
    <w:p w14:paraId="32BD97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ascii="宋体" w:hAnsi="宋体" w:eastAsia="宋体" w:cs="宋体"/>
          <w:snapToGrid/>
          <w:color w:val="000000"/>
          <w:kern w:val="2"/>
          <w:sz w:val="28"/>
          <w:szCs w:val="28"/>
          <w:lang w:eastAsia="zh-CN"/>
        </w:rPr>
      </w:pPr>
    </w:p>
    <w:p w14:paraId="67804AC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ascii="宋体" w:hAnsi="宋体" w:eastAsia="宋体" w:cs="宋体"/>
          <w:snapToGrid/>
          <w:color w:val="000000"/>
          <w:kern w:val="2"/>
          <w:sz w:val="28"/>
          <w:szCs w:val="28"/>
          <w:lang w:eastAsia="zh-CN"/>
        </w:rPr>
      </w:pPr>
    </w:p>
    <w:p w14:paraId="5124193F">
      <w:pPr>
        <w:widowControl w:val="0"/>
        <w:kinsoku/>
        <w:overflowPunct w:val="0"/>
        <w:autoSpaceDE/>
        <w:autoSpaceDN/>
        <w:adjustRightInd w:val="0"/>
        <w:snapToGrid w:val="0"/>
        <w:spacing w:after="0" w:line="360" w:lineRule="auto"/>
        <w:ind w:right="1705"/>
        <w:jc w:val="right"/>
        <w:textAlignment w:val="auto"/>
        <w:rPr>
          <w:rFonts w:hint="eastAsia" w:ascii="仿宋_GB2312" w:hAnsi="Times New Roman" w:eastAsia="仿宋_GB2312" w:cs="Times New Roman"/>
          <w:snapToGrid/>
          <w:color w:val="000000"/>
          <w:kern w:val="2"/>
          <w:sz w:val="32"/>
          <w:szCs w:val="24"/>
          <w:lang w:eastAsia="zh-CN"/>
        </w:rPr>
      </w:pPr>
      <w:r>
        <w:rPr>
          <w:rFonts w:hint="eastAsia" w:ascii="仿宋_GB2312" w:hAnsi="Times New Roman" w:eastAsia="仿宋_GB2312" w:cs="Times New Roman"/>
          <w:snapToGrid/>
          <w:color w:val="000000"/>
          <w:kern w:val="2"/>
          <w:sz w:val="32"/>
          <w:szCs w:val="24"/>
          <w:lang w:eastAsia="zh-CN"/>
        </w:rPr>
        <w:t>广东证监局</w:t>
      </w:r>
    </w:p>
    <w:p w14:paraId="46D533CD">
      <w:pPr>
        <w:widowControl w:val="0"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kinsoku/>
        <w:overflowPunct w:val="0"/>
        <w:autoSpaceDE/>
        <w:autoSpaceDN/>
        <w:adjustRightInd w:val="0"/>
        <w:snapToGrid w:val="0"/>
        <w:spacing w:beforeLines="0" w:after="0" w:afterLines="0" w:line="360" w:lineRule="auto"/>
        <w:jc w:val="center"/>
        <w:textAlignment w:val="auto"/>
        <w:outlineLvl w:val="9"/>
        <w:rPr>
          <w:rFonts w:ascii="Calibri" w:hAnsi="Calibri" w:eastAsia="宋体" w:cs="Times New Roman"/>
          <w:snapToGrid/>
          <w:color w:val="000000"/>
          <w:kern w:val="2"/>
          <w:sz w:val="21"/>
          <w:szCs w:val="24"/>
          <w:lang w:eastAsia="zh-CN"/>
        </w:rPr>
      </w:pPr>
      <w:r>
        <w:rPr>
          <w:rFonts w:hint="eastAsia" w:ascii="仿宋_GB2312" w:hAnsi="Times New Roman" w:eastAsia="仿宋_GB2312" w:cs="Times New Roman"/>
          <w:snapToGrid/>
          <w:color w:val="000000"/>
          <w:spacing w:val="10"/>
          <w:kern w:val="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snapToGrid/>
          <w:color w:val="000000"/>
          <w:spacing w:val="10"/>
          <w:kern w:val="2"/>
          <w:sz w:val="32"/>
          <w:szCs w:val="32"/>
          <w:lang w:val="en-US" w:eastAsia="zh-CN"/>
        </w:rPr>
        <w:t xml:space="preserve">         </w:t>
      </w:r>
      <w:r>
        <w:rPr>
          <w:rFonts w:hint="default" w:ascii="仿宋_GB2312" w:hAnsi="Times New Roman" w:eastAsia="仿宋_GB2312" w:cs="Times New Roman"/>
          <w:snapToGrid/>
          <w:color w:val="000000"/>
          <w:spacing w:val="10"/>
          <w:kern w:val="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snapToGrid/>
          <w:color w:val="000000"/>
          <w:spacing w:val="10"/>
          <w:kern w:val="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snapToGrid/>
          <w:color w:val="000000"/>
          <w:spacing w:val="10"/>
          <w:kern w:val="2"/>
          <w:sz w:val="32"/>
          <w:szCs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snapToGrid/>
          <w:color w:val="000000"/>
          <w:spacing w:val="10"/>
          <w:kern w:val="2"/>
          <w:sz w:val="32"/>
          <w:szCs w:val="32"/>
          <w:lang w:val="en-US" w:eastAsia="zh-CN"/>
        </w:rPr>
        <w:t>02</w:t>
      </w:r>
      <w:r>
        <w:rPr>
          <w:rFonts w:hint="default" w:ascii="仿宋_GB2312" w:hAnsi="Times New Roman" w:eastAsia="仿宋_GB2312" w:cs="Times New Roman"/>
          <w:snapToGrid/>
          <w:color w:val="000000"/>
          <w:spacing w:val="10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napToGrid/>
          <w:color w:val="000000"/>
          <w:spacing w:val="10"/>
          <w:kern w:val="2"/>
          <w:sz w:val="32"/>
          <w:szCs w:val="32"/>
          <w:lang w:eastAsia="zh-CN"/>
        </w:rPr>
        <w:t>年</w:t>
      </w:r>
      <w:r>
        <w:rPr>
          <w:rFonts w:hint="default" w:ascii="仿宋_GB2312" w:hAnsi="Calibri" w:eastAsia="仿宋_GB2312" w:cs="Times New Roman"/>
          <w:snapToGrid/>
          <w:color w:val="000000"/>
          <w:spacing w:val="10"/>
          <w:kern w:val="2"/>
          <w:sz w:val="32"/>
          <w:szCs w:val="32"/>
          <w:lang w:val="en-US" w:eastAsia="zh-CN"/>
        </w:rPr>
        <w:t>10</w:t>
      </w:r>
      <w:r>
        <w:rPr>
          <w:rFonts w:hint="eastAsia" w:ascii="仿宋_GB2312" w:hAnsi="Times New Roman" w:eastAsia="仿宋_GB2312" w:cs="Times New Roman"/>
          <w:snapToGrid/>
          <w:color w:val="000000"/>
          <w:spacing w:val="10"/>
          <w:kern w:val="2"/>
          <w:sz w:val="32"/>
          <w:szCs w:val="32"/>
          <w:lang w:eastAsia="zh-CN"/>
        </w:rPr>
        <w:t>月</w:t>
      </w:r>
      <w:r>
        <w:rPr>
          <w:rFonts w:hint="default" w:ascii="仿宋_GB2312" w:hAnsi="Calibri" w:eastAsia="宋体" w:cs="Times New Roman"/>
          <w:snapToGrid/>
          <w:color w:val="000000"/>
          <w:spacing w:val="10"/>
          <w:kern w:val="2"/>
          <w:sz w:val="32"/>
          <w:szCs w:val="32"/>
          <w:lang w:val="en-US" w:eastAsia="zh-CN"/>
        </w:rPr>
        <w:t>27</w:t>
      </w:r>
      <w:r>
        <w:rPr>
          <w:rFonts w:hint="eastAsia" w:ascii="仿宋_GB2312" w:hAnsi="Times New Roman" w:eastAsia="仿宋_GB2312" w:cs="Times New Roman"/>
          <w:snapToGrid/>
          <w:color w:val="000000"/>
          <w:spacing w:val="10"/>
          <w:kern w:val="2"/>
          <w:sz w:val="32"/>
          <w:szCs w:val="32"/>
          <w:lang w:eastAsia="zh-CN"/>
        </w:rPr>
        <w:t>日</w:t>
      </w:r>
    </w:p>
    <w:p w14:paraId="0E45ECA1">
      <w:pPr>
        <w:widowControl w:val="0"/>
        <w:kinsoku/>
        <w:autoSpaceDE/>
        <w:autoSpaceDN/>
        <w:adjustRightInd/>
        <w:snapToGrid w:val="0"/>
        <w:spacing w:after="0" w:line="360" w:lineRule="auto"/>
        <w:ind w:right="28"/>
        <w:jc w:val="left"/>
        <w:textAlignment w:val="auto"/>
        <w:rPr>
          <w:rFonts w:hint="eastAsia" w:ascii="黑体" w:hAnsi="Times New Roman" w:eastAsia="黑体" w:cs="Times New Roman"/>
          <w:b w:val="0"/>
          <w:bCs w:val="0"/>
          <w:snapToGrid/>
          <w:color w:val="000000"/>
          <w:spacing w:val="8"/>
          <w:kern w:val="2"/>
          <w:sz w:val="32"/>
          <w:szCs w:val="32"/>
          <w:highlight w:val="none"/>
          <w:lang w:eastAsia="zh-CN"/>
        </w:rPr>
      </w:pPr>
    </w:p>
    <w:p w14:paraId="2F8ED42D">
      <w:pPr>
        <w:widowControl w:val="0"/>
        <w:kinsoku/>
        <w:autoSpaceDE/>
        <w:autoSpaceDN/>
        <w:adjustRightInd/>
        <w:snapToGrid w:val="0"/>
        <w:spacing w:after="0" w:line="360" w:lineRule="auto"/>
        <w:ind w:right="28"/>
        <w:jc w:val="left"/>
        <w:textAlignment w:val="auto"/>
        <w:rPr>
          <w:rFonts w:hint="eastAsia" w:ascii="黑体" w:hAnsi="Times New Roman" w:eastAsia="黑体" w:cs="Times New Roman"/>
          <w:b w:val="0"/>
          <w:bCs w:val="0"/>
          <w:snapToGrid/>
          <w:color w:val="000000"/>
          <w:spacing w:val="8"/>
          <w:kern w:val="2"/>
          <w:sz w:val="32"/>
          <w:szCs w:val="32"/>
          <w:highlight w:val="none"/>
          <w:lang w:eastAsia="zh-CN"/>
        </w:rPr>
      </w:pPr>
    </w:p>
    <w:p w14:paraId="47FD5FEB">
      <w:pPr>
        <w:widowControl w:val="0"/>
        <w:kinsoku/>
        <w:autoSpaceDE/>
        <w:autoSpaceDN/>
        <w:adjustRightInd/>
        <w:snapToGrid w:val="0"/>
        <w:spacing w:after="0" w:line="360" w:lineRule="auto"/>
        <w:ind w:right="28"/>
        <w:jc w:val="left"/>
        <w:textAlignment w:val="auto"/>
        <w:rPr>
          <w:rFonts w:hint="eastAsia" w:ascii="黑体" w:hAnsi="Times New Roman" w:eastAsia="黑体" w:cs="Times New Roman"/>
          <w:b w:val="0"/>
          <w:bCs w:val="0"/>
          <w:snapToGrid/>
          <w:color w:val="000000"/>
          <w:spacing w:val="8"/>
          <w:kern w:val="2"/>
          <w:sz w:val="32"/>
          <w:szCs w:val="32"/>
          <w:highlight w:val="none"/>
          <w:lang w:eastAsia="zh-CN"/>
        </w:rPr>
      </w:pPr>
    </w:p>
    <w:p w14:paraId="0CC92548">
      <w:pPr>
        <w:widowControl w:val="0"/>
        <w:kinsoku/>
        <w:autoSpaceDE/>
        <w:autoSpaceDN/>
        <w:adjustRightInd/>
        <w:snapToGrid w:val="0"/>
        <w:spacing w:after="0" w:line="360" w:lineRule="auto"/>
        <w:ind w:right="28"/>
        <w:jc w:val="left"/>
        <w:textAlignment w:val="auto"/>
        <w:rPr>
          <w:rFonts w:hint="eastAsia" w:ascii="黑体" w:hAnsi="Times New Roman" w:eastAsia="黑体" w:cs="Times New Roman"/>
          <w:b w:val="0"/>
          <w:bCs w:val="0"/>
          <w:snapToGrid/>
          <w:color w:val="000000"/>
          <w:spacing w:val="8"/>
          <w:kern w:val="2"/>
          <w:sz w:val="32"/>
          <w:szCs w:val="32"/>
          <w:highlight w:val="none"/>
          <w:lang w:eastAsia="zh-CN"/>
        </w:rPr>
      </w:pPr>
    </w:p>
    <w:p w14:paraId="32C03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28"/>
        <w:jc w:val="left"/>
        <w:textAlignment w:val="auto"/>
        <w:rPr>
          <w:rFonts w:hint="eastAsia" w:ascii="黑体" w:hAnsi="Calibri" w:eastAsia="黑体" w:cs="Times New Roman"/>
          <w:spacing w:val="8"/>
          <w:kern w:val="2"/>
          <w:sz w:val="32"/>
          <w:szCs w:val="24"/>
          <w:lang w:eastAsia="zh-CN"/>
        </w:rPr>
      </w:pPr>
    </w:p>
    <w:p w14:paraId="3D53B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28"/>
        <w:jc w:val="left"/>
        <w:textAlignment w:val="auto"/>
        <w:rPr>
          <w:rFonts w:hint="eastAsia" w:ascii="黑体" w:hAnsi="Calibri" w:eastAsia="黑体" w:cs="Times New Roman"/>
          <w:spacing w:val="8"/>
          <w:kern w:val="2"/>
          <w:sz w:val="24"/>
          <w:szCs w:val="24"/>
          <w:lang w:eastAsia="zh-CN"/>
        </w:rPr>
      </w:pPr>
    </w:p>
    <w:p w14:paraId="37EE8F0A">
      <w:pPr>
        <w:widowControl w:val="0"/>
        <w:snapToGrid w:val="0"/>
        <w:spacing w:after="0" w:line="300" w:lineRule="auto"/>
        <w:ind w:right="26"/>
        <w:jc w:val="left"/>
        <w:rPr>
          <w:rFonts w:hint="eastAsia" w:ascii="黑体" w:hAnsi="Calibri" w:eastAsia="黑体" w:cs="Times New Roman"/>
          <w:spacing w:val="8"/>
          <w:kern w:val="2"/>
          <w:sz w:val="24"/>
          <w:szCs w:val="24"/>
          <w:lang w:eastAsia="zh-CN"/>
        </w:rPr>
      </w:pPr>
    </w:p>
    <w:p w14:paraId="08F6A3E5">
      <w:pPr>
        <w:keepNext w:val="0"/>
        <w:keepLines w:val="0"/>
        <w:pageBreakBefore w:val="0"/>
        <w:widowControl w:val="0"/>
        <w:pBdr>
          <w:top w:val="single" w:color="auto" w:sz="8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 w:line="240" w:lineRule="auto"/>
        <w:ind w:firstLine="296" w:firstLineChars="100"/>
        <w:jc w:val="both"/>
        <w:textAlignment w:val="auto"/>
        <w:rPr>
          <w:rFonts w:ascii="长城仿宋" w:hAnsi="Calibri" w:eastAsia="长城仿宋" w:cs="Times New Roman"/>
          <w:kern w:val="2"/>
          <w:sz w:val="28"/>
          <w:szCs w:val="24"/>
          <w:lang w:eastAsia="zh-CN"/>
        </w:rPr>
      </w:pPr>
      <w:r>
        <w:rPr>
          <w:rFonts w:hint="eastAsia" w:ascii="仿宋_GB2312" w:hAnsi="Calibri" w:eastAsia="仿宋_GB2312" w:cs="Times New Roman"/>
          <w:spacing w:val="8"/>
          <w:kern w:val="2"/>
          <w:sz w:val="28"/>
          <w:szCs w:val="24"/>
          <w:lang w:eastAsia="zh-CN"/>
        </w:rPr>
        <w:t>抄送：证监会市场二司、法治司；中国证券投资基金业协会。</w:t>
      </w:r>
    </w:p>
    <w:p w14:paraId="68E76926">
      <w:pPr>
        <w:keepNext w:val="0"/>
        <w:keepLines w:val="0"/>
        <w:pageBreakBefore w:val="0"/>
        <w:widowControl w:val="0"/>
        <w:pBdr>
          <w:top w:val="single" w:color="auto" w:sz="4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 w:line="240" w:lineRule="auto"/>
        <w:ind w:firstLine="296" w:firstLineChars="100"/>
        <w:jc w:val="left"/>
        <w:textAlignment w:val="auto"/>
        <w:rPr>
          <w:rFonts w:hint="eastAsia" w:ascii="仿宋_GB2312" w:hAnsi="Calibri" w:eastAsia="仿宋_GB2312" w:cs="Times New Roman"/>
          <w:spacing w:val="8"/>
          <w:kern w:val="2"/>
          <w:sz w:val="28"/>
          <w:szCs w:val="24"/>
          <w:lang w:eastAsia="zh-CN"/>
        </w:rPr>
      </w:pPr>
      <w:r>
        <w:rPr>
          <w:rFonts w:hint="eastAsia" w:ascii="仿宋_GB2312" w:hAnsi="Calibri" w:eastAsia="仿宋_GB2312" w:cs="Times New Roman"/>
          <w:spacing w:val="8"/>
          <w:kern w:val="2"/>
          <w:sz w:val="28"/>
          <w:szCs w:val="24"/>
          <w:lang w:eastAsia="zh-CN"/>
        </w:rPr>
        <w:t xml:space="preserve">广东证监局办公室              </w:t>
      </w:r>
      <w:r>
        <w:rPr>
          <w:rFonts w:hint="default" w:ascii="仿宋_GB2312" w:hAnsi="Calibri" w:eastAsia="仿宋_GB2312" w:cs="Times New Roman"/>
          <w:spacing w:val="8"/>
          <w:kern w:val="2"/>
          <w:sz w:val="28"/>
          <w:szCs w:val="24"/>
          <w:lang w:val="en-US" w:eastAsia="zh-CN"/>
        </w:rPr>
        <w:t xml:space="preserve">   </w:t>
      </w:r>
      <w:r>
        <w:rPr>
          <w:rFonts w:hint="eastAsia" w:ascii="仿宋_GB2312" w:hAnsi="Calibri" w:eastAsia="仿宋_GB2312" w:cs="Times New Roman"/>
          <w:spacing w:val="8"/>
          <w:kern w:val="2"/>
          <w:sz w:val="28"/>
          <w:szCs w:val="24"/>
          <w:lang w:eastAsia="zh-CN"/>
        </w:rPr>
        <w:t xml:space="preserve"> </w:t>
      </w:r>
      <w:r>
        <w:rPr>
          <w:rFonts w:hint="default" w:ascii="仿宋_GB2312" w:hAnsi="Calibri" w:eastAsia="仿宋_GB2312" w:cs="Times New Roman"/>
          <w:spacing w:val="8"/>
          <w:kern w:val="2"/>
          <w:sz w:val="28"/>
          <w:szCs w:val="24"/>
          <w:lang w:val="en" w:eastAsia="zh-CN"/>
        </w:rPr>
        <w:t>202</w:t>
      </w:r>
      <w:r>
        <w:rPr>
          <w:rFonts w:hint="default" w:ascii="仿宋_GB2312" w:hAnsi="Calibri" w:eastAsia="仿宋_GB2312" w:cs="Times New Roman"/>
          <w:spacing w:val="8"/>
          <w:kern w:val="2"/>
          <w:sz w:val="28"/>
          <w:szCs w:val="24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spacing w:val="8"/>
          <w:kern w:val="2"/>
          <w:sz w:val="28"/>
          <w:szCs w:val="24"/>
          <w:lang w:eastAsia="zh-CN"/>
        </w:rPr>
        <w:t>年</w:t>
      </w:r>
      <w:r>
        <w:rPr>
          <w:rFonts w:hint="default" w:ascii="仿宋_GB2312" w:hAnsi="Calibri" w:eastAsia="仿宋_GB2312" w:cs="Times New Roman"/>
          <w:spacing w:val="8"/>
          <w:kern w:val="2"/>
          <w:sz w:val="28"/>
          <w:szCs w:val="24"/>
          <w:lang w:val="en-US" w:eastAsia="zh-CN"/>
        </w:rPr>
        <w:t>10</w:t>
      </w:r>
      <w:r>
        <w:rPr>
          <w:rFonts w:hint="eastAsia" w:ascii="仿宋_GB2312" w:hAnsi="Calibri" w:eastAsia="仿宋_GB2312" w:cs="Times New Roman"/>
          <w:spacing w:val="8"/>
          <w:kern w:val="2"/>
          <w:sz w:val="28"/>
          <w:szCs w:val="24"/>
          <w:lang w:eastAsia="zh-CN"/>
        </w:rPr>
        <w:t>月</w:t>
      </w:r>
      <w:r>
        <w:rPr>
          <w:rFonts w:hint="default" w:ascii="仿宋_GB2312" w:hAnsi="Calibri" w:eastAsia="仿宋_GB2312" w:cs="Times New Roman"/>
          <w:spacing w:val="8"/>
          <w:kern w:val="2"/>
          <w:sz w:val="28"/>
          <w:szCs w:val="24"/>
          <w:lang w:val="en-US" w:eastAsia="zh-CN"/>
        </w:rPr>
        <w:t>27</w:t>
      </w:r>
      <w:r>
        <w:rPr>
          <w:rFonts w:hint="eastAsia" w:ascii="仿宋_GB2312" w:hAnsi="Calibri" w:eastAsia="仿宋_GB2312" w:cs="Times New Roman"/>
          <w:spacing w:val="8"/>
          <w:kern w:val="2"/>
          <w:sz w:val="28"/>
          <w:szCs w:val="24"/>
          <w:lang w:eastAsia="zh-CN"/>
        </w:rPr>
        <w:t>日印发</w:t>
      </w:r>
    </w:p>
    <w:bookmarkEnd w:id="2"/>
    <w:p w14:paraId="5F8BF3D7">
      <w:pPr>
        <w:keepNext w:val="0"/>
        <w:keepLines w:val="0"/>
        <w:pageBreakBefore w:val="0"/>
        <w:widowControl w:val="0"/>
        <w:pBdr>
          <w:top w:val="single" w:color="auto" w:sz="8" w:space="7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240" w:lineRule="auto"/>
        <w:ind w:firstLine="0"/>
        <w:jc w:val="left"/>
        <w:textAlignment w:val="auto"/>
        <w:rPr>
          <w:rFonts w:hint="eastAsia" w:ascii="仿宋_GB2312" w:hAnsi="Calibri" w:eastAsia="仿宋_GB2312" w:cs="Times New Roman"/>
          <w:spacing w:val="8"/>
          <w:kern w:val="2"/>
          <w:sz w:val="2"/>
          <w:szCs w:val="2"/>
          <w:lang w:eastAsia="zh-CN"/>
        </w:rPr>
      </w:pPr>
    </w:p>
    <w:p w14:paraId="1DAF99E9">
      <w:pPr>
        <w:keepNext w:val="0"/>
        <w:keepLines w:val="0"/>
        <w:pageBreakBefore w:val="0"/>
        <w:widowControl w:val="0"/>
        <w:pBdr>
          <w:top w:val="single" w:color="auto" w:sz="8" w:space="7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240" w:lineRule="auto"/>
        <w:ind w:firstLine="0"/>
        <w:jc w:val="left"/>
        <w:textAlignment w:val="auto"/>
        <w:rPr>
          <w:rFonts w:hint="eastAsia" w:ascii="仿宋_GB2312" w:hAnsi="Calibri" w:eastAsia="仿宋_GB2312" w:cs="Times New Roman"/>
          <w:spacing w:val="8"/>
          <w:kern w:val="2"/>
          <w:sz w:val="2"/>
          <w:szCs w:val="2"/>
          <w:lang w:eastAsia="zh-CN"/>
        </w:rPr>
      </w:pPr>
    </w:p>
    <w:sectPr>
      <w:headerReference r:id="rId5" w:type="default"/>
      <w:footerReference r:id="rId6" w:type="default"/>
      <w:pgSz w:w="11900" w:h="16838"/>
      <w:pgMar w:top="2097" w:right="1474" w:bottom="1984" w:left="1587" w:header="851" w:footer="1587" w:gutter="0"/>
      <w:pgNumType w:fmt="numberInDash"/>
      <w:cols w:space="0" w:num="1"/>
      <w:rtlGutter w:val="0"/>
      <w:docGrid w:type="lines" w:linePitch="3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长城仿宋">
    <w:altName w:val="方正仿宋_GBK"/>
    <w:panose1 w:val="02010609000101010101"/>
    <w:charset w:val="00"/>
    <w:family w:val="roma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ECCD5">
    <w:pPr>
      <w:pStyle w:val="2"/>
      <w:spacing w:after="0" w:line="240" w:lineRule="auto"/>
      <w:jc w:val="center"/>
      <w:rPr>
        <w:rFonts w:hint="eastAsia" w:ascii="宋体" w:hAnsi="宋体" w:eastAsia="宋体" w:cs="宋体"/>
        <w:sz w:val="28"/>
        <w:szCs w:val="16"/>
        <w:lang w:val="en-US"/>
      </w:rPr>
    </w:pPr>
    <w:r>
      <w:rPr>
        <w:rFonts w:hint="eastAsia" w:ascii="宋体" w:hAnsi="宋体" w:eastAsia="宋体" w:cs="宋体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4445" t="4445" r="14605" b="1460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5932C9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5932C9">
                    <w:pP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D3A82">
    <w:pPr>
      <w:pStyle w:val="3"/>
      <w:spacing w:after="0" w:line="240" w:lineRule="auto"/>
      <w:rPr>
        <w:rFonts w:hint="default" w:ascii="Times New Roman" w:hAnsi="Times New Roman" w:cs="Times New Roman"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readOnly" w:enforcement="0"/>
  <w:defaultTabStop w:val="420"/>
  <w:drawingGridHorizontalSpacing w:val="210"/>
  <w:drawingGridVerticalSpacing w:val="159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D5044"/>
    <w:rsid w:val="2BAB5523"/>
    <w:rsid w:val="3BBF6535"/>
    <w:rsid w:val="5DB65FDD"/>
    <w:rsid w:val="6CBDCECC"/>
    <w:rsid w:val="7DDAE2AF"/>
    <w:rsid w:val="7FBB5B52"/>
    <w:rsid w:val="7FE305F2"/>
    <w:rsid w:val="B9EBDE94"/>
    <w:rsid w:val="BADA82E6"/>
    <w:rsid w:val="F33E72EF"/>
    <w:rsid w:val="F77D61E8"/>
    <w:rsid w:val="FFFD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="Times New Roman"/>
      <w:sz w:val="21"/>
      <w:szCs w:val="20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NormalIndent"/>
    <w:basedOn w:val="1"/>
    <w:next w:val="1"/>
    <w:qFormat/>
    <w:uiPriority w:val="0"/>
    <w:pPr>
      <w:ind w:firstLine="880" w:firstLineChars="200"/>
      <w:textAlignment w:val="baseline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2026-10-22T14:49:00Z</dcterms:created>
  <dc:creator>张竣宇：主办人拟稿</dc:creator>
  <cp:lastModifiedBy>于晓雷</cp:lastModifiedBy>
  <dcterms:modified xsi:type="dcterms:W3CDTF">2026-11-06T17:36:33Z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AB7B5D1C6162BDB5E3E1D56A4F3BA25A</vt:lpwstr>
  </property>
</Properties>
</file>