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20"/>
        </w:tabs>
        <w:jc w:val="center"/>
        <w:rPr>
          <w:rFonts w:hint="eastAsia" w:ascii="方正小标宋简体" w:hAnsi="方正小标宋简体" w:eastAsia="方正小标宋简体"/>
          <w:b/>
          <w:color w:val="FF0000"/>
          <w:w w:val="95"/>
          <w:kern w:val="0"/>
          <w:sz w:val="44"/>
          <w:szCs w:val="116"/>
        </w:rPr>
      </w:pPr>
      <w:bookmarkStart w:id="3" w:name="_GoBack"/>
      <w:bookmarkEnd w:id="3"/>
      <w:bookmarkStart w:id="0" w:name="_Hlk141567855"/>
      <w:bookmarkEnd w:id="0"/>
      <w:r>
        <w:rPr>
          <w:rFonts w:hint="eastAsia" w:ascii="方正小标宋简体" w:hAnsi="方正小标宋简体" w:eastAsia="方正小标宋简体" w:cs="黑体"/>
          <w:b/>
          <w:color w:val="FF0000"/>
          <w:w w:val="95"/>
          <w:sz w:val="44"/>
          <w:szCs w:val="72"/>
        </w:rPr>
        <w:t>中国证券监督管理委员会广东监管局</w:t>
      </w:r>
    </w:p>
    <w:p>
      <w:pPr>
        <w:jc w:val="center"/>
        <w:rPr>
          <w:rFonts w:hint="eastAsia" w:ascii="方正小标宋简体" w:hAnsi="方正小标宋简体" w:eastAsia="方正小标宋简体"/>
          <w:snapToGrid w:val="0"/>
          <w:spacing w:val="85"/>
          <w:w w:val="90"/>
          <w:sz w:val="72"/>
          <w:szCs w:val="72"/>
        </w:rPr>
      </w:pPr>
      <w:r>
        <w:rPr>
          <w:rFonts w:hint="eastAsia" w:ascii="方正小标宋简体" w:hAnsi="方正小标宋简体" w:eastAsia="方正小标宋简体"/>
          <w:b/>
          <w:bCs/>
          <w:snapToGrid w:val="0"/>
          <w:color w:val="FF0000"/>
          <w:spacing w:val="85"/>
          <w:w w:val="90"/>
          <w:sz w:val="72"/>
          <w:szCs w:val="72"/>
        </w:rPr>
        <w:t>行政监管措施决定书</w:t>
      </w:r>
    </w:p>
    <w:p>
      <w:pPr>
        <w:snapToGrid w:val="0"/>
        <w:jc w:val="center"/>
        <w:rPr>
          <w:rFonts w:hint="eastAsia" w:ascii="仿宋_GB2312" w:hAnsi="仿宋_GB2312" w:eastAsia="仿宋_GB2312" w:cs="宋体"/>
          <w:sz w:val="28"/>
          <w:szCs w:val="28"/>
        </w:rPr>
      </w:pPr>
    </w:p>
    <w:p>
      <w:pPr>
        <w:suppressAutoHyphens/>
        <w:bidi w:val="0"/>
        <w:adjustRightInd/>
        <w:snapToGrid w:val="0"/>
        <w:spacing w:before="156" w:beforeLines="50" w:line="300" w:lineRule="auto"/>
        <w:ind w:firstLine="0" w:firstLineChars="0"/>
        <w:jc w:val="center"/>
        <w:rPr>
          <w:rFonts w:ascii="黑体" w:hAnsi="Times New Roman" w:eastAsia="黑体" w:cs="Times New Roman"/>
          <w:color w:val="000000"/>
          <w:spacing w:val="12"/>
          <w:sz w:val="32"/>
          <w:szCs w:val="20"/>
        </w:rPr>
      </w:pPr>
      <w:bookmarkStart w:id="1" w:name="WH"/>
      <w:bookmarkEnd w:id="1"/>
      <w:r>
        <w:rPr>
          <w:rFonts w:hint="eastAsia" w:ascii="仿宋_GB2312" w:hAnsi="Times New Roman" w:eastAsia="仿宋_GB2312" w:cs="Times New Roman"/>
          <w:color w:val="000000"/>
          <w:spacing w:val="12"/>
          <w:sz w:val="28"/>
          <w:szCs w:val="20"/>
        </w:rPr>
        <w:t>〔20</w:t>
      </w:r>
      <w:r>
        <w:rPr>
          <w:rFonts w:hint="default" w:ascii="仿宋_GB2312" w:hAnsi="Times New Roman" w:eastAsia="仿宋_GB2312" w:cs="Times New Roman"/>
          <w:color w:val="000000"/>
          <w:spacing w:val="12"/>
          <w:sz w:val="28"/>
          <w:szCs w:val="20"/>
          <w:lang w:val="en-US"/>
        </w:rPr>
        <w:t>26</w:t>
      </w:r>
      <w:r>
        <w:rPr>
          <w:rFonts w:hint="eastAsia" w:ascii="仿宋_GB2312" w:hAnsi="Times New Roman" w:eastAsia="仿宋_GB2312" w:cs="Times New Roman"/>
          <w:color w:val="000000"/>
          <w:spacing w:val="12"/>
          <w:sz w:val="28"/>
          <w:szCs w:val="20"/>
        </w:rPr>
        <w:t>〕</w:t>
      </w:r>
      <w:r>
        <w:rPr>
          <w:rFonts w:hint="default" w:ascii="仿宋_GB2312" w:hAnsi="Times New Roman" w:eastAsia="仿宋_GB2312" w:cs="Times New Roman"/>
          <w:color w:val="000000"/>
          <w:spacing w:val="12"/>
          <w:sz w:val="28"/>
          <w:szCs w:val="20"/>
          <w:lang w:val="en-US"/>
        </w:rPr>
        <w:t>133</w:t>
      </w:r>
      <w:r>
        <w:rPr>
          <w:rFonts w:hint="eastAsia" w:ascii="仿宋_GB2312" w:hAnsi="Times New Roman" w:eastAsia="仿宋_GB2312" w:cs="Times New Roman"/>
          <w:color w:val="000000"/>
          <w:spacing w:val="12"/>
          <w:sz w:val="28"/>
          <w:szCs w:val="20"/>
        </w:rPr>
        <w:t>号</w:t>
      </w:r>
    </w:p>
    <w:p>
      <w:pPr>
        <w:snapToGrid w:val="0"/>
        <w:jc w:val="center"/>
        <w:rPr>
          <w:rFonts w:hint="eastAsia" w:ascii="仿宋_GB2312" w:hAnsi="仿宋_GB2312" w:eastAsia="仿宋_GB2312"/>
          <w:sz w:val="28"/>
          <w:szCs w:val="28"/>
        </w:rPr>
      </w:pPr>
      <w:r>
        <w:rPr>
          <w:szCs w:val="20"/>
        </w:rPr>
        <mc:AlternateContent>
          <mc:Choice Requires="wps">
            <w:drawing>
              <wp:anchor distT="0" distB="0" distL="114300" distR="114300" simplePos="0" relativeHeight="251659264" behindDoc="0" locked="0" layoutInCell="1" allowOverlap="1">
                <wp:simplePos x="0" y="0"/>
                <wp:positionH relativeFrom="column">
                  <wp:posOffset>80645</wp:posOffset>
                </wp:positionH>
                <wp:positionV relativeFrom="paragraph">
                  <wp:posOffset>128905</wp:posOffset>
                </wp:positionV>
                <wp:extent cx="5551805" cy="635"/>
                <wp:effectExtent l="0" t="0" r="0" b="0"/>
                <wp:wrapNone/>
                <wp:docPr id="1" name="直接连接符 1"/>
                <wp:cNvGraphicFramePr/>
                <a:graphic xmlns:a="http://schemas.openxmlformats.org/drawingml/2006/main">
                  <a:graphicData uri="http://schemas.microsoft.com/office/word/2010/wordprocessingShape">
                    <wps:wsp>
                      <wps:cNvCnPr/>
                      <wps:spPr>
                        <a:xfrm>
                          <a:off x="0" y="0"/>
                          <a:ext cx="5551805" cy="635"/>
                        </a:xfrm>
                        <a:prstGeom prst="line">
                          <a:avLst/>
                        </a:prstGeom>
                        <a:ln w="12700" cap="flat" cmpd="sng">
                          <a:solidFill>
                            <a:srgbClr val="FF0000"/>
                          </a:solidFill>
                          <a:prstDash val="solid"/>
                          <a:headEnd type="none" w="med" len="med"/>
                          <a:tailEnd type="none" w="med" len="med"/>
                        </a:ln>
                        <a:effectLst/>
                      </wps:spPr>
                      <wps:bodyPr upright="true"/>
                    </wps:wsp>
                  </a:graphicData>
                </a:graphic>
              </wp:anchor>
            </w:drawing>
          </mc:Choice>
          <mc:Fallback>
            <w:pict>
              <v:line id="_x0000_s1026" o:spid="_x0000_s1026" o:spt="20" style="position:absolute;left:0pt;margin-left:6.35pt;margin-top:10.15pt;height:0.05pt;width:437.15pt;z-index:251659264;mso-width-relative:page;mso-height-relative:page;" filled="f" stroked="t" coordsize="21600,21600" o:gfxdata="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WAAAAZHJzL1BLAQIU&#10;ABQAAAAIAIdO4kDML7WS1gAAAAgBAAAPAAAAAAAAAAEAIAAAADgAAABkcnMvZG93bnJldi54bWxQ&#10;SwECFAAUAAAACACHTuJAIhmvX+MBAACqAwAADgAAAAAAAAABACAAAAA7AQAAZHJzL2Uyb0RvYy54&#10;bWxQSwUGAAAAAAYABgBZAQAAkAUAAAAA&#10;">
                <v:fill on="f" focussize="0,0"/>
                <v:stroke weight="1pt" color="#FF0000" joinstyle="round"/>
                <v:imagedata o:title=""/>
                <o:lock v:ext="edit" aspectratio="f"/>
              </v:line>
            </w:pict>
          </mc:Fallback>
        </mc:AlternateContent>
      </w:r>
    </w:p>
    <w:p>
      <w:pPr>
        <w:jc w:val="center"/>
        <w:rPr>
          <w:rFonts w:hint="eastAsia"/>
          <w:sz w:val="28"/>
          <w:szCs w:val="28"/>
        </w:rPr>
      </w:pPr>
    </w:p>
    <w:p>
      <w:pPr>
        <w:keepNext w:val="0"/>
        <w:keepLines w:val="0"/>
        <w:widowControl/>
        <w:suppressLineNumbers w:val="0"/>
        <w:snapToGrid w:val="0"/>
        <w:spacing w:beforeLines="0" w:afterLines="0"/>
        <w:ind w:firstLine="220" w:firstLineChars="50"/>
        <w:jc w:val="center"/>
        <w:outlineLvl w:val="0"/>
        <w:rPr>
          <w:rFonts w:hint="eastAsia" w:ascii="方正小标宋简体" w:hAnsi="方正小标宋简体" w:eastAsia="方正小标宋简体" w:cs="方正小标宋简体"/>
          <w:spacing w:val="0"/>
          <w:kern w:val="0"/>
          <w:sz w:val="44"/>
          <w:szCs w:val="44"/>
          <w:highlight w:val="none"/>
          <w:lang w:val="en-US" w:eastAsia="zh-CN" w:bidi="ar-SA"/>
        </w:rPr>
      </w:pPr>
      <w:bookmarkStart w:id="2" w:name="quanwen"/>
      <w:r>
        <w:rPr>
          <w:rFonts w:hint="eastAsia" w:ascii="方正小标宋简体" w:hAnsi="方正小标宋简体" w:eastAsia="方正小标宋简体" w:cs="方正小标宋简体"/>
          <w:spacing w:val="0"/>
          <w:kern w:val="0"/>
          <w:sz w:val="44"/>
          <w:szCs w:val="44"/>
          <w:highlight w:val="none"/>
          <w:lang w:val="en-US" w:eastAsia="zh-CN" w:bidi="ar-SA"/>
        </w:rPr>
        <w:t>关于对立信会计师事务所（特殊普通合伙）、陈勇波、梁谦海、王文俊、马</w:t>
      </w:r>
      <w:r>
        <w:rPr>
          <w:rFonts w:hint="eastAsia" w:ascii="方正小标宋简体" w:hAnsi="方正小标宋简体" w:eastAsia="方正小标宋_GBK" w:cs="方正小标宋简体"/>
          <w:spacing w:val="0"/>
          <w:kern w:val="0"/>
          <w:sz w:val="44"/>
          <w:szCs w:val="44"/>
          <w:highlight w:val="none"/>
          <w:lang w:val="en-US" w:eastAsia="zh-CN" w:bidi="ar-SA"/>
        </w:rPr>
        <w:t>玥</w:t>
      </w:r>
      <w:r>
        <w:rPr>
          <w:rFonts w:hint="eastAsia" w:ascii="方正小标宋简体" w:hAnsi="方正小标宋简体" w:eastAsia="方正小标宋简体" w:cs="方正小标宋简体"/>
          <w:spacing w:val="0"/>
          <w:kern w:val="0"/>
          <w:sz w:val="44"/>
          <w:szCs w:val="44"/>
          <w:highlight w:val="none"/>
          <w:lang w:val="en-US" w:eastAsia="zh-CN" w:bidi="ar-SA"/>
        </w:rPr>
        <w:t>采取出具</w:t>
      </w:r>
    </w:p>
    <w:p>
      <w:pPr>
        <w:keepNext w:val="0"/>
        <w:keepLines w:val="0"/>
        <w:widowControl/>
        <w:suppressLineNumbers w:val="0"/>
        <w:snapToGrid w:val="0"/>
        <w:spacing w:beforeLines="0" w:afterLines="0"/>
        <w:jc w:val="center"/>
        <w:outlineLvl w:val="0"/>
        <w:rPr>
          <w:rFonts w:hint="eastAsia" w:ascii="方正小标宋简体" w:hAnsi="方正小标宋简体" w:eastAsia="方正小标宋简体" w:cs="方正小标宋简体"/>
          <w:spacing w:val="0"/>
          <w:kern w:val="0"/>
          <w:sz w:val="44"/>
          <w:szCs w:val="44"/>
          <w:highlight w:val="none"/>
          <w:lang w:val="en-US" w:eastAsia="zh-CN" w:bidi="ar-SA"/>
        </w:rPr>
      </w:pPr>
      <w:r>
        <w:rPr>
          <w:rFonts w:hint="eastAsia" w:ascii="方正小标宋简体" w:hAnsi="方正小标宋简体" w:eastAsia="方正小标宋简体" w:cs="方正小标宋简体"/>
          <w:spacing w:val="0"/>
          <w:kern w:val="0"/>
          <w:sz w:val="44"/>
          <w:szCs w:val="44"/>
          <w:highlight w:val="none"/>
          <w:lang w:val="en-US" w:eastAsia="zh-CN" w:bidi="ar-SA"/>
        </w:rPr>
        <w:t>警示函措施的决定</w:t>
      </w:r>
    </w:p>
    <w:p>
      <w:pPr>
        <w:overflowPunct w:val="0"/>
        <w:snapToGrid w:val="0"/>
        <w:spacing w:beforeLines="0" w:afterLines="0" w:line="240" w:lineRule="auto"/>
        <w:ind w:firstLine="640"/>
        <w:rPr>
          <w:rFonts w:hint="eastAsia" w:ascii="方正小标宋简体" w:hAnsi="方正小标宋简体" w:eastAsia="方正小标宋简体" w:cs="方正小标宋简体"/>
          <w:kern w:val="0"/>
          <w:sz w:val="32"/>
          <w:szCs w:val="32"/>
          <w:highlight w:val="none"/>
          <w:lang w:val="en-US" w:eastAsia="zh-CN"/>
        </w:rPr>
      </w:pPr>
    </w:p>
    <w:p>
      <w:pPr>
        <w:keepNext w:val="0"/>
        <w:keepLines w:val="0"/>
        <w:pageBreakBefore w:val="0"/>
        <w:widowControl w:val="0"/>
        <w:kinsoku/>
        <w:wordWrap/>
        <w:overflowPunct w:val="0"/>
        <w:topLinePunct w:val="0"/>
        <w:autoSpaceDE/>
        <w:autoSpaceDN/>
        <w:bidi w:val="0"/>
        <w:snapToGrid w:val="0"/>
        <w:spacing w:beforeLines="0" w:afterLines="0" w:line="336" w:lineRule="auto"/>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立信会计师事务所（特殊普通合伙）、</w:t>
      </w:r>
      <w:r>
        <w:rPr>
          <w:rFonts w:hint="eastAsia" w:ascii="仿宋_GB2312" w:hAnsi="仿宋_GB2312" w:eastAsia="仿宋_GB2312" w:cs="仿宋_GB2312"/>
          <w:kern w:val="0"/>
          <w:sz w:val="32"/>
          <w:szCs w:val="32"/>
          <w:highlight w:val="none"/>
          <w:lang w:val="en" w:eastAsia="zh-CN"/>
        </w:rPr>
        <w:t>陈勇波、梁谦海、王文俊、马</w:t>
      </w:r>
      <w:r>
        <w:rPr>
          <w:rFonts w:hint="eastAsia" w:ascii="仿宋_GB2312" w:hAnsi="仿宋_GB2312" w:eastAsia="仿宋" w:cs="仿宋_GB2312"/>
          <w:kern w:val="0"/>
          <w:sz w:val="32"/>
          <w:szCs w:val="32"/>
          <w:highlight w:val="none"/>
          <w:lang w:val="en" w:eastAsia="zh-CN"/>
        </w:rPr>
        <w:t>玥</w:t>
      </w:r>
      <w:r>
        <w:rPr>
          <w:rFonts w:hint="eastAsia" w:ascii="仿宋_GB2312" w:hAnsi="仿宋_GB2312" w:eastAsia="仿宋_GB2312" w:cs="仿宋_GB2312"/>
          <w:kern w:val="0"/>
          <w:sz w:val="32"/>
          <w:szCs w:val="32"/>
          <w:highlight w:val="none"/>
          <w:lang w:val="en-US" w:eastAsia="zh-CN"/>
        </w:rPr>
        <w:t>：</w:t>
      </w:r>
    </w:p>
    <w:p>
      <w:pPr>
        <w:keepNext w:val="0"/>
        <w:keepLines w:val="0"/>
        <w:pageBreakBefore w:val="0"/>
        <w:widowControl w:val="0"/>
        <w:kinsoku/>
        <w:wordWrap/>
        <w:overflowPunct w:val="0"/>
        <w:topLinePunct w:val="0"/>
        <w:autoSpaceDE/>
        <w:autoSpaceDN/>
        <w:bidi w:val="0"/>
        <w:snapToGrid w:val="0"/>
        <w:spacing w:beforeLines="0" w:afterLines="0" w:line="336" w:lineRule="auto"/>
        <w:ind w:firstLine="640"/>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依据《中华人民共和国证券法》的有关规定，我局对</w:t>
      </w:r>
      <w:r>
        <w:rPr>
          <w:rFonts w:hint="eastAsia" w:ascii="仿宋_GB2312" w:hAnsi="仿宋_GB2312" w:eastAsia="仿宋_GB2312" w:cs="仿宋_GB2312"/>
          <w:kern w:val="0"/>
          <w:sz w:val="32"/>
          <w:szCs w:val="32"/>
          <w:highlight w:val="none"/>
          <w:lang w:val="en" w:eastAsia="zh-CN"/>
        </w:rPr>
        <w:t>立信</w:t>
      </w:r>
      <w:r>
        <w:rPr>
          <w:rFonts w:hint="eastAsia" w:ascii="仿宋_GB2312" w:hAnsi="仿宋_GB2312" w:eastAsia="仿宋_GB2312" w:cs="仿宋_GB2312"/>
          <w:kern w:val="0"/>
          <w:sz w:val="32"/>
          <w:szCs w:val="32"/>
          <w:highlight w:val="none"/>
          <w:lang w:val="en-US" w:eastAsia="zh-CN"/>
        </w:rPr>
        <w:t>会计师事务所（特殊普通合伙，以下简称立信</w:t>
      </w:r>
      <w:r>
        <w:rPr>
          <w:rFonts w:hint="eastAsia" w:ascii="仿宋_GB2312" w:hAnsi="仿宋_GB2312" w:eastAsia="仿宋_GB2312" w:cs="仿宋_GB2312"/>
          <w:kern w:val="0"/>
          <w:sz w:val="32"/>
          <w:szCs w:val="32"/>
          <w:highlight w:val="none"/>
          <w:lang w:val="en" w:eastAsia="zh-CN"/>
        </w:rPr>
        <w:t>所</w:t>
      </w:r>
      <w:r>
        <w:rPr>
          <w:rFonts w:hint="eastAsia" w:ascii="仿宋_GB2312" w:hAnsi="仿宋_GB2312" w:eastAsia="仿宋_GB2312" w:cs="仿宋_GB2312"/>
          <w:kern w:val="0"/>
          <w:sz w:val="32"/>
          <w:szCs w:val="32"/>
          <w:highlight w:val="none"/>
          <w:lang w:val="en-US" w:eastAsia="zh-CN"/>
        </w:rPr>
        <w:t>）执业的</w:t>
      </w:r>
      <w:r>
        <w:rPr>
          <w:rFonts w:hint="eastAsia" w:ascii="仿宋_GB2312" w:hAnsi="仿宋_GB2312" w:eastAsia="仿宋_GB2312" w:cs="仿宋_GB2312"/>
          <w:color w:val="auto"/>
          <w:spacing w:val="-6"/>
          <w:sz w:val="32"/>
          <w:szCs w:val="32"/>
          <w:highlight w:val="none"/>
          <w:lang w:val="en-US" w:eastAsia="zh-CN"/>
        </w:rPr>
        <w:t>广州市香雪制药股份有限公司</w:t>
      </w:r>
      <w:r>
        <w:rPr>
          <w:rFonts w:hint="eastAsia" w:ascii="仿宋_GB2312" w:hAnsi="Calibri" w:eastAsia="仿宋_GB2312" w:cs="黑体"/>
          <w:spacing w:val="0"/>
          <w:kern w:val="0"/>
          <w:sz w:val="32"/>
          <w:szCs w:val="32"/>
          <w:lang w:eastAsia="zh-CN"/>
        </w:rPr>
        <w:t>（以下简称</w:t>
      </w:r>
      <w:r>
        <w:rPr>
          <w:rFonts w:hint="eastAsia" w:ascii="仿宋_GB2312" w:hAnsi="仿宋_GB2312" w:eastAsia="仿宋_GB2312" w:cs="仿宋_GB2312"/>
          <w:color w:val="auto"/>
          <w:spacing w:val="-6"/>
          <w:sz w:val="32"/>
          <w:szCs w:val="32"/>
          <w:highlight w:val="none"/>
          <w:lang w:val="en-US" w:eastAsia="zh-CN"/>
        </w:rPr>
        <w:t>香雪制药</w:t>
      </w:r>
      <w:r>
        <w:rPr>
          <w:rFonts w:hint="eastAsia" w:ascii="仿宋_GB2312" w:hAnsi="Calibri" w:eastAsia="仿宋_GB2312" w:cs="黑体"/>
          <w:spacing w:val="0"/>
          <w:kern w:val="0"/>
          <w:sz w:val="32"/>
          <w:szCs w:val="32"/>
          <w:lang w:eastAsia="zh-CN"/>
        </w:rPr>
        <w:t>）</w:t>
      </w:r>
      <w:r>
        <w:rPr>
          <w:rFonts w:hint="default" w:ascii="仿宋_GB2312" w:hAnsi="仿宋_GB2312" w:eastAsia="仿宋_GB2312" w:cs="仿宋_GB2312"/>
          <w:kern w:val="0"/>
          <w:sz w:val="32"/>
          <w:szCs w:val="32"/>
          <w:highlight w:val="none"/>
          <w:lang w:val="en-US" w:eastAsia="zh-CN"/>
        </w:rPr>
        <w:t>2016</w:t>
      </w:r>
      <w:r>
        <w:rPr>
          <w:rFonts w:hint="eastAsia" w:ascii="仿宋_GB2312" w:hAnsi="仿宋_GB2312" w:eastAsia="仿宋_GB2312" w:cs="仿宋_GB2312"/>
          <w:kern w:val="0"/>
          <w:sz w:val="32"/>
          <w:szCs w:val="32"/>
          <w:highlight w:val="none"/>
          <w:lang w:val="en-US" w:eastAsia="zh-CN"/>
        </w:rPr>
        <w:t>年至2019年</w:t>
      </w:r>
      <w:r>
        <w:rPr>
          <w:rFonts w:hint="eastAsia" w:ascii="仿宋_GB2312" w:hAnsi="仿宋_GB2312" w:eastAsia="仿宋_GB2312" w:cs="Times New Roman"/>
          <w:color w:val="000000"/>
          <w:spacing w:val="0"/>
          <w:kern w:val="0"/>
          <w:sz w:val="32"/>
          <w:szCs w:val="24"/>
          <w:highlight w:val="none"/>
          <w:lang w:val="en-US" w:eastAsia="zh-CN"/>
        </w:rPr>
        <w:t>年报</w:t>
      </w:r>
      <w:r>
        <w:rPr>
          <w:rFonts w:hint="eastAsia" w:ascii="仿宋_GB2312" w:hAnsi="仿宋_GB2312" w:eastAsia="仿宋_GB2312" w:cs="仿宋_GB2312"/>
          <w:kern w:val="0"/>
          <w:sz w:val="32"/>
          <w:szCs w:val="32"/>
          <w:highlight w:val="none"/>
          <w:lang w:val="en-US" w:eastAsia="zh-CN"/>
        </w:rPr>
        <w:t>审计工作进行检查。经查，</w:t>
      </w:r>
      <w:r>
        <w:rPr>
          <w:rFonts w:hint="eastAsia" w:ascii="仿宋_GB2312" w:hAnsi="仿宋_GB2312" w:eastAsia="仿宋_GB2312" w:cs="仿宋_GB2312"/>
          <w:kern w:val="0"/>
          <w:sz w:val="32"/>
          <w:szCs w:val="32"/>
          <w:highlight w:val="none"/>
          <w:lang w:val="en" w:eastAsia="zh-CN"/>
        </w:rPr>
        <w:t>立信</w:t>
      </w:r>
      <w:r>
        <w:rPr>
          <w:rFonts w:hint="eastAsia" w:ascii="仿宋_GB2312" w:hAnsi="仿宋_GB2312" w:eastAsia="仿宋_GB2312" w:cs="仿宋_GB2312"/>
          <w:kern w:val="0"/>
          <w:sz w:val="32"/>
          <w:szCs w:val="32"/>
          <w:highlight w:val="none"/>
          <w:lang w:val="en-US" w:eastAsia="zh-CN"/>
        </w:rPr>
        <w:t>所审计执业存在以下问题：</w:t>
      </w:r>
    </w:p>
    <w:p>
      <w:pPr>
        <w:keepNext w:val="0"/>
        <w:keepLines w:val="0"/>
        <w:pageBreakBefore w:val="0"/>
        <w:widowControl w:val="0"/>
        <w:kinsoku/>
        <w:wordWrap/>
        <w:topLinePunct w:val="0"/>
        <w:autoSpaceDE/>
        <w:autoSpaceDN/>
        <w:bidi w:val="0"/>
        <w:snapToGrid w:val="0"/>
        <w:spacing w:beforeLines="0" w:afterLines="0" w:line="336" w:lineRule="auto"/>
        <w:ind w:firstLine="640" w:firstLineChars="200"/>
        <w:textAlignment w:val="auto"/>
        <w:rPr>
          <w:rFonts w:hint="eastAsia" w:ascii="仿宋_GB2312" w:hAnsi="仿宋_GB2312" w:eastAsia="仿宋_GB2312" w:cs="Times New Roman"/>
          <w:color w:val="000000"/>
          <w:spacing w:val="0"/>
          <w:kern w:val="0"/>
          <w:sz w:val="32"/>
          <w:szCs w:val="24"/>
          <w:highlight w:val="none"/>
          <w:lang w:val="en-US" w:eastAsia="zh-CN"/>
        </w:rPr>
      </w:pPr>
      <w:r>
        <w:rPr>
          <w:rFonts w:hint="eastAsia" w:ascii="黑体" w:hAnsi="黑体" w:eastAsia="黑体" w:cs="黑体"/>
          <w:color w:val="000000"/>
          <w:spacing w:val="0"/>
          <w:kern w:val="0"/>
          <w:sz w:val="32"/>
          <w:szCs w:val="24"/>
          <w:highlight w:val="none"/>
          <w:lang w:val="en-US" w:eastAsia="zh-CN"/>
        </w:rPr>
        <w:t>一、函证程序执行不到位。</w:t>
      </w:r>
      <w:r>
        <w:rPr>
          <w:rFonts w:hint="eastAsia" w:ascii="仿宋_GB2312" w:hAnsi="仿宋_GB2312" w:eastAsia="仿宋_GB2312" w:cs="Times New Roman"/>
          <w:color w:val="000000"/>
          <w:spacing w:val="0"/>
          <w:kern w:val="0"/>
          <w:sz w:val="32"/>
          <w:szCs w:val="24"/>
          <w:highlight w:val="none"/>
          <w:lang w:val="en-US" w:eastAsia="zh-CN"/>
        </w:rPr>
        <w:t>在2016年年报审计中，对部分信托产品未寄发询证函。上述情形不符合</w:t>
      </w:r>
      <w:r>
        <w:rPr>
          <w:rFonts w:hint="eastAsia" w:ascii="仿宋_GB2312" w:hAnsi="仿宋_GB2312" w:eastAsia="仿宋_GB2312" w:cs="仿宋_GB2312"/>
          <w:bCs/>
          <w:sz w:val="32"/>
          <w:szCs w:val="32"/>
          <w:lang w:val="en-US" w:eastAsia="zh-CN"/>
        </w:rPr>
        <w:t>《中国注册会计师审计准则第1312号——函证》（2010年修订）第十二条</w:t>
      </w:r>
      <w:r>
        <w:rPr>
          <w:rFonts w:hint="eastAsia" w:ascii="仿宋_GB2312" w:hAnsi="仿宋_GB2312" w:eastAsia="仿宋_GB2312" w:cs="Times New Roman"/>
          <w:color w:val="000000"/>
          <w:spacing w:val="0"/>
          <w:kern w:val="0"/>
          <w:sz w:val="32"/>
          <w:szCs w:val="24"/>
          <w:highlight w:val="none"/>
          <w:lang w:val="en-US" w:eastAsia="zh-CN"/>
        </w:rPr>
        <w:t>的规定。</w:t>
      </w:r>
    </w:p>
    <w:p>
      <w:pPr>
        <w:keepNext w:val="0"/>
        <w:keepLines w:val="0"/>
        <w:pageBreakBefore w:val="0"/>
        <w:widowControl w:val="0"/>
        <w:kinsoku/>
        <w:wordWrap/>
        <w:topLinePunct w:val="0"/>
        <w:autoSpaceDE/>
        <w:autoSpaceDN/>
        <w:bidi w:val="0"/>
        <w:snapToGrid w:val="0"/>
        <w:spacing w:beforeLines="0" w:afterLines="0" w:line="336" w:lineRule="auto"/>
        <w:ind w:firstLine="640" w:firstLineChars="200"/>
        <w:textAlignment w:val="auto"/>
        <w:rPr>
          <w:rFonts w:hint="eastAsia" w:ascii="仿宋_GB2312" w:hAnsi="仿宋_GB2312" w:eastAsia="仿宋_GB2312" w:cs="Times New Roman"/>
          <w:color w:val="000000"/>
          <w:spacing w:val="0"/>
          <w:kern w:val="0"/>
          <w:sz w:val="32"/>
          <w:szCs w:val="24"/>
          <w:highlight w:val="none"/>
          <w:lang w:val="en-US" w:eastAsia="zh-CN"/>
        </w:rPr>
      </w:pPr>
      <w:r>
        <w:rPr>
          <w:rFonts w:hint="eastAsia" w:ascii="黑体" w:hAnsi="黑体" w:eastAsia="黑体" w:cs="黑体"/>
          <w:b w:val="0"/>
          <w:bCs w:val="0"/>
          <w:color w:val="000000"/>
          <w:spacing w:val="0"/>
          <w:kern w:val="0"/>
          <w:sz w:val="32"/>
          <w:szCs w:val="24"/>
          <w:highlight w:val="none"/>
          <w:lang w:val="en-US" w:eastAsia="zh-CN"/>
        </w:rPr>
        <w:t>二、往来款项审计程序执行不到位。</w:t>
      </w:r>
      <w:r>
        <w:rPr>
          <w:rFonts w:hint="eastAsia" w:ascii="仿宋_GB2312" w:hAnsi="仿宋_GB2312" w:eastAsia="仿宋_GB2312" w:cs="Times New Roman"/>
          <w:b w:val="0"/>
          <w:bCs w:val="0"/>
          <w:color w:val="000000"/>
          <w:spacing w:val="0"/>
          <w:kern w:val="0"/>
          <w:sz w:val="32"/>
          <w:szCs w:val="24"/>
          <w:highlight w:val="none"/>
          <w:lang w:val="en-US" w:eastAsia="zh-CN"/>
        </w:rPr>
        <w:t>在2016年至2018年年报审计中，未结合《合作经营</w:t>
      </w:r>
      <w:r>
        <w:rPr>
          <w:rFonts w:hint="eastAsia" w:ascii="仿宋_GB2312" w:hAnsi="仿宋_GB2312" w:eastAsia="仿宋_GB2312" w:cs="Times New Roman"/>
          <w:color w:val="000000"/>
          <w:spacing w:val="0"/>
          <w:kern w:val="0"/>
          <w:sz w:val="32"/>
          <w:szCs w:val="24"/>
          <w:highlight w:val="none"/>
          <w:lang w:val="en-US" w:eastAsia="zh-CN"/>
        </w:rPr>
        <w:t>协议》有关条款对其他应收款相关的经营业务执行进一步审计程序。上述情形不符合《中国注册会计师审计准则第1101号——注册会计师的总体目标和审计工作的基本要求》（2010年修订）第二十八条和《中国注册会计师审计准则第1301号——审计证据》（2010年修订、2016年修订）</w:t>
      </w:r>
      <w:r>
        <w:rPr>
          <w:rFonts w:hint="eastAsia" w:ascii="仿宋_GB2312" w:hAnsi="仿宋_GB2312" w:eastAsia="仿宋_GB2312" w:cs="仿宋_GB2312"/>
          <w:bCs/>
          <w:sz w:val="32"/>
          <w:szCs w:val="32"/>
          <w:lang w:val="en-US" w:eastAsia="zh-CN"/>
        </w:rPr>
        <w:t>第十条</w:t>
      </w:r>
      <w:r>
        <w:rPr>
          <w:rFonts w:hint="eastAsia" w:ascii="仿宋_GB2312" w:hAnsi="仿宋_GB2312" w:eastAsia="仿宋_GB2312" w:cs="Times New Roman"/>
          <w:color w:val="000000"/>
          <w:spacing w:val="0"/>
          <w:kern w:val="0"/>
          <w:sz w:val="32"/>
          <w:szCs w:val="24"/>
          <w:highlight w:val="none"/>
          <w:lang w:val="en-US" w:eastAsia="zh-CN"/>
        </w:rPr>
        <w:t>的规定。</w:t>
      </w:r>
    </w:p>
    <w:p>
      <w:pPr>
        <w:keepNext w:val="0"/>
        <w:keepLines w:val="0"/>
        <w:pageBreakBefore w:val="0"/>
        <w:widowControl w:val="0"/>
        <w:kinsoku/>
        <w:wordWrap/>
        <w:topLinePunct w:val="0"/>
        <w:autoSpaceDE/>
        <w:autoSpaceDN/>
        <w:bidi w:val="0"/>
        <w:snapToGrid w:val="0"/>
        <w:spacing w:beforeLines="0" w:afterLines="0" w:line="336" w:lineRule="auto"/>
        <w:ind w:firstLine="640" w:firstLineChars="200"/>
        <w:textAlignment w:val="auto"/>
        <w:rPr>
          <w:rFonts w:hint="eastAsia" w:ascii="仿宋_GB2312" w:hAnsi="仿宋_GB2312" w:eastAsia="仿宋_GB2312" w:cs="Times New Roman"/>
          <w:color w:val="000000"/>
          <w:spacing w:val="0"/>
          <w:kern w:val="0"/>
          <w:sz w:val="32"/>
          <w:szCs w:val="24"/>
          <w:highlight w:val="none"/>
          <w:lang w:val="en-US" w:eastAsia="zh-CN"/>
        </w:rPr>
      </w:pPr>
      <w:r>
        <w:rPr>
          <w:rFonts w:hint="eastAsia" w:ascii="黑体" w:hAnsi="黑体" w:eastAsia="黑体" w:cs="黑体"/>
          <w:b w:val="0"/>
          <w:bCs w:val="0"/>
          <w:color w:val="000000"/>
          <w:spacing w:val="0"/>
          <w:kern w:val="0"/>
          <w:sz w:val="32"/>
          <w:szCs w:val="24"/>
          <w:highlight w:val="none"/>
          <w:lang w:val="en-US" w:eastAsia="zh-CN"/>
        </w:rPr>
        <w:t>三、货币资金审计程序执行不到位。</w:t>
      </w:r>
      <w:r>
        <w:rPr>
          <w:rFonts w:hint="eastAsia" w:ascii="仿宋_GB2312" w:hAnsi="仿宋_GB2312" w:eastAsia="仿宋_GB2312" w:cs="Times New Roman"/>
          <w:b w:val="0"/>
          <w:bCs w:val="0"/>
          <w:color w:val="000000"/>
          <w:spacing w:val="0"/>
          <w:kern w:val="0"/>
          <w:sz w:val="32"/>
          <w:szCs w:val="24"/>
          <w:highlight w:val="none"/>
          <w:lang w:val="en-US" w:eastAsia="zh-CN"/>
        </w:rPr>
        <w:t>在2016年至2018年年报审计中，对部分银行账户未获取完整的银行对账单。上述情形不符合《中国注册会计师审计准则第1101号—</w:t>
      </w:r>
      <w:r>
        <w:rPr>
          <w:rFonts w:hint="eastAsia" w:ascii="仿宋_GB2312" w:hAnsi="仿宋_GB2312" w:eastAsia="仿宋_GB2312" w:cs="Times New Roman"/>
          <w:color w:val="000000"/>
          <w:spacing w:val="0"/>
          <w:kern w:val="0"/>
          <w:sz w:val="32"/>
          <w:szCs w:val="24"/>
          <w:highlight w:val="none"/>
          <w:lang w:val="en-US" w:eastAsia="zh-CN"/>
        </w:rPr>
        <w:t>—注册会计师的总体目标和审计工作的基本要求》（2010年修订）第二十八条和《中国注册会计师审计准则第1301号——审计证据》（2010年修订、2016年修订）第十条的规定。</w:t>
      </w:r>
    </w:p>
    <w:p>
      <w:pPr>
        <w:keepNext w:val="0"/>
        <w:keepLines w:val="0"/>
        <w:pageBreakBefore w:val="0"/>
        <w:widowControl w:val="0"/>
        <w:kinsoku/>
        <w:wordWrap/>
        <w:topLinePunct w:val="0"/>
        <w:autoSpaceDE/>
        <w:autoSpaceDN/>
        <w:bidi w:val="0"/>
        <w:snapToGrid w:val="0"/>
        <w:spacing w:beforeLines="0" w:afterLines="0" w:line="336" w:lineRule="auto"/>
        <w:ind w:firstLine="640" w:firstLineChars="200"/>
        <w:textAlignment w:val="auto"/>
        <w:rPr>
          <w:rFonts w:hint="eastAsia" w:ascii="仿宋_GB2312" w:hAnsi="仿宋_GB2312" w:eastAsia="仿宋_GB2312" w:cs="Times New Roman"/>
          <w:color w:val="000000"/>
          <w:spacing w:val="0"/>
          <w:kern w:val="0"/>
          <w:sz w:val="32"/>
          <w:szCs w:val="24"/>
          <w:highlight w:val="none"/>
          <w:lang w:val="en-US" w:eastAsia="zh-CN"/>
        </w:rPr>
      </w:pPr>
      <w:r>
        <w:rPr>
          <w:rFonts w:hint="eastAsia" w:ascii="黑体" w:hAnsi="黑体" w:eastAsia="黑体" w:cs="黑体"/>
          <w:b w:val="0"/>
          <w:bCs w:val="0"/>
          <w:color w:val="000000"/>
          <w:spacing w:val="0"/>
          <w:kern w:val="0"/>
          <w:sz w:val="32"/>
          <w:szCs w:val="24"/>
          <w:highlight w:val="none"/>
          <w:lang w:val="en-US" w:eastAsia="zh-CN"/>
        </w:rPr>
        <w:t>四、在建工程审计程序执行不到位。</w:t>
      </w:r>
      <w:r>
        <w:rPr>
          <w:rFonts w:hint="eastAsia" w:ascii="仿宋_GB2312" w:hAnsi="仿宋_GB2312" w:eastAsia="仿宋_GB2312" w:cs="Times New Roman"/>
          <w:b/>
          <w:bCs/>
          <w:color w:val="000000"/>
          <w:spacing w:val="0"/>
          <w:kern w:val="0"/>
          <w:sz w:val="32"/>
          <w:szCs w:val="24"/>
          <w:highlight w:val="none"/>
          <w:lang w:val="en-US" w:eastAsia="zh-CN"/>
        </w:rPr>
        <w:t>一是</w:t>
      </w:r>
      <w:r>
        <w:rPr>
          <w:rFonts w:hint="eastAsia" w:ascii="仿宋_GB2312" w:hAnsi="仿宋_GB2312" w:eastAsia="仿宋_GB2312" w:cs="Times New Roman"/>
          <w:b w:val="0"/>
          <w:bCs w:val="0"/>
          <w:color w:val="000000"/>
          <w:spacing w:val="0"/>
          <w:kern w:val="0"/>
          <w:sz w:val="32"/>
          <w:szCs w:val="24"/>
          <w:highlight w:val="none"/>
          <w:lang w:val="en-US" w:eastAsia="zh-CN"/>
        </w:rPr>
        <w:t>2018年至2019年年报审计中，未获取完整的在建工程权属证明材料，未结合合同条款及工程进度核验款项支付的合理性。</w:t>
      </w:r>
      <w:r>
        <w:rPr>
          <w:rFonts w:hint="eastAsia" w:ascii="仿宋_GB2312" w:hAnsi="仿宋_GB2312" w:eastAsia="仿宋_GB2312" w:cs="Times New Roman"/>
          <w:b/>
          <w:bCs/>
          <w:color w:val="000000"/>
          <w:spacing w:val="0"/>
          <w:kern w:val="0"/>
          <w:sz w:val="32"/>
          <w:szCs w:val="24"/>
          <w:highlight w:val="none"/>
          <w:lang w:val="en-US" w:eastAsia="zh-CN"/>
        </w:rPr>
        <w:t>二是</w:t>
      </w:r>
      <w:r>
        <w:rPr>
          <w:rFonts w:hint="eastAsia" w:ascii="仿宋_GB2312" w:hAnsi="仿宋_GB2312" w:eastAsia="仿宋_GB2312" w:cs="Times New Roman"/>
          <w:b w:val="0"/>
          <w:bCs w:val="0"/>
          <w:color w:val="000000"/>
          <w:spacing w:val="0"/>
          <w:kern w:val="0"/>
          <w:sz w:val="32"/>
          <w:szCs w:val="24"/>
          <w:highlight w:val="none"/>
          <w:lang w:val="en-US" w:eastAsia="zh-CN"/>
        </w:rPr>
        <w:t>2019年年报审计中，部分在建工程监盘时间早于相关在建工程拆除时间。上述情形不符合《中国注册会计师审计准则第1101号——注册会计师的总体目标和审计工作的基本要求》（2010年修</w:t>
      </w:r>
      <w:r>
        <w:rPr>
          <w:rFonts w:hint="eastAsia" w:ascii="仿宋_GB2312" w:hAnsi="仿宋_GB2312" w:eastAsia="仿宋_GB2312" w:cs="Times New Roman"/>
          <w:color w:val="000000"/>
          <w:spacing w:val="0"/>
          <w:kern w:val="0"/>
          <w:sz w:val="32"/>
          <w:szCs w:val="24"/>
          <w:highlight w:val="none"/>
          <w:lang w:val="en-US" w:eastAsia="zh-CN"/>
        </w:rPr>
        <w:t>订、2019年修订）第二十八条和《中国注册会计师审计准则第1301号——审计证据》（2016年修订）第十条的规定。</w:t>
      </w:r>
    </w:p>
    <w:p>
      <w:pPr>
        <w:keepNext w:val="0"/>
        <w:keepLines w:val="0"/>
        <w:pageBreakBefore w:val="0"/>
        <w:widowControl w:val="0"/>
        <w:kinsoku/>
        <w:wordWrap/>
        <w:topLinePunct w:val="0"/>
        <w:autoSpaceDE/>
        <w:autoSpaceDN/>
        <w:bidi w:val="0"/>
        <w:snapToGrid w:val="0"/>
        <w:spacing w:beforeLines="0" w:afterLines="0" w:line="336" w:lineRule="auto"/>
        <w:ind w:firstLine="640" w:firstLineChars="200"/>
        <w:textAlignment w:val="auto"/>
        <w:rPr>
          <w:rFonts w:hint="eastAsia" w:ascii="仿宋_GB2312" w:hAnsi="仿宋_GB2312" w:eastAsia="仿宋_GB2312" w:cs="Times New Roman"/>
          <w:color w:val="000000"/>
          <w:spacing w:val="0"/>
          <w:kern w:val="0"/>
          <w:sz w:val="32"/>
          <w:szCs w:val="24"/>
          <w:highlight w:val="none"/>
          <w:lang w:val="en-US" w:eastAsia="zh-CN"/>
        </w:rPr>
      </w:pPr>
      <w:r>
        <w:rPr>
          <w:rFonts w:hint="eastAsia" w:ascii="仿宋_GB2312" w:hAnsi="仿宋_GB2312" w:eastAsia="仿宋_GB2312" w:cs="Times New Roman"/>
          <w:color w:val="000000"/>
          <w:spacing w:val="0"/>
          <w:kern w:val="0"/>
          <w:sz w:val="32"/>
          <w:szCs w:val="24"/>
          <w:highlight w:val="none"/>
          <w:lang w:val="en-US" w:eastAsia="zh-CN"/>
        </w:rPr>
        <w:t>立信所上述行为不符合</w:t>
      </w:r>
      <w:r>
        <w:rPr>
          <w:rFonts w:hint="eastAsia" w:ascii="仿宋_GB2312" w:hAnsi="仿宋_GB2312" w:eastAsia="仿宋_GB2312" w:cs="Times New Roman"/>
          <w:color w:val="000000"/>
          <w:spacing w:val="0"/>
          <w:kern w:val="0"/>
          <w:sz w:val="32"/>
          <w:szCs w:val="24"/>
          <w:highlight w:val="none"/>
          <w:lang w:eastAsia="zh-CN"/>
        </w:rPr>
        <w:t>《中国注册会计师执业准则》的有关要求，违反了《上市公司信息披露管理办法》（证监会令第40号）第五十二条、第五十三条的规定。</w:t>
      </w:r>
      <w:r>
        <w:rPr>
          <w:rFonts w:hint="eastAsia" w:ascii="仿宋_GB2312" w:hAnsi="仿宋_GB2312" w:eastAsia="仿宋_GB2312" w:cs="仿宋_GB2312"/>
          <w:kern w:val="0"/>
          <w:sz w:val="32"/>
          <w:szCs w:val="32"/>
          <w:highlight w:val="none"/>
          <w:lang w:val="en" w:eastAsia="zh-CN"/>
        </w:rPr>
        <w:t>陈勇波、梁谦海、王文俊、马玥</w:t>
      </w:r>
      <w:r>
        <w:rPr>
          <w:rFonts w:hint="eastAsia" w:ascii="仿宋_GB2312" w:hAnsi="仿宋_GB2312" w:eastAsia="仿宋_GB2312" w:cs="Times New Roman"/>
          <w:color w:val="000000"/>
          <w:spacing w:val="0"/>
          <w:kern w:val="0"/>
          <w:sz w:val="32"/>
          <w:szCs w:val="24"/>
          <w:highlight w:val="none"/>
          <w:lang w:val="en-US" w:eastAsia="zh-CN"/>
        </w:rPr>
        <w:t>分别为</w:t>
      </w:r>
      <w:r>
        <w:rPr>
          <w:rFonts w:hint="eastAsia" w:ascii="仿宋_GB2312" w:hAnsi="仿宋_GB2312" w:eastAsia="仿宋_GB2312" w:cs="Times New Roman"/>
          <w:color w:val="000000"/>
          <w:spacing w:val="0"/>
          <w:kern w:val="0"/>
          <w:sz w:val="32"/>
          <w:szCs w:val="24"/>
          <w:highlight w:val="none"/>
          <w:lang w:val="en" w:eastAsia="zh-CN"/>
        </w:rPr>
        <w:t>香雪制药</w:t>
      </w:r>
      <w:r>
        <w:rPr>
          <w:rFonts w:hint="default" w:ascii="仿宋_GB2312" w:hAnsi="仿宋_GB2312" w:eastAsia="仿宋_GB2312" w:cs="仿宋_GB2312"/>
          <w:kern w:val="0"/>
          <w:sz w:val="32"/>
          <w:szCs w:val="32"/>
          <w:highlight w:val="none"/>
          <w:lang w:val="en-US" w:eastAsia="zh-CN"/>
        </w:rPr>
        <w:t>2016</w:t>
      </w:r>
      <w:r>
        <w:rPr>
          <w:rFonts w:hint="eastAsia" w:ascii="仿宋_GB2312" w:hAnsi="仿宋_GB2312" w:eastAsia="仿宋_GB2312" w:cs="仿宋_GB2312"/>
          <w:kern w:val="0"/>
          <w:sz w:val="32"/>
          <w:szCs w:val="32"/>
          <w:highlight w:val="none"/>
          <w:lang w:val="en-US" w:eastAsia="zh-CN"/>
        </w:rPr>
        <w:t>年、</w:t>
      </w:r>
      <w:r>
        <w:rPr>
          <w:rFonts w:hint="default" w:ascii="仿宋_GB2312" w:hAnsi="仿宋_GB2312" w:eastAsia="仿宋_GB2312" w:cs="仿宋_GB2312"/>
          <w:kern w:val="0"/>
          <w:sz w:val="32"/>
          <w:szCs w:val="32"/>
          <w:highlight w:val="none"/>
          <w:lang w:val="en-US" w:eastAsia="zh-CN"/>
        </w:rPr>
        <w:t>2016</w:t>
      </w:r>
      <w:r>
        <w:rPr>
          <w:rFonts w:hint="eastAsia" w:ascii="仿宋_GB2312" w:hAnsi="仿宋_GB2312" w:eastAsia="仿宋_GB2312" w:cs="仿宋_GB2312"/>
          <w:kern w:val="0"/>
          <w:sz w:val="32"/>
          <w:szCs w:val="32"/>
          <w:highlight w:val="none"/>
          <w:lang w:val="en-US" w:eastAsia="zh-CN"/>
        </w:rPr>
        <w:t>年至2019年、2017年至2018年、2019年</w:t>
      </w:r>
      <w:r>
        <w:rPr>
          <w:rFonts w:hint="eastAsia" w:ascii="仿宋_GB2312" w:hAnsi="仿宋_GB2312" w:eastAsia="仿宋_GB2312" w:cs="Times New Roman"/>
          <w:color w:val="000000"/>
          <w:spacing w:val="0"/>
          <w:kern w:val="0"/>
          <w:sz w:val="32"/>
          <w:szCs w:val="24"/>
          <w:highlight w:val="none"/>
          <w:lang w:val="en-US" w:eastAsia="zh-CN"/>
        </w:rPr>
        <w:t>年报审计项目的签字注册会计师，对相关违规行为负有主要责任。</w:t>
      </w:r>
    </w:p>
    <w:p>
      <w:pPr>
        <w:keepNext w:val="0"/>
        <w:keepLines w:val="0"/>
        <w:pageBreakBefore w:val="0"/>
        <w:widowControl w:val="0"/>
        <w:kinsoku/>
        <w:wordWrap/>
        <w:overflowPunct w:val="0"/>
        <w:topLinePunct w:val="0"/>
        <w:autoSpaceDE/>
        <w:autoSpaceDN/>
        <w:bidi w:val="0"/>
        <w:adjustRightInd w:val="0"/>
        <w:snapToGrid w:val="0"/>
        <w:spacing w:beforeLines="0" w:afterLines="0" w:line="336" w:lineRule="auto"/>
        <w:ind w:firstLine="640" w:firstLineChars="200"/>
        <w:textAlignment w:val="auto"/>
        <w:rPr>
          <w:rFonts w:hint="default" w:ascii="仿宋_GB2312" w:hAnsi="仿宋_GB2312" w:eastAsia="仿宋_GB2312" w:cs="仿宋_GB2312"/>
          <w:kern w:val="0"/>
          <w:sz w:val="32"/>
          <w:szCs w:val="32"/>
          <w:highlight w:val="none"/>
          <w:lang w:val="en-US" w:eastAsia="zh-CN"/>
        </w:rPr>
      </w:pPr>
      <w:r>
        <w:rPr>
          <w:rFonts w:hint="eastAsia" w:ascii="仿宋_GB2312" w:hAnsi="仿宋_GB2312" w:eastAsia="仿宋_GB2312" w:cs="Times New Roman"/>
          <w:color w:val="000000"/>
          <w:spacing w:val="0"/>
          <w:kern w:val="0"/>
          <w:sz w:val="32"/>
          <w:szCs w:val="24"/>
          <w:highlight w:val="none"/>
          <w:lang w:eastAsia="zh-CN"/>
        </w:rPr>
        <w:t>根据《上市公司信息披露管理办法》第六十五条的规定，我局决定对</w:t>
      </w:r>
      <w:r>
        <w:rPr>
          <w:rFonts w:hint="eastAsia" w:ascii="仿宋_GB2312" w:hAnsi="仿宋_GB2312" w:eastAsia="仿宋_GB2312" w:cs="Times New Roman"/>
          <w:color w:val="000000"/>
          <w:spacing w:val="0"/>
          <w:kern w:val="0"/>
          <w:sz w:val="32"/>
          <w:szCs w:val="24"/>
          <w:highlight w:val="none"/>
          <w:lang w:val="en" w:eastAsia="zh-CN"/>
        </w:rPr>
        <w:t>立信所</w:t>
      </w:r>
      <w:r>
        <w:rPr>
          <w:rFonts w:hint="eastAsia" w:ascii="仿宋_GB2312" w:hAnsi="仿宋_GB2312" w:eastAsia="仿宋_GB2312" w:cs="Times New Roman"/>
          <w:color w:val="000000"/>
          <w:spacing w:val="0"/>
          <w:kern w:val="0"/>
          <w:sz w:val="32"/>
          <w:szCs w:val="24"/>
          <w:highlight w:val="none"/>
          <w:lang w:eastAsia="zh-CN"/>
        </w:rPr>
        <w:t>、</w:t>
      </w:r>
      <w:r>
        <w:rPr>
          <w:rFonts w:hint="eastAsia" w:ascii="仿宋_GB2312" w:hAnsi="仿宋_GB2312" w:eastAsia="仿宋_GB2312" w:cs="仿宋_GB2312"/>
          <w:kern w:val="0"/>
          <w:sz w:val="32"/>
          <w:szCs w:val="32"/>
          <w:highlight w:val="none"/>
          <w:lang w:val="en" w:eastAsia="zh-CN"/>
        </w:rPr>
        <w:t>陈勇波、梁谦海、王文俊、马</w:t>
      </w:r>
      <w:r>
        <w:rPr>
          <w:rFonts w:hint="eastAsia" w:ascii="仿宋_GB2312" w:hAnsi="仿宋_GB2312" w:eastAsia="仿宋" w:cs="仿宋_GB2312"/>
          <w:kern w:val="0"/>
          <w:sz w:val="32"/>
          <w:szCs w:val="32"/>
          <w:highlight w:val="none"/>
          <w:lang w:val="en" w:eastAsia="zh-CN"/>
        </w:rPr>
        <w:t>玥</w:t>
      </w:r>
      <w:r>
        <w:rPr>
          <w:rFonts w:hint="eastAsia" w:ascii="仿宋_GB2312" w:hAnsi="仿宋_GB2312" w:eastAsia="仿宋_GB2312" w:cs="Times New Roman"/>
          <w:color w:val="000000"/>
          <w:spacing w:val="0"/>
          <w:kern w:val="0"/>
          <w:sz w:val="32"/>
          <w:szCs w:val="24"/>
          <w:highlight w:val="none"/>
          <w:lang w:eastAsia="zh-CN"/>
        </w:rPr>
        <w:t>采取出具警示函的行政监管措施。</w:t>
      </w:r>
      <w:r>
        <w:rPr>
          <w:rFonts w:hint="eastAsia" w:ascii="仿宋_GB2312" w:hAnsi="仿宋_GB2312" w:eastAsia="仿宋_GB2312" w:cs="仿宋_GB2312"/>
          <w:kern w:val="0"/>
          <w:sz w:val="32"/>
          <w:szCs w:val="32"/>
          <w:highlight w:val="none"/>
        </w:rPr>
        <w:t>你们</w:t>
      </w:r>
      <w:r>
        <w:rPr>
          <w:rFonts w:hint="eastAsia" w:ascii="仿宋_GB2312" w:hAnsi="仿宋_GB2312" w:eastAsia="仿宋_GB2312" w:cs="Times New Roman"/>
          <w:kern w:val="0"/>
          <w:sz w:val="32"/>
          <w:szCs w:val="24"/>
          <w:highlight w:val="none"/>
        </w:rPr>
        <w:t>应认真吸取教训，</w:t>
      </w:r>
      <w:r>
        <w:rPr>
          <w:rFonts w:hint="eastAsia" w:ascii="仿宋_GB2312" w:hAnsi="仿宋_GB2312" w:eastAsia="仿宋_GB2312" w:cs="Times New Roman"/>
          <w:kern w:val="0"/>
          <w:sz w:val="32"/>
          <w:szCs w:val="24"/>
          <w:highlight w:val="none"/>
          <w:lang w:eastAsia="zh-CN"/>
        </w:rPr>
        <w:t>采取措施加强质量管理，确保审计执业质量，</w:t>
      </w:r>
      <w:r>
        <w:rPr>
          <w:rFonts w:hint="eastAsia" w:ascii="仿宋_GB2312" w:hAnsi="仿宋_GB2312" w:eastAsia="仿宋_GB2312" w:cs="仿宋_GB2312"/>
          <w:color w:val="000000"/>
          <w:spacing w:val="0"/>
          <w:kern w:val="0"/>
          <w:sz w:val="32"/>
          <w:szCs w:val="32"/>
          <w:lang w:eastAsia="zh-CN"/>
        </w:rPr>
        <w:t>严格遵照相关法律法规和中国注册会计师审计准则的规定做好整改工作，</w:t>
      </w:r>
      <w:r>
        <w:rPr>
          <w:rFonts w:hint="eastAsia" w:ascii="仿宋_GB2312" w:hAnsi="仿宋_GB2312" w:eastAsia="仿宋_GB2312" w:cs="Times New Roman"/>
          <w:kern w:val="0"/>
          <w:sz w:val="32"/>
          <w:szCs w:val="24"/>
          <w:highlight w:val="none"/>
          <w:lang w:eastAsia="zh-CN"/>
        </w:rPr>
        <w:t>在收到本决定书之日起</w:t>
      </w:r>
      <w:r>
        <w:rPr>
          <w:rFonts w:hint="eastAsia" w:ascii="仿宋_GB2312" w:hAnsi="仿宋_GB2312" w:eastAsia="仿宋_GB2312" w:cs="Times New Roman"/>
          <w:kern w:val="0"/>
          <w:sz w:val="32"/>
          <w:szCs w:val="24"/>
          <w:highlight w:val="none"/>
          <w:lang w:val="en-US" w:eastAsia="zh-CN"/>
        </w:rPr>
        <w:t>30个工作日内向我局提交整改情况的书面报告。</w:t>
      </w:r>
    </w:p>
    <w:p>
      <w:pPr>
        <w:keepNext w:val="0"/>
        <w:keepLines w:val="0"/>
        <w:pageBreakBefore w:val="0"/>
        <w:widowControl w:val="0"/>
        <w:kinsoku/>
        <w:wordWrap/>
        <w:overflowPunct w:val="0"/>
        <w:topLinePunct w:val="0"/>
        <w:autoSpaceDE/>
        <w:autoSpaceDN/>
        <w:bidi w:val="0"/>
        <w:adjustRightInd w:val="0"/>
        <w:snapToGrid w:val="0"/>
        <w:spacing w:beforeLines="0" w:afterLines="0" w:line="336" w:lineRule="auto"/>
        <w:ind w:firstLine="640" w:firstLineChars="200"/>
        <w:textAlignment w:val="auto"/>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如果对本监督管理措施不服，可以在收到本决定书之日起60日内向中国证券监督管理委员会提出行政复议申请；也可以在收到本决定书之日起6个月内向有管辖权的人民法院提起诉讼。复议与诉讼期间，上述监督管理措施不停止执行。</w:t>
      </w:r>
    </w:p>
    <w:p>
      <w:pPr>
        <w:widowControl w:val="0"/>
        <w:overflowPunct w:val="0"/>
        <w:snapToGrid w:val="0"/>
        <w:spacing w:line="360" w:lineRule="auto"/>
        <w:jc w:val="both"/>
        <w:rPr>
          <w:rFonts w:hint="eastAsia" w:ascii="仿宋_GB2312" w:hAnsi="仿宋_GB2312" w:eastAsia="仿宋_GB2312" w:cs="仿宋_GB2312"/>
          <w:color w:val="auto"/>
          <w:kern w:val="2"/>
          <w:sz w:val="24"/>
          <w:szCs w:val="24"/>
          <w:lang w:val="en-US" w:eastAsia="zh-CN" w:bidi="ar-SA"/>
        </w:rPr>
      </w:pPr>
    </w:p>
    <w:p>
      <w:pPr>
        <w:keepNext w:val="0"/>
        <w:keepLines w:val="0"/>
        <w:pageBreakBefore w:val="0"/>
        <w:widowControl w:val="0"/>
        <w:kinsoku/>
        <w:wordWrap/>
        <w:overflowPunct w:val="0"/>
        <w:topLinePunct w:val="0"/>
        <w:autoSpaceDE/>
        <w:autoSpaceDN/>
        <w:bidi w:val="0"/>
        <w:adjustRightInd w:val="0"/>
        <w:snapToGrid w:val="0"/>
        <w:spacing w:line="360" w:lineRule="auto"/>
        <w:jc w:val="left"/>
        <w:textAlignment w:val="auto"/>
        <w:rPr>
          <w:rFonts w:ascii="宋体" w:hAnsi="宋体" w:eastAsia="宋体" w:cs="宋体"/>
          <w:color w:val="000000"/>
          <w:sz w:val="24"/>
          <w:szCs w:val="24"/>
        </w:rPr>
      </w:pPr>
    </w:p>
    <w:p>
      <w:pPr>
        <w:keepNext w:val="0"/>
        <w:keepLines w:val="0"/>
        <w:pageBreakBefore w:val="0"/>
        <w:widowControl w:val="0"/>
        <w:kinsoku/>
        <w:wordWrap/>
        <w:overflowPunct w:val="0"/>
        <w:topLinePunct w:val="0"/>
        <w:autoSpaceDE/>
        <w:autoSpaceDN/>
        <w:bidi w:val="0"/>
        <w:adjustRightInd w:val="0"/>
        <w:snapToGrid w:val="0"/>
        <w:spacing w:line="360" w:lineRule="auto"/>
        <w:jc w:val="left"/>
        <w:textAlignment w:val="auto"/>
        <w:rPr>
          <w:rFonts w:ascii="宋体" w:hAnsi="宋体" w:eastAsia="宋体" w:cs="宋体"/>
          <w:color w:val="000000"/>
          <w:sz w:val="24"/>
          <w:szCs w:val="24"/>
        </w:rPr>
      </w:pPr>
    </w:p>
    <w:p>
      <w:pPr>
        <w:overflowPunct w:val="0"/>
        <w:adjustRightInd w:val="0"/>
        <w:snapToGrid w:val="0"/>
        <w:spacing w:line="360" w:lineRule="auto"/>
        <w:ind w:right="1705"/>
        <w:jc w:val="right"/>
        <w:rPr>
          <w:rFonts w:hint="eastAsia" w:ascii="仿宋_GB2312" w:hAnsi="Times New Roman" w:eastAsia="仿宋_GB2312" w:cs="Times New Roman"/>
          <w:snapToGrid w:val="0"/>
          <w:color w:val="000000"/>
          <w:kern w:val="0"/>
          <w:sz w:val="32"/>
          <w:szCs w:val="24"/>
        </w:rPr>
      </w:pPr>
      <w:r>
        <w:rPr>
          <w:rFonts w:hint="eastAsia" w:ascii="仿宋_GB2312" w:hAnsi="Times New Roman" w:eastAsia="仿宋_GB2312" w:cs="Times New Roman"/>
          <w:snapToGrid w:val="0"/>
          <w:color w:val="000000"/>
          <w:kern w:val="0"/>
          <w:sz w:val="32"/>
          <w:szCs w:val="24"/>
        </w:rPr>
        <w:t>广东证监局</w:t>
      </w:r>
    </w:p>
    <w:p>
      <w:pPr>
        <w:numPr>
          <w:ilvl w:val="0"/>
          <w:numId w:val="0"/>
        </w:numPr>
        <w:pBdr>
          <w:top w:val="none" w:color="auto" w:sz="0" w:space="0"/>
          <w:bottom w:val="none" w:color="auto" w:sz="0" w:space="0"/>
        </w:pBdr>
        <w:overflowPunct w:val="0"/>
        <w:adjustRightInd w:val="0"/>
        <w:snapToGrid w:val="0"/>
        <w:spacing w:beforeLines="0" w:afterLines="0" w:line="360" w:lineRule="auto"/>
        <w:jc w:val="center"/>
        <w:outlineLvl w:val="9"/>
        <w:rPr>
          <w:rFonts w:ascii="Calibri" w:hAnsi="Calibri" w:eastAsia="宋体" w:cs="Times New Roman"/>
          <w:snapToGrid w:val="0"/>
          <w:kern w:val="0"/>
          <w:szCs w:val="24"/>
        </w:rPr>
      </w:pPr>
      <w:r>
        <w:rPr>
          <w:rFonts w:hint="eastAsia" w:ascii="仿宋_GB2312" w:hAnsi="Times New Roman" w:eastAsia="仿宋_GB2312" w:cs="Times New Roman"/>
          <w:snapToGrid w:val="0"/>
          <w:color w:val="000000"/>
          <w:spacing w:val="10"/>
          <w:kern w:val="0"/>
          <w:sz w:val="28"/>
          <w:szCs w:val="28"/>
          <w:lang w:val="en-US" w:eastAsia="zh-CN"/>
        </w:rPr>
        <w:t xml:space="preserve">   </w:t>
      </w:r>
      <w:r>
        <w:rPr>
          <w:rFonts w:hint="eastAsia" w:ascii="仿宋_GB2312" w:hAnsi="Times New Roman" w:eastAsia="仿宋_GB2312" w:cs="Times New Roman"/>
          <w:snapToGrid w:val="0"/>
          <w:color w:val="000000"/>
          <w:spacing w:val="10"/>
          <w:kern w:val="0"/>
          <w:sz w:val="32"/>
          <w:szCs w:val="32"/>
          <w:lang w:val="en-US" w:eastAsia="zh-CN"/>
        </w:rPr>
        <w:t xml:space="preserve">         </w:t>
      </w:r>
      <w:r>
        <w:rPr>
          <w:rFonts w:hint="default" w:ascii="仿宋_GB2312" w:hAnsi="Times New Roman" w:eastAsia="仿宋_GB2312" w:cs="Times New Roman"/>
          <w:snapToGrid w:val="0"/>
          <w:color w:val="000000"/>
          <w:spacing w:val="10"/>
          <w:kern w:val="0"/>
          <w:sz w:val="32"/>
          <w:szCs w:val="32"/>
          <w:lang w:val="en-US" w:eastAsia="zh-CN"/>
        </w:rPr>
        <w:t xml:space="preserve">     </w:t>
      </w:r>
      <w:r>
        <w:rPr>
          <w:rFonts w:hint="eastAsia" w:ascii="仿宋_GB2312" w:hAnsi="Times New Roman" w:eastAsia="仿宋_GB2312" w:cs="Times New Roman"/>
          <w:snapToGrid w:val="0"/>
          <w:color w:val="000000"/>
          <w:spacing w:val="10"/>
          <w:kern w:val="0"/>
          <w:sz w:val="32"/>
          <w:szCs w:val="32"/>
          <w:lang w:val="en-US" w:eastAsia="zh-CN"/>
        </w:rPr>
        <w:t xml:space="preserve">     </w:t>
      </w:r>
      <w:r>
        <w:rPr>
          <w:rFonts w:hint="eastAsia" w:ascii="仿宋_GB2312" w:hAnsi="Times New Roman" w:eastAsia="仿宋_GB2312" w:cs="Times New Roman"/>
          <w:snapToGrid w:val="0"/>
          <w:color w:val="000000"/>
          <w:spacing w:val="10"/>
          <w:kern w:val="0"/>
          <w:sz w:val="32"/>
          <w:szCs w:val="32"/>
          <w:lang w:eastAsia="zh-CN"/>
        </w:rPr>
        <w:t>2</w:t>
      </w:r>
      <w:r>
        <w:rPr>
          <w:rFonts w:hint="eastAsia" w:ascii="仿宋_GB2312" w:hAnsi="Times New Roman" w:eastAsia="仿宋_GB2312" w:cs="Times New Roman"/>
          <w:snapToGrid w:val="0"/>
          <w:color w:val="000000"/>
          <w:spacing w:val="10"/>
          <w:kern w:val="0"/>
          <w:sz w:val="32"/>
          <w:szCs w:val="32"/>
          <w:lang w:val="en-US" w:eastAsia="zh-CN"/>
        </w:rPr>
        <w:t>02</w:t>
      </w:r>
      <w:r>
        <w:rPr>
          <w:rFonts w:hint="default" w:ascii="仿宋_GB2312" w:hAnsi="Times New Roman" w:eastAsia="仿宋_GB2312" w:cs="Times New Roman"/>
          <w:snapToGrid w:val="0"/>
          <w:color w:val="000000"/>
          <w:spacing w:val="10"/>
          <w:kern w:val="0"/>
          <w:sz w:val="32"/>
          <w:szCs w:val="32"/>
          <w:lang w:val="en-US" w:eastAsia="zh-CN"/>
        </w:rPr>
        <w:t>6</w:t>
      </w:r>
      <w:r>
        <w:rPr>
          <w:rFonts w:hint="eastAsia" w:ascii="仿宋_GB2312" w:hAnsi="Times New Roman" w:eastAsia="仿宋_GB2312" w:cs="Times New Roman"/>
          <w:snapToGrid w:val="0"/>
          <w:color w:val="000000"/>
          <w:spacing w:val="10"/>
          <w:kern w:val="0"/>
          <w:sz w:val="32"/>
          <w:szCs w:val="32"/>
        </w:rPr>
        <w:t>年</w:t>
      </w:r>
      <w:r>
        <w:rPr>
          <w:rFonts w:hint="default" w:ascii="仿宋_GB2312" w:hAnsi="Calibri" w:eastAsia="仿宋_GB2312" w:cs="Times New Roman"/>
          <w:snapToGrid w:val="0"/>
          <w:color w:val="000000"/>
          <w:spacing w:val="10"/>
          <w:kern w:val="0"/>
          <w:sz w:val="32"/>
          <w:szCs w:val="32"/>
          <w:lang w:val="en-US" w:eastAsia="zh-CN"/>
        </w:rPr>
        <w:t>10</w:t>
      </w:r>
      <w:r>
        <w:rPr>
          <w:rFonts w:hint="eastAsia" w:ascii="仿宋_GB2312" w:hAnsi="Times New Roman" w:eastAsia="仿宋_GB2312" w:cs="Times New Roman"/>
          <w:snapToGrid w:val="0"/>
          <w:color w:val="000000"/>
          <w:spacing w:val="10"/>
          <w:kern w:val="0"/>
          <w:sz w:val="32"/>
          <w:szCs w:val="32"/>
        </w:rPr>
        <w:t>月</w:t>
      </w:r>
      <w:r>
        <w:rPr>
          <w:rFonts w:hint="default" w:ascii="仿宋_GB2312" w:hAnsi="Times New Roman" w:eastAsia="仿宋_GB2312" w:cs="Times New Roman"/>
          <w:snapToGrid w:val="0"/>
          <w:color w:val="000000"/>
          <w:spacing w:val="10"/>
          <w:kern w:val="0"/>
          <w:sz w:val="32"/>
          <w:szCs w:val="32"/>
          <w:lang w:val="en-US"/>
        </w:rPr>
        <w:t>22</w:t>
      </w:r>
      <w:r>
        <w:rPr>
          <w:rFonts w:hint="eastAsia" w:ascii="仿宋_GB2312" w:hAnsi="Times New Roman" w:eastAsia="仿宋_GB2312" w:cs="Times New Roman"/>
          <w:snapToGrid w:val="0"/>
          <w:color w:val="000000"/>
          <w:spacing w:val="10"/>
          <w:kern w:val="0"/>
          <w:sz w:val="32"/>
          <w:szCs w:val="32"/>
        </w:rPr>
        <w:t>日</w:t>
      </w:r>
    </w:p>
    <w:p>
      <w:pPr>
        <w:keepNext w:val="0"/>
        <w:keepLines w:val="0"/>
        <w:pageBreakBefore w:val="0"/>
        <w:widowControl w:val="0"/>
        <w:kinsoku/>
        <w:wordWrap/>
        <w:overflowPunct/>
        <w:topLinePunct w:val="0"/>
        <w:autoSpaceDE/>
        <w:autoSpaceDN/>
        <w:bidi w:val="0"/>
        <w:adjustRightInd/>
        <w:snapToGrid w:val="0"/>
        <w:spacing w:line="360" w:lineRule="auto"/>
        <w:ind w:right="28"/>
        <w:jc w:val="left"/>
        <w:textAlignment w:val="auto"/>
        <w:rPr>
          <w:rFonts w:hint="eastAsia" w:ascii="黑体" w:hAnsi="Times New Roman" w:eastAsia="黑体" w:cs="Times New Roman"/>
          <w:spacing w:val="8"/>
          <w:sz w:val="32"/>
          <w:szCs w:val="20"/>
        </w:rPr>
      </w:pPr>
    </w:p>
    <w:p>
      <w:pPr>
        <w:widowControl w:val="0"/>
        <w:overflowPunct w:val="0"/>
        <w:snapToGrid w:val="0"/>
        <w:spacing w:beforeLines="0" w:afterLines="0" w:line="360" w:lineRule="auto"/>
        <w:jc w:val="both"/>
        <w:rPr>
          <w:rFonts w:hint="eastAsia" w:ascii="仿宋_GB2312" w:hAnsi="仿宋_GB2312" w:eastAsia="仿宋_GB2312" w:cs="仿宋_GB2312"/>
          <w:color w:val="auto"/>
          <w:kern w:val="2"/>
          <w:sz w:val="32"/>
          <w:szCs w:val="32"/>
          <w:lang w:val="en-US" w:eastAsia="zh-CN" w:bidi="ar-SA"/>
        </w:rPr>
      </w:pPr>
    </w:p>
    <w:p>
      <w:pPr>
        <w:widowControl w:val="0"/>
        <w:overflowPunct w:val="0"/>
        <w:snapToGrid w:val="0"/>
        <w:spacing w:beforeLines="0" w:afterLines="0" w:line="360" w:lineRule="auto"/>
        <w:jc w:val="both"/>
        <w:rPr>
          <w:rFonts w:hint="eastAsia" w:ascii="仿宋_GB2312" w:hAnsi="仿宋_GB2312" w:eastAsia="仿宋_GB2312" w:cs="仿宋_GB2312"/>
          <w:color w:val="auto"/>
          <w:kern w:val="2"/>
          <w:sz w:val="32"/>
          <w:szCs w:val="32"/>
          <w:lang w:val="en-US" w:eastAsia="zh-CN" w:bidi="ar-SA"/>
        </w:rPr>
      </w:pPr>
    </w:p>
    <w:p>
      <w:pPr>
        <w:widowControl w:val="0"/>
        <w:overflowPunct w:val="0"/>
        <w:snapToGrid w:val="0"/>
        <w:spacing w:beforeLines="0" w:afterLines="0" w:line="360" w:lineRule="auto"/>
        <w:jc w:val="both"/>
        <w:rPr>
          <w:rFonts w:hint="eastAsia" w:ascii="仿宋_GB2312" w:hAnsi="仿宋_GB2312" w:eastAsia="仿宋_GB2312" w:cs="仿宋_GB2312"/>
          <w:color w:val="auto"/>
          <w:kern w:val="2"/>
          <w:sz w:val="32"/>
          <w:szCs w:val="32"/>
          <w:lang w:val="en-US" w:eastAsia="zh-CN" w:bidi="ar-SA"/>
        </w:rPr>
      </w:pPr>
    </w:p>
    <w:p>
      <w:pPr>
        <w:widowControl w:val="0"/>
        <w:overflowPunct w:val="0"/>
        <w:snapToGrid w:val="0"/>
        <w:spacing w:beforeLines="0" w:afterLines="0" w:line="360" w:lineRule="auto"/>
        <w:jc w:val="both"/>
        <w:rPr>
          <w:rFonts w:hint="eastAsia" w:ascii="仿宋_GB2312" w:hAnsi="仿宋_GB2312" w:eastAsia="仿宋_GB2312" w:cs="仿宋_GB2312"/>
          <w:color w:val="auto"/>
          <w:kern w:val="2"/>
          <w:sz w:val="32"/>
          <w:szCs w:val="32"/>
          <w:lang w:val="en-US" w:eastAsia="zh-CN" w:bidi="ar-SA"/>
        </w:rPr>
      </w:pPr>
    </w:p>
    <w:p>
      <w:pPr>
        <w:widowControl w:val="0"/>
        <w:overflowPunct w:val="0"/>
        <w:snapToGrid w:val="0"/>
        <w:spacing w:beforeLines="0" w:afterLines="0" w:line="360" w:lineRule="auto"/>
        <w:jc w:val="both"/>
        <w:rPr>
          <w:rFonts w:hint="eastAsia" w:ascii="仿宋_GB2312" w:hAnsi="仿宋_GB2312" w:eastAsia="仿宋_GB2312" w:cs="仿宋_GB2312"/>
          <w:color w:val="auto"/>
          <w:kern w:val="2"/>
          <w:sz w:val="32"/>
          <w:szCs w:val="32"/>
          <w:lang w:val="en-US" w:eastAsia="zh-CN" w:bidi="ar-SA"/>
        </w:rPr>
      </w:pPr>
    </w:p>
    <w:p>
      <w:pPr>
        <w:widowControl w:val="0"/>
        <w:overflowPunct w:val="0"/>
        <w:snapToGrid w:val="0"/>
        <w:spacing w:beforeLines="0" w:afterLines="0" w:line="360" w:lineRule="auto"/>
        <w:jc w:val="both"/>
        <w:rPr>
          <w:rFonts w:hint="eastAsia" w:ascii="仿宋_GB2312" w:hAnsi="仿宋_GB2312" w:eastAsia="仿宋_GB2312" w:cs="仿宋_GB2312"/>
          <w:color w:val="auto"/>
          <w:kern w:val="2"/>
          <w:sz w:val="32"/>
          <w:szCs w:val="32"/>
          <w:lang w:val="en-US" w:eastAsia="zh-CN" w:bidi="ar-SA"/>
        </w:rPr>
      </w:pPr>
    </w:p>
    <w:p>
      <w:pPr>
        <w:widowControl w:val="0"/>
        <w:overflowPunct w:val="0"/>
        <w:snapToGrid w:val="0"/>
        <w:spacing w:beforeLines="0" w:afterLines="0" w:line="360" w:lineRule="auto"/>
        <w:jc w:val="both"/>
        <w:rPr>
          <w:rFonts w:hint="eastAsia" w:ascii="仿宋_GB2312" w:hAnsi="仿宋_GB2312" w:eastAsia="仿宋_GB2312" w:cs="仿宋_GB2312"/>
          <w:color w:val="auto"/>
          <w:kern w:val="2"/>
          <w:sz w:val="32"/>
          <w:szCs w:val="32"/>
          <w:lang w:val="en-US" w:eastAsia="zh-CN" w:bidi="ar-SA"/>
        </w:rPr>
      </w:pPr>
    </w:p>
    <w:p>
      <w:pPr>
        <w:widowControl w:val="0"/>
        <w:overflowPunct w:val="0"/>
        <w:snapToGrid w:val="0"/>
        <w:spacing w:beforeLines="0" w:afterLines="0" w:line="360" w:lineRule="auto"/>
        <w:jc w:val="both"/>
        <w:rPr>
          <w:rFonts w:hint="eastAsia" w:ascii="仿宋_GB2312" w:hAnsi="仿宋_GB2312" w:eastAsia="仿宋_GB2312" w:cs="仿宋_GB2312"/>
          <w:color w:val="auto"/>
          <w:kern w:val="2"/>
          <w:sz w:val="32"/>
          <w:szCs w:val="32"/>
          <w:lang w:val="en-US" w:eastAsia="zh-CN" w:bidi="ar-SA"/>
        </w:rPr>
      </w:pPr>
    </w:p>
    <w:p>
      <w:pPr>
        <w:widowControl w:val="0"/>
        <w:overflowPunct w:val="0"/>
        <w:snapToGrid w:val="0"/>
        <w:spacing w:beforeLines="0" w:afterLines="0" w:line="360" w:lineRule="auto"/>
        <w:jc w:val="both"/>
        <w:rPr>
          <w:rFonts w:hint="eastAsia" w:ascii="仿宋_GB2312" w:hAnsi="仿宋_GB2312" w:eastAsia="仿宋_GB2312" w:cs="仿宋_GB2312"/>
          <w:color w:val="auto"/>
          <w:kern w:val="2"/>
          <w:sz w:val="32"/>
          <w:szCs w:val="32"/>
          <w:lang w:val="en-US" w:eastAsia="zh-CN" w:bidi="ar-SA"/>
        </w:rPr>
      </w:pPr>
    </w:p>
    <w:p>
      <w:pPr>
        <w:widowControl w:val="0"/>
        <w:overflowPunct w:val="0"/>
        <w:snapToGrid w:val="0"/>
        <w:spacing w:beforeLines="0" w:afterLines="0" w:line="360" w:lineRule="auto"/>
        <w:jc w:val="both"/>
        <w:rPr>
          <w:rFonts w:hint="eastAsia" w:ascii="仿宋_GB2312" w:hAnsi="仿宋_GB2312" w:eastAsia="仿宋_GB2312" w:cs="仿宋_GB2312"/>
          <w:color w:val="auto"/>
          <w:kern w:val="2"/>
          <w:sz w:val="32"/>
          <w:szCs w:val="32"/>
          <w:lang w:val="en-US" w:eastAsia="zh-CN" w:bidi="ar-SA"/>
        </w:rPr>
      </w:pPr>
    </w:p>
    <w:p>
      <w:pPr>
        <w:widowControl w:val="0"/>
        <w:overflowPunct w:val="0"/>
        <w:snapToGrid w:val="0"/>
        <w:spacing w:beforeLines="0" w:afterLines="0" w:line="360" w:lineRule="auto"/>
        <w:jc w:val="both"/>
        <w:rPr>
          <w:rFonts w:hint="eastAsia" w:ascii="仿宋_GB2312" w:hAnsi="仿宋_GB2312" w:eastAsia="仿宋_GB2312" w:cs="仿宋_GB2312"/>
          <w:color w:val="auto"/>
          <w:kern w:val="2"/>
          <w:sz w:val="32"/>
          <w:szCs w:val="32"/>
          <w:lang w:val="en-US" w:eastAsia="zh-CN" w:bidi="ar-SA"/>
        </w:rPr>
      </w:pPr>
    </w:p>
    <w:p>
      <w:pPr>
        <w:widowControl w:val="0"/>
        <w:overflowPunct w:val="0"/>
        <w:snapToGrid w:val="0"/>
        <w:spacing w:beforeLines="0" w:afterLines="0" w:line="360" w:lineRule="auto"/>
        <w:jc w:val="both"/>
        <w:rPr>
          <w:rFonts w:hint="eastAsia" w:ascii="仿宋_GB2312" w:hAnsi="仿宋_GB2312" w:eastAsia="仿宋_GB2312" w:cs="仿宋_GB2312"/>
          <w:color w:val="auto"/>
          <w:kern w:val="2"/>
          <w:sz w:val="32"/>
          <w:szCs w:val="32"/>
          <w:lang w:val="en-US" w:eastAsia="zh-CN" w:bidi="ar-SA"/>
        </w:rPr>
      </w:pPr>
    </w:p>
    <w:p>
      <w:pPr>
        <w:widowControl w:val="0"/>
        <w:overflowPunct w:val="0"/>
        <w:snapToGrid w:val="0"/>
        <w:spacing w:beforeLines="0" w:afterLines="0" w:line="360" w:lineRule="auto"/>
        <w:jc w:val="both"/>
        <w:rPr>
          <w:rFonts w:hint="eastAsia" w:ascii="仿宋_GB2312" w:hAnsi="仿宋_GB2312" w:eastAsia="仿宋_GB2312" w:cs="仿宋_GB2312"/>
          <w:color w:val="auto"/>
          <w:kern w:val="2"/>
          <w:sz w:val="32"/>
          <w:szCs w:val="32"/>
          <w:lang w:val="en-US" w:eastAsia="zh-CN" w:bidi="ar-SA"/>
        </w:rPr>
      </w:pPr>
    </w:p>
    <w:p>
      <w:pPr>
        <w:widowControl w:val="0"/>
        <w:overflowPunct w:val="0"/>
        <w:snapToGrid w:val="0"/>
        <w:spacing w:beforeLines="0" w:afterLines="0" w:line="360" w:lineRule="auto"/>
        <w:jc w:val="both"/>
        <w:rPr>
          <w:rFonts w:hint="eastAsia" w:ascii="仿宋_GB2312" w:hAnsi="仿宋_GB2312" w:eastAsia="仿宋_GB2312" w:cs="仿宋_GB2312"/>
          <w:color w:val="auto"/>
          <w:kern w:val="2"/>
          <w:sz w:val="32"/>
          <w:szCs w:val="32"/>
          <w:lang w:val="en-US" w:eastAsia="zh-CN" w:bidi="ar-SA"/>
        </w:rPr>
      </w:pPr>
    </w:p>
    <w:p>
      <w:pPr>
        <w:widowControl w:val="0"/>
        <w:overflowPunct w:val="0"/>
        <w:snapToGrid w:val="0"/>
        <w:spacing w:beforeLines="0" w:afterLines="0" w:line="360" w:lineRule="auto"/>
        <w:jc w:val="both"/>
        <w:rPr>
          <w:rFonts w:hint="eastAsia" w:ascii="仿宋_GB2312" w:hAnsi="仿宋_GB2312" w:eastAsia="仿宋_GB2312" w:cs="仿宋_GB2312"/>
          <w:color w:val="auto"/>
          <w:kern w:val="2"/>
          <w:sz w:val="32"/>
          <w:szCs w:val="32"/>
          <w:lang w:val="en-US" w:eastAsia="zh-CN" w:bidi="ar-SA"/>
        </w:rPr>
      </w:pPr>
    </w:p>
    <w:p>
      <w:pPr>
        <w:widowControl w:val="0"/>
        <w:overflowPunct w:val="0"/>
        <w:snapToGrid w:val="0"/>
        <w:spacing w:beforeLines="0" w:afterLines="0" w:line="360" w:lineRule="auto"/>
        <w:jc w:val="both"/>
        <w:rPr>
          <w:rFonts w:hint="eastAsia" w:ascii="仿宋_GB2312" w:hAnsi="仿宋_GB2312" w:eastAsia="仿宋_GB2312" w:cs="仿宋_GB2312"/>
          <w:color w:val="auto"/>
          <w:kern w:val="2"/>
          <w:sz w:val="32"/>
          <w:szCs w:val="32"/>
          <w:lang w:val="en-US" w:eastAsia="zh-CN" w:bidi="ar-SA"/>
        </w:rPr>
      </w:pPr>
    </w:p>
    <w:p>
      <w:pPr>
        <w:widowControl w:val="0"/>
        <w:overflowPunct w:val="0"/>
        <w:snapToGrid w:val="0"/>
        <w:spacing w:beforeLines="0" w:afterLines="0" w:line="360" w:lineRule="auto"/>
        <w:jc w:val="both"/>
        <w:rPr>
          <w:rFonts w:hint="eastAsia" w:ascii="仿宋_GB2312" w:hAnsi="仿宋_GB2312" w:eastAsia="仿宋_GB2312" w:cs="仿宋_GB2312"/>
          <w:color w:val="auto"/>
          <w:kern w:val="2"/>
          <w:sz w:val="32"/>
          <w:szCs w:val="32"/>
          <w:lang w:val="en-US" w:eastAsia="zh-CN" w:bidi="ar-SA"/>
        </w:rPr>
      </w:pPr>
    </w:p>
    <w:p>
      <w:pPr>
        <w:widowControl w:val="0"/>
        <w:overflowPunct w:val="0"/>
        <w:snapToGrid w:val="0"/>
        <w:spacing w:beforeLines="0" w:afterLines="0" w:line="360" w:lineRule="auto"/>
        <w:jc w:val="both"/>
        <w:rPr>
          <w:rFonts w:hint="eastAsia" w:ascii="仿宋_GB2312" w:hAnsi="仿宋_GB2312" w:eastAsia="仿宋_GB2312" w:cs="仿宋_GB2312"/>
          <w:color w:val="auto"/>
          <w:kern w:val="2"/>
          <w:sz w:val="32"/>
          <w:szCs w:val="32"/>
          <w:lang w:val="en-US" w:eastAsia="zh-CN" w:bidi="ar-SA"/>
        </w:rPr>
      </w:pPr>
    </w:p>
    <w:p>
      <w:pPr>
        <w:snapToGrid w:val="0"/>
        <w:spacing w:beforeLines="0" w:afterLines="0" w:line="360" w:lineRule="auto"/>
        <w:rPr>
          <w:rFonts w:ascii="Calibri" w:hAnsi="Calibri" w:eastAsia="宋体" w:cs="Times New Roman"/>
          <w:sz w:val="24"/>
          <w:szCs w:val="24"/>
        </w:rPr>
      </w:pPr>
    </w:p>
    <w:p>
      <w:pPr>
        <w:snapToGrid w:val="0"/>
        <w:spacing w:beforeLines="0" w:afterLines="0" w:line="360" w:lineRule="auto"/>
        <w:ind w:right="26"/>
        <w:jc w:val="left"/>
        <w:rPr>
          <w:rFonts w:hint="eastAsia" w:ascii="黑体" w:hAnsi="Calibri" w:eastAsia="黑体" w:cs="Times New Roman"/>
          <w:spacing w:val="8"/>
          <w:sz w:val="24"/>
          <w:szCs w:val="24"/>
        </w:rPr>
      </w:pPr>
    </w:p>
    <w:p>
      <w:pPr>
        <w:keepNext w:val="0"/>
        <w:keepLines w:val="0"/>
        <w:pageBreakBefore w:val="0"/>
        <w:widowControl w:val="0"/>
        <w:pBdr>
          <w:top w:val="single" w:color="auto" w:sz="8" w:space="6"/>
        </w:pBdr>
        <w:kinsoku/>
        <w:wordWrap/>
        <w:overflowPunct/>
        <w:topLinePunct w:val="0"/>
        <w:autoSpaceDE/>
        <w:autoSpaceDN/>
        <w:bidi w:val="0"/>
        <w:adjustRightInd w:val="0"/>
        <w:snapToGrid w:val="0"/>
        <w:spacing w:after="109" w:afterLines="35"/>
        <w:ind w:firstLine="296" w:firstLineChars="100"/>
        <w:textAlignment w:val="auto"/>
        <w:rPr>
          <w:rFonts w:ascii="长城仿宋" w:hAnsi="Calibri" w:eastAsia="长城仿宋" w:cs="Times New Roman"/>
          <w:sz w:val="28"/>
          <w:szCs w:val="24"/>
        </w:rPr>
      </w:pPr>
      <w:r>
        <w:rPr>
          <w:rFonts w:hint="eastAsia" w:ascii="仿宋_GB2312" w:hAnsi="Calibri" w:eastAsia="仿宋_GB2312" w:cs="Times New Roman"/>
          <w:spacing w:val="8"/>
          <w:sz w:val="28"/>
          <w:szCs w:val="24"/>
        </w:rPr>
        <w:t>抄送：证监会</w:t>
      </w:r>
      <w:r>
        <w:rPr>
          <w:rFonts w:hint="eastAsia" w:ascii="仿宋_GB2312" w:hAnsi="Calibri" w:eastAsia="仿宋_GB2312" w:cs="Times New Roman"/>
          <w:spacing w:val="8"/>
          <w:sz w:val="28"/>
          <w:szCs w:val="24"/>
          <w:lang w:eastAsia="zh-CN"/>
        </w:rPr>
        <w:t>稽查局</w:t>
      </w:r>
      <w:r>
        <w:rPr>
          <w:rFonts w:hint="eastAsia" w:ascii="仿宋_GB2312" w:hAnsi="Calibri" w:eastAsia="仿宋_GB2312" w:cs="Times New Roman"/>
          <w:spacing w:val="8"/>
          <w:sz w:val="28"/>
          <w:szCs w:val="24"/>
        </w:rPr>
        <w:t>、法治司、会计司；</w:t>
      </w:r>
      <w:r>
        <w:rPr>
          <w:rFonts w:hint="eastAsia" w:ascii="仿宋_GB2312" w:hAnsi="Calibri" w:eastAsia="仿宋_GB2312" w:cs="Times New Roman"/>
          <w:spacing w:val="8"/>
          <w:sz w:val="28"/>
          <w:szCs w:val="24"/>
          <w:lang w:eastAsia="zh-CN"/>
        </w:rPr>
        <w:t>深圳</w:t>
      </w:r>
      <w:r>
        <w:rPr>
          <w:rFonts w:hint="eastAsia" w:ascii="仿宋_GB2312" w:hAnsi="Calibri" w:eastAsia="仿宋_GB2312" w:cs="Times New Roman"/>
          <w:spacing w:val="8"/>
          <w:sz w:val="28"/>
          <w:szCs w:val="24"/>
        </w:rPr>
        <w:t>证券交易所。</w:t>
      </w:r>
    </w:p>
    <w:p>
      <w:pPr>
        <w:keepNext w:val="0"/>
        <w:keepLines w:val="0"/>
        <w:pageBreakBefore w:val="0"/>
        <w:widowControl w:val="0"/>
        <w:pBdr>
          <w:top w:val="single" w:color="auto" w:sz="4" w:space="6"/>
        </w:pBdr>
        <w:kinsoku/>
        <w:wordWrap/>
        <w:overflowPunct/>
        <w:topLinePunct w:val="0"/>
        <w:autoSpaceDE/>
        <w:autoSpaceDN/>
        <w:bidi w:val="0"/>
        <w:adjustRightInd w:val="0"/>
        <w:snapToGrid w:val="0"/>
        <w:spacing w:after="109" w:afterLines="35"/>
        <w:ind w:firstLine="296" w:firstLineChars="100"/>
        <w:jc w:val="left"/>
        <w:textAlignment w:val="auto"/>
        <w:rPr>
          <w:rFonts w:hint="eastAsia" w:ascii="仿宋_GB2312" w:hAnsi="Calibri" w:eastAsia="仿宋_GB2312" w:cs="Times New Roman"/>
          <w:spacing w:val="8"/>
          <w:sz w:val="28"/>
          <w:szCs w:val="24"/>
        </w:rPr>
      </w:pPr>
      <w:r>
        <w:rPr>
          <w:rFonts w:hint="eastAsia" w:ascii="仿宋_GB2312" w:hAnsi="Calibri" w:eastAsia="仿宋_GB2312" w:cs="Times New Roman"/>
          <w:spacing w:val="8"/>
          <w:sz w:val="28"/>
          <w:szCs w:val="24"/>
          <w:lang w:eastAsia="zh-CN"/>
        </w:rPr>
        <w:t>广东</w:t>
      </w:r>
      <w:r>
        <w:rPr>
          <w:rFonts w:hint="eastAsia" w:ascii="仿宋_GB2312" w:hAnsi="Calibri" w:eastAsia="仿宋_GB2312" w:cs="Times New Roman"/>
          <w:spacing w:val="8"/>
          <w:sz w:val="28"/>
          <w:szCs w:val="24"/>
        </w:rPr>
        <w:t xml:space="preserve">证监局办公室           </w:t>
      </w:r>
      <w:r>
        <w:rPr>
          <w:rFonts w:hint="default" w:ascii="仿宋_GB2312" w:hAnsi="Calibri" w:eastAsia="仿宋_GB2312" w:cs="Times New Roman"/>
          <w:spacing w:val="8"/>
          <w:sz w:val="28"/>
          <w:szCs w:val="24"/>
          <w:lang w:val="en-US"/>
        </w:rPr>
        <w:t xml:space="preserve">      </w:t>
      </w:r>
      <w:r>
        <w:rPr>
          <w:rFonts w:hint="eastAsia" w:ascii="仿宋_GB2312" w:hAnsi="Calibri" w:eastAsia="仿宋_GB2312" w:cs="Times New Roman"/>
          <w:spacing w:val="8"/>
          <w:sz w:val="28"/>
          <w:szCs w:val="24"/>
        </w:rPr>
        <w:t xml:space="preserve"> </w:t>
      </w:r>
      <w:r>
        <w:rPr>
          <w:rFonts w:hint="default" w:ascii="仿宋_GB2312" w:hAnsi="Calibri" w:eastAsia="仿宋_GB2312" w:cs="Times New Roman"/>
          <w:spacing w:val="8"/>
          <w:sz w:val="28"/>
          <w:szCs w:val="24"/>
          <w:lang w:val="en" w:eastAsia="zh-CN"/>
        </w:rPr>
        <w:t>202</w:t>
      </w:r>
      <w:r>
        <w:rPr>
          <w:rFonts w:hint="default" w:ascii="仿宋_GB2312" w:hAnsi="Calibri" w:eastAsia="仿宋_GB2312" w:cs="Times New Roman"/>
          <w:spacing w:val="8"/>
          <w:sz w:val="28"/>
          <w:szCs w:val="24"/>
          <w:lang w:val="en-US" w:eastAsia="zh-CN"/>
        </w:rPr>
        <w:t>6</w:t>
      </w:r>
      <w:r>
        <w:rPr>
          <w:rFonts w:hint="eastAsia" w:ascii="仿宋_GB2312" w:hAnsi="Calibri" w:eastAsia="仿宋_GB2312" w:cs="Times New Roman"/>
          <w:spacing w:val="8"/>
          <w:sz w:val="28"/>
          <w:szCs w:val="24"/>
        </w:rPr>
        <w:t>年</w:t>
      </w:r>
      <w:r>
        <w:rPr>
          <w:rFonts w:hint="eastAsia" w:ascii="仿宋_GB2312" w:hAnsi="Calibri" w:eastAsia="仿宋_GB2312" w:cs="Times New Roman"/>
          <w:spacing w:val="8"/>
          <w:sz w:val="28"/>
          <w:szCs w:val="24"/>
          <w:lang w:val="en-US" w:eastAsia="zh-CN"/>
        </w:rPr>
        <w:t>10</w:t>
      </w:r>
      <w:r>
        <w:rPr>
          <w:rFonts w:hint="eastAsia" w:ascii="仿宋_GB2312" w:hAnsi="Calibri" w:eastAsia="仿宋_GB2312" w:cs="Times New Roman"/>
          <w:spacing w:val="8"/>
          <w:sz w:val="28"/>
          <w:szCs w:val="24"/>
        </w:rPr>
        <w:t>月</w:t>
      </w:r>
      <w:r>
        <w:rPr>
          <w:rFonts w:hint="default" w:ascii="仿宋_GB2312" w:hAnsi="Calibri" w:eastAsia="仿宋_GB2312" w:cs="Times New Roman"/>
          <w:spacing w:val="8"/>
          <w:sz w:val="28"/>
          <w:szCs w:val="24"/>
          <w:lang w:val="en-US" w:eastAsia="zh-CN"/>
        </w:rPr>
        <w:t>22</w:t>
      </w:r>
      <w:r>
        <w:rPr>
          <w:rFonts w:hint="eastAsia" w:ascii="仿宋_GB2312" w:hAnsi="Calibri" w:eastAsia="仿宋_GB2312" w:cs="Times New Roman"/>
          <w:spacing w:val="8"/>
          <w:sz w:val="28"/>
          <w:szCs w:val="24"/>
        </w:rPr>
        <w:t>日印发</w:t>
      </w:r>
    </w:p>
    <w:bookmarkEnd w:id="2"/>
    <w:p>
      <w:pPr>
        <w:keepNext w:val="0"/>
        <w:keepLines w:val="0"/>
        <w:pageBreakBefore w:val="0"/>
        <w:widowControl w:val="0"/>
        <w:pBdr>
          <w:top w:val="single" w:color="auto" w:sz="8" w:space="7"/>
        </w:pBdr>
        <w:kinsoku/>
        <w:wordWrap/>
        <w:overflowPunct w:val="0"/>
        <w:topLinePunct w:val="0"/>
        <w:autoSpaceDE/>
        <w:autoSpaceDN/>
        <w:bidi w:val="0"/>
        <w:adjustRightInd w:val="0"/>
        <w:snapToGrid w:val="0"/>
        <w:spacing w:beforeLines="0" w:afterLines="0" w:line="240" w:lineRule="auto"/>
        <w:ind w:firstLine="0"/>
        <w:jc w:val="left"/>
        <w:textAlignment w:val="auto"/>
        <w:rPr>
          <w:rFonts w:hint="eastAsia" w:ascii="仿宋_GB2312" w:hAnsi="Calibri" w:eastAsia="仿宋_GB2312" w:cs="Times New Roman"/>
          <w:spacing w:val="8"/>
          <w:sz w:val="2"/>
          <w:szCs w:val="2"/>
        </w:rPr>
      </w:pPr>
    </w:p>
    <w:p>
      <w:pPr>
        <w:keepNext w:val="0"/>
        <w:keepLines w:val="0"/>
        <w:pageBreakBefore w:val="0"/>
        <w:widowControl w:val="0"/>
        <w:pBdr>
          <w:top w:val="single" w:color="auto" w:sz="8" w:space="7"/>
        </w:pBdr>
        <w:kinsoku/>
        <w:wordWrap/>
        <w:overflowPunct w:val="0"/>
        <w:topLinePunct w:val="0"/>
        <w:autoSpaceDE/>
        <w:autoSpaceDN/>
        <w:bidi w:val="0"/>
        <w:adjustRightInd w:val="0"/>
        <w:snapToGrid w:val="0"/>
        <w:spacing w:beforeLines="0" w:afterLines="0" w:line="240" w:lineRule="auto"/>
        <w:ind w:firstLine="0"/>
        <w:jc w:val="left"/>
        <w:textAlignment w:val="auto"/>
        <w:rPr>
          <w:rFonts w:hint="eastAsia" w:ascii="仿宋_GB2312" w:hAnsi="Calibri" w:eastAsia="仿宋_GB2312" w:cs="Times New Roman"/>
          <w:spacing w:val="8"/>
          <w:sz w:val="2"/>
          <w:szCs w:val="2"/>
        </w:rPr>
      </w:pPr>
    </w:p>
    <w:sectPr>
      <w:footerReference r:id="rId3" w:type="default"/>
      <w:pgSz w:w="11906" w:h="16838"/>
      <w:pgMar w:top="2097" w:right="1474" w:bottom="1984" w:left="1587" w:header="851" w:footer="1587" w:gutter="0"/>
      <w:pgNumType w:fmt="numberInDash"/>
      <w:cols w:space="72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3000502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长城仿宋">
    <w:altName w:val="方正仿宋_GBK"/>
    <w:panose1 w:val="02010609000101010101"/>
    <w:charset w:val="00"/>
    <w:family w:val="roman"/>
    <w:pitch w:val="default"/>
    <w:sig w:usb0="00000000" w:usb1="00000000" w:usb2="0000001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240" w:lineRule="auto"/>
      <w:rPr>
        <w:rFonts w:hint="eastAsia" w:ascii="宋体" w:hAnsi="宋体" w:eastAsia="宋体" w:cs="宋体"/>
        <w:sz w:val="28"/>
        <w:lang w:val="en-US"/>
      </w:rPr>
    </w:pPr>
    <w:r>
      <w:rPr>
        <w:rFonts w:hint="eastAsia" w:ascii="宋体" w:hAnsi="宋体" w:eastAsia="宋体" w:cs="宋体"/>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align>top</wp:align>
              </wp:positionV>
              <wp:extent cx="1828800" cy="1828800"/>
              <wp:effectExtent l="4445" t="4445" r="14605" b="14605"/>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宋体" w:hAnsi="宋体" w:eastAsia="宋体" w:cs="宋体"/>
                              <w:sz w:val="28"/>
                              <w:lang w:val="en-US"/>
                            </w:rPr>
                          </w:pPr>
                          <w:r>
                            <w:rPr>
                              <w:rFonts w:hint="eastAsia" w:ascii="宋体" w:hAnsi="宋体" w:eastAsia="宋体" w:cs="宋体"/>
                              <w:sz w:val="28"/>
                              <w:lang w:val="en-US"/>
                            </w:rPr>
                            <w:fldChar w:fldCharType="begin"/>
                          </w:r>
                          <w:r>
                            <w:rPr>
                              <w:rFonts w:hint="eastAsia" w:ascii="宋体" w:hAnsi="宋体" w:eastAsia="宋体" w:cs="宋体"/>
                              <w:sz w:val="28"/>
                              <w:lang w:val="en-US"/>
                            </w:rPr>
                            <w:instrText xml:space="preserve"> PAGE  \* MERGEFORMAT </w:instrText>
                          </w:r>
                          <w:r>
                            <w:rPr>
                              <w:rFonts w:hint="eastAsia" w:ascii="宋体" w:hAnsi="宋体" w:eastAsia="宋体" w:cs="宋体"/>
                              <w:sz w:val="28"/>
                              <w:lang w:val="en-US"/>
                            </w:rPr>
                            <w:fldChar w:fldCharType="separate"/>
                          </w:r>
                          <w:r>
                            <w:rPr>
                              <w:rFonts w:hint="eastAsia" w:ascii="宋体" w:hAnsi="宋体" w:eastAsia="宋体" w:cs="宋体"/>
                              <w:sz w:val="28"/>
                              <w:lang w:val="en-US"/>
                            </w:rPr>
                            <w:t>- 1 -</w:t>
                          </w:r>
                          <w:r>
                            <w:rPr>
                              <w:rFonts w:hint="eastAsia" w:ascii="宋体" w:hAnsi="宋体" w:eastAsia="宋体" w:cs="宋体"/>
                              <w:sz w:val="28"/>
                              <w:lang w:val="en-US"/>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height:144pt;width:144pt;mso-position-horizontal:outside;mso-position-horizontal-relative:margin;mso-position-vertical:top;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gF26zFQIAABkEAAAOAAAAAAAAAAEAIAAAADUBAABkcnMvZTJvRG9jLnhtbFBLBQYAAAAABgAG&#10;AFkBAAC8BQAAAAA=&#10;">
              <v:fill on="f" focussize="0,0"/>
              <v:stroke on="f" weight="0.5pt"/>
              <v:imagedata o:title=""/>
              <o:lock v:ext="edit" aspectratio="f"/>
              <v:textbox inset="0mm,0mm,0mm,0mm" style="mso-fit-shape-to-text:t;">
                <w:txbxContent>
                  <w:p>
                    <w:pPr>
                      <w:rPr>
                        <w:rFonts w:hint="eastAsia" w:ascii="宋体" w:hAnsi="宋体" w:eastAsia="宋体" w:cs="宋体"/>
                        <w:sz w:val="28"/>
                        <w:lang w:val="en-US"/>
                      </w:rPr>
                    </w:pPr>
                    <w:r>
                      <w:rPr>
                        <w:rFonts w:hint="eastAsia" w:ascii="宋体" w:hAnsi="宋体" w:eastAsia="宋体" w:cs="宋体"/>
                        <w:sz w:val="28"/>
                        <w:lang w:val="en-US"/>
                      </w:rPr>
                      <w:fldChar w:fldCharType="begin"/>
                    </w:r>
                    <w:r>
                      <w:rPr>
                        <w:rFonts w:hint="eastAsia" w:ascii="宋体" w:hAnsi="宋体" w:eastAsia="宋体" w:cs="宋体"/>
                        <w:sz w:val="28"/>
                        <w:lang w:val="en-US"/>
                      </w:rPr>
                      <w:instrText xml:space="preserve"> PAGE  \* MERGEFORMAT </w:instrText>
                    </w:r>
                    <w:r>
                      <w:rPr>
                        <w:rFonts w:hint="eastAsia" w:ascii="宋体" w:hAnsi="宋体" w:eastAsia="宋体" w:cs="宋体"/>
                        <w:sz w:val="28"/>
                        <w:lang w:val="en-US"/>
                      </w:rPr>
                      <w:fldChar w:fldCharType="separate"/>
                    </w:r>
                    <w:r>
                      <w:rPr>
                        <w:rFonts w:hint="eastAsia" w:ascii="宋体" w:hAnsi="宋体" w:eastAsia="宋体" w:cs="宋体"/>
                        <w:sz w:val="28"/>
                        <w:lang w:val="en-US"/>
                      </w:rPr>
                      <w:t>- 1 -</w:t>
                    </w:r>
                    <w:r>
                      <w:rPr>
                        <w:rFonts w:hint="eastAsia" w:ascii="宋体" w:hAnsi="宋体" w:eastAsia="宋体" w:cs="宋体"/>
                        <w:sz w:val="28"/>
                        <w:lang w:val="en-US"/>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true"/>
  <w:bordersDoNotSurroundFooter w:val="true"/>
  <w:documentProtection w:edit="readOnly" w:enforcement="0"/>
  <w:defaultTabStop w:val="420"/>
  <w:drawingGridHorizontalSpacing w:val="210"/>
  <w:drawingGridVerticalSpacing w:val="159"/>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FF7B771"/>
    <w:rsid w:val="2FCF9D52"/>
    <w:rsid w:val="6DF199E2"/>
    <w:rsid w:val="77BBDE80"/>
    <w:rsid w:val="77FFD685"/>
    <w:rsid w:val="7BBB5DBE"/>
    <w:rsid w:val="7EFDBB7F"/>
    <w:rsid w:val="7EFFD099"/>
    <w:rsid w:val="BEF26C6F"/>
    <w:rsid w:val="D3FFBABB"/>
    <w:rsid w:val="DDF3F331"/>
    <w:rsid w:val="EFF7B771"/>
    <w:rsid w:val="EFFFED5B"/>
    <w:rsid w:val="F97E8605"/>
    <w:rsid w:val="FF4718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NormalIndent"/>
    <w:basedOn w:val="1"/>
    <w:next w:val="1"/>
    <w:qFormat/>
    <w:uiPriority w:val="0"/>
    <w:pPr>
      <w:spacing w:line="240" w:lineRule="auto"/>
      <w:ind w:firstLine="420"/>
      <w:jc w:val="both"/>
      <w:textAlignment w:val="baseline"/>
    </w:pPr>
    <w:rPr>
      <w:rFonts w:ascii="宋体" w:hAnsi="Calibri" w:eastAsia="宋体" w:cs="Times New Roman"/>
      <w:kern w:val="0"/>
      <w:sz w:val="21"/>
      <w:szCs w:val="24"/>
      <w:lang w:val="en-US" w:eastAsia="zh-CN" w:bidi="ar-SA"/>
    </w:rPr>
  </w:style>
  <w:style w:type="paragraph" w:customStyle="1" w:styleId="7">
    <w:name w:val="p0"/>
    <w:basedOn w:val="1"/>
    <w:qFormat/>
    <w:uiPriority w:val="0"/>
    <w:pPr>
      <w:widowControl/>
    </w:pPr>
    <w:rPr>
      <w:rFonts w:hint="eastAsi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Office_11.8.2.9849_F1E327BC-269C-435d-A152-05C5408002CA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2026-10-19T10:32:00Z</dcterms:created>
  <dc:creator>郭聪：承办人修改</dc:creator>
  <cp:lastModifiedBy>陈欣欣</cp:lastModifiedBy>
  <dcterms:modified xsi:type="dcterms:W3CDTF">2026-10-23T12:28:53Z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2052-11.8.2.9849</vt:lpwstr>
  </property>
  <property fmtid="{D5CDD505-2E9C-101B-9397-08002B2CF9AE}" pid="3" name="ICV">
    <vt:lpwstr>053F1F9215562049A8ABD06A17CACA3F</vt:lpwstr>
  </property>
</Properties>
</file>