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EA2ABD">
      <w:pPr>
        <w:tabs>
          <w:tab w:val="left" w:pos="420"/>
        </w:tabs>
        <w:suppressAutoHyphens/>
        <w:bidi w:val="0"/>
        <w:jc w:val="center"/>
        <w:rPr>
          <w:rFonts w:hint="eastAsia" w:ascii="方正小标宋简体" w:hAnsi="方正小标宋简体" w:eastAsia="方正小标宋简体" w:cs="Times New Roman"/>
          <w:b/>
          <w:color w:val="FF0000"/>
          <w:w w:val="95"/>
          <w:kern w:val="0"/>
          <w:sz w:val="44"/>
          <w:szCs w:val="116"/>
        </w:rPr>
      </w:pPr>
      <w:bookmarkStart w:id="3" w:name="_GoBack"/>
      <w:bookmarkEnd w:id="3"/>
      <w:bookmarkStart w:id="0" w:name="_Hlk141567855"/>
      <w:bookmarkEnd w:id="0"/>
      <w:r>
        <w:rPr>
          <w:rFonts w:hint="eastAsia" w:ascii="方正小标宋简体" w:hAnsi="方正小标宋简体" w:eastAsia="方正小标宋简体" w:cs="黑体"/>
          <w:b/>
          <w:color w:val="FF0000"/>
          <w:w w:val="95"/>
          <w:sz w:val="44"/>
          <w:szCs w:val="72"/>
        </w:rPr>
        <w:t>中国证券监督管理委员会广东监管局</w:t>
      </w:r>
    </w:p>
    <w:p w14:paraId="38B266BB">
      <w:pPr>
        <w:suppressAutoHyphens/>
        <w:bidi w:val="0"/>
        <w:jc w:val="center"/>
        <w:rPr>
          <w:rFonts w:hint="eastAsia" w:ascii="方正小标宋简体" w:hAnsi="方正小标宋简体" w:eastAsia="方正小标宋简体" w:cs="Times New Roman"/>
          <w:snapToGrid w:val="0"/>
          <w:spacing w:val="85"/>
          <w:w w:val="90"/>
          <w:sz w:val="72"/>
          <w:szCs w:val="72"/>
        </w:rPr>
      </w:pPr>
      <w:r>
        <w:rPr>
          <w:rFonts w:hint="eastAsia" w:ascii="方正小标宋简体" w:hAnsi="方正小标宋简体" w:eastAsia="方正小标宋简体" w:cs="Times New Roman"/>
          <w:b/>
          <w:bCs/>
          <w:snapToGrid w:val="0"/>
          <w:color w:val="FF0000"/>
          <w:spacing w:val="85"/>
          <w:w w:val="90"/>
          <w:sz w:val="72"/>
          <w:szCs w:val="72"/>
        </w:rPr>
        <w:t>行政监管措施决定书</w:t>
      </w:r>
    </w:p>
    <w:p w14:paraId="718A887F">
      <w:pPr>
        <w:suppressAutoHyphens/>
        <w:bidi w:val="0"/>
        <w:snapToGrid w:val="0"/>
        <w:jc w:val="center"/>
        <w:rPr>
          <w:rFonts w:hint="eastAsia" w:ascii="仿宋_GB2312" w:hAnsi="仿宋_GB2312" w:eastAsia="仿宋_GB2312" w:cs="宋体"/>
          <w:sz w:val="36"/>
          <w:szCs w:val="36"/>
        </w:rPr>
      </w:pPr>
    </w:p>
    <w:p w14:paraId="48F0E17F">
      <w:pPr>
        <w:suppressAutoHyphens/>
        <w:bidi w:val="0"/>
        <w:adjustRightInd/>
        <w:snapToGrid w:val="0"/>
        <w:spacing w:before="156" w:beforeLines="50" w:line="300" w:lineRule="auto"/>
        <w:ind w:firstLine="0" w:firstLineChars="0"/>
        <w:jc w:val="center"/>
        <w:rPr>
          <w:rFonts w:ascii="黑体" w:hAnsi="Times New Roman" w:eastAsia="黑体" w:cs="Times New Roman"/>
          <w:color w:val="000000"/>
          <w:spacing w:val="12"/>
          <w:sz w:val="32"/>
          <w:szCs w:val="20"/>
        </w:rPr>
      </w:pPr>
      <w:bookmarkStart w:id="1" w:name="WH"/>
      <w:bookmarkEnd w:id="1"/>
      <w:r>
        <w:rPr>
          <w:rFonts w:hint="eastAsia" w:ascii="仿宋_GB2312" w:hAnsi="Times New Roman" w:eastAsia="仿宋_GB2312" w:cs="Times New Roman"/>
          <w:color w:val="000000"/>
          <w:spacing w:val="12"/>
          <w:sz w:val="28"/>
          <w:szCs w:val="20"/>
        </w:rPr>
        <w:t>〔20</w:t>
      </w:r>
      <w:r>
        <w:rPr>
          <w:rFonts w:hint="default" w:ascii="仿宋_GB2312" w:hAnsi="Times New Roman" w:eastAsia="仿宋_GB2312" w:cs="Times New Roman"/>
          <w:color w:val="000000"/>
          <w:spacing w:val="12"/>
          <w:sz w:val="28"/>
          <w:szCs w:val="20"/>
          <w:lang w:val="en-US"/>
        </w:rPr>
        <w:t>26</w:t>
      </w:r>
      <w:r>
        <w:rPr>
          <w:rFonts w:hint="eastAsia" w:ascii="仿宋_GB2312" w:hAnsi="Times New Roman" w:eastAsia="仿宋_GB2312" w:cs="Times New Roman"/>
          <w:color w:val="000000"/>
          <w:spacing w:val="12"/>
          <w:sz w:val="28"/>
          <w:szCs w:val="20"/>
        </w:rPr>
        <w:t>〕</w:t>
      </w:r>
      <w:r>
        <w:rPr>
          <w:rFonts w:hint="default" w:ascii="仿宋_GB2312" w:hAnsi="Times New Roman" w:eastAsia="仿宋_GB2312" w:cs="Times New Roman"/>
          <w:color w:val="000000"/>
          <w:spacing w:val="12"/>
          <w:sz w:val="28"/>
          <w:szCs w:val="20"/>
          <w:lang w:val="en-US"/>
        </w:rPr>
        <w:t>130</w:t>
      </w:r>
      <w:r>
        <w:rPr>
          <w:rFonts w:hint="eastAsia" w:ascii="仿宋_GB2312" w:hAnsi="Times New Roman" w:eastAsia="仿宋_GB2312" w:cs="Times New Roman"/>
          <w:color w:val="000000"/>
          <w:spacing w:val="12"/>
          <w:sz w:val="28"/>
          <w:szCs w:val="20"/>
        </w:rPr>
        <w:t>号</w:t>
      </w:r>
    </w:p>
    <w:p w14:paraId="12FEA151">
      <w:pPr>
        <w:suppressAutoHyphens/>
        <w:bidi w:val="0"/>
        <w:snapToGrid w:val="0"/>
        <w:jc w:val="center"/>
        <w:rPr>
          <w:rFonts w:hint="eastAsia" w:ascii="仿宋_GB2312" w:hAnsi="仿宋_GB2312" w:eastAsia="仿宋_GB2312" w:cs="Times New Roman"/>
          <w:sz w:val="28"/>
          <w:szCs w:val="28"/>
        </w:rPr>
      </w:pPr>
      <w:r>
        <w:rPr>
          <w:rFonts w:ascii="Times New Roman" w:hAnsi="Times New Roman" w:cs="Times New Roman"/>
          <w:szCs w:val="20"/>
        </w:rPr>
        <mc:AlternateContent>
          <mc:Choice Requires="wps">
            <w:drawing>
              <wp:anchor distT="0" distB="0" distL="114300" distR="114300" simplePos="0" relativeHeight="251659264" behindDoc="0" locked="0" layoutInCell="1" allowOverlap="1">
                <wp:simplePos x="0" y="0"/>
                <wp:positionH relativeFrom="column">
                  <wp:posOffset>80645</wp:posOffset>
                </wp:positionH>
                <wp:positionV relativeFrom="paragraph">
                  <wp:posOffset>128905</wp:posOffset>
                </wp:positionV>
                <wp:extent cx="5551805"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5551805" cy="635"/>
                        </a:xfrm>
                        <a:prstGeom prst="line">
                          <a:avLst/>
                        </a:prstGeom>
                        <a:ln w="1270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6.35pt;margin-top:10.15pt;height:0.05pt;width:437.15pt;z-index:251659264;mso-width-relative:page;mso-height-relative:page;" filled="f" stroked="t" coordsize="21600,21600" o:gfxdata="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zC+1ktYAAAAIAQAADwAAAAAAAAABACAAAAAiAAAAZHJzL2Rvd25yZXYu&#10;eG1sUEsBAhQAFAAAAAgAh07iQBXy5mP9AQAA9QMAAA4AAAAAAAAAAQAgAAAAJQEAAGRycy9lMm9E&#10;b2MueG1sUEsFBgAAAAAGAAYAWQEAAJQFAAAAAA==&#10;">
                <v:fill on="f" focussize="0,0"/>
                <v:stroke weight="1pt" color="#FF0000" joinstyle="round"/>
                <v:imagedata o:title=""/>
                <o:lock v:ext="edit" aspectratio="f"/>
              </v:line>
            </w:pict>
          </mc:Fallback>
        </mc:AlternateContent>
      </w:r>
    </w:p>
    <w:p w14:paraId="246EF8F9">
      <w:pPr>
        <w:suppressAutoHyphens/>
        <w:bidi w:val="0"/>
        <w:jc w:val="center"/>
        <w:rPr>
          <w:rFonts w:hint="eastAsia" w:ascii="Times New Roman" w:hAnsi="Times New Roman" w:cs="Times New Roman"/>
          <w:sz w:val="22"/>
          <w:szCs w:val="22"/>
        </w:rPr>
      </w:pPr>
    </w:p>
    <w:p w14:paraId="46E7352C">
      <w:pPr>
        <w:keepNext w:val="0"/>
        <w:keepLines w:val="0"/>
        <w:pageBreakBefore w:val="0"/>
        <w:widowControl w:val="0"/>
        <w:suppressAutoHyphens/>
        <w:kinsoku/>
        <w:wordWrap/>
        <w:overflowPunct/>
        <w:topLinePunct w:val="0"/>
        <w:autoSpaceDE/>
        <w:autoSpaceDN/>
        <w:bidi w:val="0"/>
        <w:adjustRightInd/>
        <w:snapToGrid w:val="0"/>
        <w:spacing w:before="0" w:beforeLines="0" w:after="0" w:afterLines="0" w:line="240" w:lineRule="auto"/>
        <w:ind w:left="0" w:leftChars="0" w:right="0" w:rightChars="0" w:firstLine="0" w:firstLineChars="0"/>
        <w:jc w:val="center"/>
        <w:textAlignment w:val="auto"/>
        <w:outlineLvl w:val="9"/>
        <w:rPr>
          <w:rFonts w:hint="eastAsia" w:ascii="方正小标宋简体" w:hAnsi="方正小标宋简体" w:eastAsia="方正小标宋简体" w:cs="方正小标宋简体"/>
          <w:color w:val="auto"/>
          <w:spacing w:val="0"/>
          <w:kern w:val="0"/>
          <w:sz w:val="44"/>
          <w:szCs w:val="44"/>
          <w:highlight w:val="none"/>
          <w:lang w:val="en-US" w:eastAsia="zh-CN" w:bidi="ar-SA"/>
        </w:rPr>
      </w:pPr>
      <w:bookmarkStart w:id="2" w:name="quanwen"/>
      <w:r>
        <w:rPr>
          <w:rFonts w:hint="eastAsia" w:ascii="方正小标宋简体" w:hAnsi="方正小标宋简体" w:eastAsia="方正小标宋简体" w:cs="方正小标宋简体"/>
          <w:color w:val="auto"/>
          <w:spacing w:val="0"/>
          <w:kern w:val="0"/>
          <w:sz w:val="44"/>
          <w:szCs w:val="44"/>
          <w:highlight w:val="none"/>
          <w:lang w:val="en-US" w:eastAsia="zh-CN" w:bidi="ar-SA"/>
        </w:rPr>
        <w:t>关于对珠海境成私募基金管理有限公司</w:t>
      </w:r>
    </w:p>
    <w:p w14:paraId="06707319">
      <w:pPr>
        <w:keepNext w:val="0"/>
        <w:keepLines w:val="0"/>
        <w:pageBreakBefore w:val="0"/>
        <w:widowControl w:val="0"/>
        <w:suppressAutoHyphens/>
        <w:kinsoku/>
        <w:wordWrap/>
        <w:overflowPunct/>
        <w:topLinePunct w:val="0"/>
        <w:autoSpaceDE/>
        <w:autoSpaceDN/>
        <w:bidi w:val="0"/>
        <w:adjustRightInd/>
        <w:snapToGrid w:val="0"/>
        <w:spacing w:before="0" w:beforeLines="0" w:after="0" w:afterLines="0" w:line="240" w:lineRule="auto"/>
        <w:ind w:left="0" w:leftChars="0" w:right="0" w:rightChars="0" w:firstLine="0" w:firstLineChars="0"/>
        <w:jc w:val="center"/>
        <w:textAlignment w:val="auto"/>
        <w:outlineLvl w:val="9"/>
        <w:rPr>
          <w:rFonts w:hint="eastAsia" w:ascii="方正小标宋简体" w:hAnsi="方正小标宋简体" w:eastAsia="方正小标宋简体" w:cs="方正小标宋简体"/>
          <w:color w:val="auto"/>
          <w:spacing w:val="0"/>
          <w:kern w:val="0"/>
          <w:sz w:val="44"/>
          <w:szCs w:val="44"/>
          <w:highlight w:val="none"/>
          <w:lang w:val="en-US" w:eastAsia="zh-CN" w:bidi="ar-SA"/>
        </w:rPr>
      </w:pPr>
      <w:r>
        <w:rPr>
          <w:rFonts w:hint="eastAsia" w:ascii="方正小标宋简体" w:hAnsi="方正小标宋简体" w:eastAsia="方正小标宋简体" w:cs="方正小标宋简体"/>
          <w:color w:val="auto"/>
          <w:spacing w:val="0"/>
          <w:kern w:val="0"/>
          <w:sz w:val="44"/>
          <w:szCs w:val="44"/>
          <w:highlight w:val="none"/>
          <w:lang w:val="en-US" w:eastAsia="zh-CN" w:bidi="ar-SA"/>
        </w:rPr>
        <w:t>采取责令改正措施的决定</w:t>
      </w:r>
    </w:p>
    <w:p w14:paraId="626E17F5">
      <w:pPr>
        <w:suppressAutoHyphens/>
        <w:bidi w:val="0"/>
        <w:snapToGrid w:val="0"/>
        <w:spacing w:beforeLines="0" w:afterLines="0"/>
        <w:rPr>
          <w:rFonts w:hint="eastAsia" w:ascii="方正小标宋简体" w:hAnsi="方正小标宋简体" w:eastAsia="方正小标宋简体" w:cs="方正小标宋简体"/>
          <w:color w:val="auto"/>
          <w:sz w:val="22"/>
          <w:szCs w:val="22"/>
          <w:highlight w:val="none"/>
          <w:lang w:val="en-US" w:eastAsia="zh-CN"/>
        </w:rPr>
      </w:pPr>
    </w:p>
    <w:p w14:paraId="6E65BC3D">
      <w:pPr>
        <w:keepNext w:val="0"/>
        <w:keepLines w:val="0"/>
        <w:pageBreakBefore w:val="0"/>
        <w:widowControl w:val="0"/>
        <w:suppressAutoHyphens/>
        <w:kinsoku/>
        <w:wordWrap/>
        <w:overflowPunct w:val="0"/>
        <w:topLinePunct w:val="0"/>
        <w:autoSpaceDE/>
        <w:autoSpaceDN/>
        <w:bidi w:val="0"/>
        <w:adjustRightInd w:val="0"/>
        <w:snapToGrid w:val="0"/>
        <w:spacing w:before="0" w:beforeLines="0" w:after="0" w:afterLines="0" w:line="300" w:lineRule="auto"/>
        <w:ind w:right="0" w:rightChars="0"/>
        <w:jc w:val="both"/>
        <w:textAlignment w:val="auto"/>
        <w:outlineLvl w:val="9"/>
        <w:rPr>
          <w:rFonts w:hint="eastAsia" w:ascii="仿宋_GB2312" w:hAnsi="仿宋_GB2312" w:eastAsia="仿宋_GB2312" w:cs="仿宋_GB2312"/>
          <w:color w:val="auto"/>
          <w:sz w:val="32"/>
          <w:szCs w:val="24"/>
          <w:highlight w:val="none"/>
          <w:lang w:val="en-US" w:eastAsia="zh-CN"/>
        </w:rPr>
      </w:pPr>
      <w:r>
        <w:rPr>
          <w:rFonts w:hint="eastAsia" w:ascii="仿宋_GB2312" w:hAnsi="仿宋_GB2312" w:eastAsia="仿宋_GB2312" w:cs="仿宋_GB2312"/>
          <w:color w:val="auto"/>
          <w:sz w:val="32"/>
          <w:szCs w:val="24"/>
          <w:highlight w:val="none"/>
          <w:lang w:val="en" w:eastAsia="zh-CN"/>
        </w:rPr>
        <w:t>珠海境成私募基金管理有限公司：</w:t>
      </w:r>
    </w:p>
    <w:p w14:paraId="0D350995">
      <w:pPr>
        <w:keepNext w:val="0"/>
        <w:keepLines w:val="0"/>
        <w:pageBreakBefore w:val="0"/>
        <w:widowControl w:val="0"/>
        <w:suppressAutoHyphens/>
        <w:kinsoku/>
        <w:wordWrap/>
        <w:overflowPunct w:val="0"/>
        <w:topLinePunct w:val="0"/>
        <w:autoSpaceDE/>
        <w:autoSpaceDN/>
        <w:bidi w:val="0"/>
        <w:adjustRightInd w:val="0"/>
        <w:snapToGrid w:val="0"/>
        <w:spacing w:before="0" w:beforeLines="0" w:after="0" w:afterLines="0" w:line="300" w:lineRule="auto"/>
        <w:ind w:left="0" w:leftChars="0" w:right="0" w:rightChars="0" w:firstLine="640" w:firstLineChars="200"/>
        <w:jc w:val="both"/>
        <w:textAlignment w:val="auto"/>
        <w:outlineLvl w:val="9"/>
        <w:rPr>
          <w:rFonts w:hint="eastAsia" w:ascii="仿宋_GB2312" w:hAnsi="宋体" w:eastAsia="仿宋_GB2312" w:cs="Times New Roman"/>
          <w:b w:val="0"/>
          <w:bCs w:val="0"/>
          <w:color w:val="auto"/>
          <w:spacing w:val="-6"/>
          <w:sz w:val="32"/>
          <w:szCs w:val="32"/>
          <w:highlight w:val="none"/>
          <w:lang w:val="en-US" w:eastAsia="zh-CN"/>
        </w:rPr>
      </w:pPr>
      <w:r>
        <w:rPr>
          <w:rFonts w:hint="eastAsia" w:ascii="仿宋_GB2312" w:hAnsi="仿宋_GB2312" w:eastAsia="仿宋_GB2312" w:cs="仿宋_GB2312"/>
          <w:color w:val="auto"/>
          <w:sz w:val="32"/>
          <w:szCs w:val="24"/>
          <w:lang w:val="en-US" w:eastAsia="zh-CN"/>
        </w:rPr>
        <w:t>经查，</w:t>
      </w:r>
      <w:r>
        <w:rPr>
          <w:rFonts w:hint="eastAsia" w:ascii="仿宋_GB2312" w:hAnsi="仿宋_GB2312" w:eastAsia="仿宋_GB2312" w:cs="仿宋_GB2312"/>
          <w:b w:val="0"/>
          <w:bCs w:val="0"/>
          <w:color w:val="auto"/>
          <w:sz w:val="32"/>
          <w:szCs w:val="24"/>
          <w:lang w:val="en-US" w:eastAsia="zh-CN"/>
        </w:rPr>
        <w:t>你公司在</w:t>
      </w:r>
      <w:r>
        <w:rPr>
          <w:rFonts w:hint="eastAsia" w:ascii="仿宋_GB2312" w:hAnsi="宋体" w:eastAsia="仿宋_GB2312" w:cs="Times New Roman"/>
          <w:b w:val="0"/>
          <w:bCs w:val="0"/>
          <w:color w:val="auto"/>
          <w:sz w:val="32"/>
          <w:szCs w:val="32"/>
          <w:lang w:val="en-US" w:eastAsia="zh-CN"/>
        </w:rPr>
        <w:t>开展私募投资基金管理业务过程中，存在以</w:t>
      </w:r>
      <w:r>
        <w:rPr>
          <w:rFonts w:hint="eastAsia" w:ascii="仿宋_GB2312" w:hAnsi="宋体" w:eastAsia="仿宋_GB2312" w:cs="Times New Roman"/>
          <w:b w:val="0"/>
          <w:bCs w:val="0"/>
          <w:color w:val="auto"/>
          <w:spacing w:val="-6"/>
          <w:sz w:val="32"/>
          <w:szCs w:val="32"/>
          <w:lang w:val="en-US" w:eastAsia="zh-CN"/>
        </w:rPr>
        <w:t>下违规行为</w:t>
      </w:r>
      <w:r>
        <w:rPr>
          <w:rFonts w:hint="eastAsia" w:ascii="仿宋_GB2312" w:hAnsi="宋体" w:eastAsia="仿宋_GB2312" w:cs="Times New Roman"/>
          <w:b w:val="0"/>
          <w:bCs w:val="0"/>
          <w:color w:val="auto"/>
          <w:spacing w:val="-6"/>
          <w:sz w:val="32"/>
          <w:szCs w:val="32"/>
          <w:highlight w:val="none"/>
          <w:lang w:val="en-US" w:eastAsia="zh-CN"/>
        </w:rPr>
        <w:t>：</w:t>
      </w:r>
    </w:p>
    <w:p w14:paraId="6D4DFD83">
      <w:pPr>
        <w:keepNext w:val="0"/>
        <w:keepLines w:val="0"/>
        <w:pageBreakBefore w:val="0"/>
        <w:widowControl w:val="0"/>
        <w:suppressAutoHyphens/>
        <w:kinsoku/>
        <w:wordWrap/>
        <w:overflowPunct w:val="0"/>
        <w:topLinePunct w:val="0"/>
        <w:autoSpaceDE/>
        <w:autoSpaceDN/>
        <w:bidi w:val="0"/>
        <w:adjustRightInd w:val="0"/>
        <w:snapToGrid w:val="0"/>
        <w:spacing w:before="0" w:beforeLines="0" w:after="0" w:afterLines="0" w:line="300" w:lineRule="auto"/>
        <w:ind w:left="0" w:leftChars="0" w:right="0" w:rightChars="0" w:firstLine="619" w:firstLineChars="200"/>
        <w:jc w:val="both"/>
        <w:textAlignment w:val="auto"/>
        <w:outlineLvl w:val="9"/>
        <w:rPr>
          <w:rFonts w:hint="eastAsia" w:ascii="仿宋_GB2312" w:hAnsi="宋体" w:eastAsia="仿宋_GB2312" w:cs="Times New Roman"/>
          <w:b w:val="0"/>
          <w:bCs w:val="0"/>
          <w:color w:val="auto"/>
          <w:spacing w:val="-6"/>
          <w:sz w:val="32"/>
          <w:szCs w:val="32"/>
          <w:highlight w:val="none"/>
          <w:lang w:val="en-US" w:eastAsia="zh-CN"/>
        </w:rPr>
      </w:pPr>
      <w:r>
        <w:rPr>
          <w:rFonts w:hint="eastAsia" w:ascii="仿宋_GB2312" w:hAnsi="宋体" w:eastAsia="仿宋_GB2312" w:cs="Times New Roman"/>
          <w:b/>
          <w:bCs/>
          <w:color w:val="auto"/>
          <w:spacing w:val="-6"/>
          <w:sz w:val="32"/>
          <w:szCs w:val="32"/>
          <w:highlight w:val="none"/>
          <w:lang w:val="en-US" w:eastAsia="zh-CN"/>
        </w:rPr>
        <w:t>一是</w:t>
      </w:r>
      <w:r>
        <w:rPr>
          <w:rFonts w:hint="eastAsia" w:ascii="仿宋_GB2312" w:hAnsi="宋体" w:eastAsia="仿宋_GB2312" w:cs="Times New Roman"/>
          <w:b w:val="0"/>
          <w:bCs w:val="0"/>
          <w:color w:val="auto"/>
          <w:spacing w:val="-6"/>
          <w:sz w:val="32"/>
          <w:szCs w:val="32"/>
          <w:highlight w:val="none"/>
          <w:lang w:val="en-US" w:eastAsia="zh-CN"/>
        </w:rPr>
        <w:t>未谨慎勤勉履行管理人职责，</w:t>
      </w:r>
      <w:r>
        <w:rPr>
          <w:rFonts w:hint="eastAsia" w:ascii="仿宋_GB2312" w:hAnsi="仿宋_GB2312" w:eastAsia="仿宋_GB2312" w:cs="仿宋_GB2312"/>
          <w:b w:val="0"/>
          <w:bCs w:val="0"/>
          <w:color w:val="auto"/>
          <w:sz w:val="32"/>
          <w:szCs w:val="32"/>
          <w:lang w:val="en-US" w:eastAsia="zh-CN"/>
        </w:rPr>
        <w:t>未通过获取投资者资产或收入证明等有效方式了解部分投资者的财务状况</w:t>
      </w:r>
      <w:r>
        <w:rPr>
          <w:rFonts w:hint="eastAsia" w:ascii="仿宋_GB2312" w:hAnsi="宋体" w:eastAsia="仿宋_GB2312" w:cs="Times New Roman"/>
          <w:b w:val="0"/>
          <w:bCs w:val="0"/>
          <w:color w:val="auto"/>
          <w:spacing w:val="-6"/>
          <w:sz w:val="32"/>
          <w:szCs w:val="32"/>
          <w:highlight w:val="none"/>
          <w:lang w:val="en-US" w:eastAsia="zh-CN"/>
        </w:rPr>
        <w:t>，</w:t>
      </w:r>
      <w:r>
        <w:rPr>
          <w:rFonts w:hint="eastAsia" w:ascii="仿宋_GB2312" w:hAnsi="宋体" w:eastAsia="仿宋_GB2312" w:cs="Times New Roman"/>
          <w:color w:val="auto"/>
          <w:spacing w:val="-6"/>
          <w:sz w:val="32"/>
          <w:szCs w:val="32"/>
          <w:highlight w:val="none"/>
        </w:rPr>
        <w:t>违反了《证券期货投资者适当性管理办法》（证监会令第202号</w:t>
      </w:r>
      <w:r>
        <w:rPr>
          <w:rFonts w:hint="eastAsia" w:ascii="仿宋_GB2312" w:hAnsi="宋体" w:eastAsia="仿宋_GB2312" w:cs="Times New Roman"/>
          <w:color w:val="auto"/>
          <w:spacing w:val="-6"/>
          <w:sz w:val="32"/>
          <w:szCs w:val="32"/>
          <w:highlight w:val="none"/>
          <w:lang w:eastAsia="zh-CN"/>
        </w:rPr>
        <w:t>，以下简称《适当性管理办法》</w:t>
      </w:r>
      <w:r>
        <w:rPr>
          <w:rFonts w:hint="eastAsia" w:ascii="仿宋_GB2312" w:hAnsi="宋体" w:eastAsia="仿宋_GB2312" w:cs="Times New Roman"/>
          <w:color w:val="auto"/>
          <w:spacing w:val="-6"/>
          <w:sz w:val="32"/>
          <w:szCs w:val="32"/>
          <w:highlight w:val="none"/>
        </w:rPr>
        <w:t>）第六条</w:t>
      </w:r>
      <w:r>
        <w:rPr>
          <w:rFonts w:hint="eastAsia" w:ascii="仿宋_GB2312" w:hAnsi="宋体" w:eastAsia="仿宋_GB2312" w:cs="Times New Roman"/>
          <w:color w:val="auto"/>
          <w:spacing w:val="-6"/>
          <w:sz w:val="32"/>
          <w:szCs w:val="32"/>
          <w:highlight w:val="none"/>
          <w:lang w:eastAsia="zh-CN"/>
        </w:rPr>
        <w:t>第二</w:t>
      </w:r>
      <w:r>
        <w:rPr>
          <w:rFonts w:hint="eastAsia" w:ascii="仿宋_GB2312" w:hAnsi="宋体" w:eastAsia="仿宋_GB2312" w:cs="Times New Roman"/>
          <w:color w:val="auto"/>
          <w:spacing w:val="-6"/>
          <w:sz w:val="32"/>
          <w:szCs w:val="32"/>
          <w:highlight w:val="none"/>
        </w:rPr>
        <w:t>项</w:t>
      </w:r>
      <w:r>
        <w:rPr>
          <w:rFonts w:hint="eastAsia" w:ascii="仿宋_GB2312" w:hAnsi="仿宋_GB2312" w:eastAsia="仿宋_GB2312" w:cs="仿宋_GB2312"/>
          <w:color w:val="auto"/>
          <w:kern w:val="2"/>
          <w:sz w:val="32"/>
          <w:szCs w:val="32"/>
          <w:lang w:val="en-US" w:eastAsia="zh-CN" w:bidi="ar"/>
        </w:rPr>
        <w:t>，《私募投资基金监督管理暂行办法》（</w:t>
      </w:r>
      <w:r>
        <w:rPr>
          <w:rFonts w:hint="eastAsia" w:ascii="仿宋_GB2312" w:hAnsi="宋体" w:eastAsia="仿宋_GB2312" w:cs="Times New Roman"/>
          <w:color w:val="auto"/>
          <w:spacing w:val="-6"/>
          <w:sz w:val="32"/>
          <w:szCs w:val="32"/>
          <w:highlight w:val="none"/>
        </w:rPr>
        <w:t>证监会令第105号，以下简称《私募办法》</w:t>
      </w:r>
      <w:r>
        <w:rPr>
          <w:rFonts w:hint="eastAsia" w:ascii="仿宋_GB2312" w:hAnsi="仿宋_GB2312" w:eastAsia="仿宋_GB2312" w:cs="仿宋_GB2312"/>
          <w:color w:val="auto"/>
          <w:kern w:val="2"/>
          <w:sz w:val="32"/>
          <w:szCs w:val="32"/>
          <w:lang w:val="en-US" w:eastAsia="zh-CN" w:bidi="ar"/>
        </w:rPr>
        <w:t>）第四条第一款</w:t>
      </w:r>
      <w:r>
        <w:rPr>
          <w:rFonts w:hint="eastAsia" w:ascii="仿宋_GB2312" w:hAnsi="宋体" w:eastAsia="仿宋_GB2312" w:cs="Times New Roman"/>
          <w:color w:val="auto"/>
          <w:spacing w:val="-6"/>
          <w:sz w:val="32"/>
          <w:szCs w:val="32"/>
          <w:highlight w:val="none"/>
          <w:lang w:eastAsia="zh-CN"/>
        </w:rPr>
        <w:t>的规定</w:t>
      </w:r>
      <w:r>
        <w:rPr>
          <w:rFonts w:hint="eastAsia" w:ascii="仿宋_GB2312" w:hAnsi="宋体" w:eastAsia="仿宋_GB2312" w:cs="Times New Roman"/>
          <w:b w:val="0"/>
          <w:bCs w:val="0"/>
          <w:color w:val="auto"/>
          <w:spacing w:val="-6"/>
          <w:sz w:val="32"/>
          <w:szCs w:val="32"/>
          <w:highlight w:val="none"/>
          <w:lang w:val="en-US" w:eastAsia="zh-CN"/>
        </w:rPr>
        <w:t>。</w:t>
      </w:r>
    </w:p>
    <w:p w14:paraId="69DA51A1">
      <w:pPr>
        <w:keepNext w:val="0"/>
        <w:keepLines w:val="0"/>
        <w:pageBreakBefore w:val="0"/>
        <w:widowControl w:val="0"/>
        <w:suppressAutoHyphens/>
        <w:kinsoku/>
        <w:wordWrap/>
        <w:overflowPunct w:val="0"/>
        <w:topLinePunct w:val="0"/>
        <w:autoSpaceDE/>
        <w:autoSpaceDN/>
        <w:bidi w:val="0"/>
        <w:adjustRightInd w:val="0"/>
        <w:snapToGrid w:val="0"/>
        <w:spacing w:before="0" w:beforeLines="0" w:after="0" w:afterLines="0" w:line="300" w:lineRule="auto"/>
        <w:ind w:left="0" w:leftChars="0" w:right="0" w:rightChars="0" w:firstLine="619" w:firstLineChars="200"/>
        <w:jc w:val="both"/>
        <w:textAlignment w:val="auto"/>
        <w:outlineLvl w:val="9"/>
        <w:rPr>
          <w:rFonts w:hint="eastAsia" w:ascii="仿宋_GB2312" w:hAnsi="仿宋_GB2312" w:eastAsia="仿宋_GB2312" w:cs="仿宋_GB2312"/>
          <w:color w:val="auto"/>
          <w:kern w:val="2"/>
          <w:sz w:val="32"/>
          <w:szCs w:val="32"/>
          <w:highlight w:val="none"/>
          <w:lang w:val="en-US" w:eastAsia="zh-CN" w:bidi="ar"/>
        </w:rPr>
      </w:pPr>
      <w:r>
        <w:rPr>
          <w:rFonts w:hint="eastAsia" w:ascii="仿宋_GB2312" w:hAnsi="宋体" w:eastAsia="仿宋_GB2312" w:cs="Times New Roman"/>
          <w:b/>
          <w:bCs/>
          <w:color w:val="auto"/>
          <w:spacing w:val="-6"/>
          <w:sz w:val="32"/>
          <w:szCs w:val="32"/>
          <w:highlight w:val="none"/>
          <w:lang w:val="en-US" w:eastAsia="zh-CN"/>
        </w:rPr>
        <w:t>二是</w:t>
      </w:r>
      <w:r>
        <w:rPr>
          <w:rFonts w:hint="eastAsia" w:ascii="仿宋_GB2312" w:hAnsi="仿宋_GB2312" w:eastAsia="仿宋_GB2312" w:cs="仿宋_GB2312"/>
          <w:color w:val="auto"/>
          <w:spacing w:val="-6"/>
          <w:kern w:val="2"/>
          <w:sz w:val="32"/>
          <w:szCs w:val="32"/>
          <w:lang w:val="en-US" w:eastAsia="zh-CN" w:bidi="ar"/>
        </w:rPr>
        <w:t>未穿透核查作为部分基金产品投资者的合伙企业的合伙人是否</w:t>
      </w:r>
      <w:r>
        <w:rPr>
          <w:rFonts w:hint="eastAsia" w:ascii="仿宋_GB2312" w:hAnsi="仿宋_GB2312" w:eastAsia="仿宋_GB2312" w:cs="仿宋_GB2312"/>
          <w:color w:val="auto"/>
          <w:spacing w:val="-6"/>
          <w:kern w:val="2"/>
          <w:sz w:val="32"/>
          <w:szCs w:val="32"/>
          <w:highlight w:val="none"/>
          <w:lang w:val="en-US" w:eastAsia="zh-CN" w:bidi="ar"/>
        </w:rPr>
        <w:t>为合格投资者，违反了《私募办法》第十三条第二款的规定。</w:t>
      </w:r>
    </w:p>
    <w:p w14:paraId="4CA4CDAA">
      <w:pPr>
        <w:keepNext w:val="0"/>
        <w:keepLines w:val="0"/>
        <w:pageBreakBefore w:val="0"/>
        <w:widowControl w:val="0"/>
        <w:suppressAutoHyphens/>
        <w:kinsoku/>
        <w:wordWrap/>
        <w:overflowPunct w:val="0"/>
        <w:topLinePunct w:val="0"/>
        <w:autoSpaceDE/>
        <w:autoSpaceDN/>
        <w:bidi w:val="0"/>
        <w:adjustRightInd w:val="0"/>
        <w:snapToGrid w:val="0"/>
        <w:spacing w:before="0" w:beforeLines="0" w:after="0" w:afterLines="0" w:line="300" w:lineRule="auto"/>
        <w:ind w:left="0" w:leftChars="0" w:right="0" w:rightChars="0" w:firstLine="643" w:firstLineChars="200"/>
        <w:jc w:val="both"/>
        <w:textAlignment w:val="auto"/>
        <w:outlineLvl w:val="9"/>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b/>
          <w:bCs/>
          <w:color w:val="000000"/>
          <w:sz w:val="32"/>
          <w:szCs w:val="32"/>
          <w:highlight w:val="none"/>
          <w:lang w:val="en-US" w:eastAsia="zh-CN"/>
        </w:rPr>
        <w:t>三是</w:t>
      </w:r>
      <w:r>
        <w:rPr>
          <w:rFonts w:hint="eastAsia" w:ascii="仿宋_GB2312" w:hAnsi="仿宋_GB2312" w:eastAsia="仿宋_GB2312" w:cs="仿宋_GB2312"/>
          <w:color w:val="000000"/>
          <w:spacing w:val="-6"/>
          <w:kern w:val="0"/>
          <w:sz w:val="32"/>
          <w:szCs w:val="32"/>
          <w:highlight w:val="none"/>
          <w:lang w:eastAsia="zh-CN"/>
        </w:rPr>
        <w:t>未健全关联交易管理制度，且未根据你公司制定的《机构内部交易记录制度》执行内部交易记录流程，</w:t>
      </w:r>
      <w:r>
        <w:rPr>
          <w:rFonts w:hint="eastAsia" w:ascii="仿宋_GB2312" w:hAnsi="仿宋_GB2312" w:eastAsia="仿宋_GB2312" w:cs="仿宋_GB2312"/>
          <w:color w:val="000000"/>
          <w:spacing w:val="-6"/>
          <w:kern w:val="0"/>
          <w:sz w:val="32"/>
          <w:szCs w:val="32"/>
          <w:highlight w:val="none"/>
          <w:lang w:val="en-US" w:eastAsia="zh-CN"/>
        </w:rPr>
        <w:t>违反了</w:t>
      </w:r>
      <w:r>
        <w:rPr>
          <w:rFonts w:hint="eastAsia" w:ascii="仿宋_GB2312" w:hAnsi="宋体" w:eastAsia="仿宋_GB2312" w:cs="Times New Roman"/>
          <w:color w:val="auto"/>
          <w:spacing w:val="-6"/>
          <w:kern w:val="0"/>
          <w:sz w:val="32"/>
          <w:szCs w:val="32"/>
          <w:highlight w:val="none"/>
        </w:rPr>
        <w:t>《私募办法》</w:t>
      </w:r>
      <w:r>
        <w:rPr>
          <w:rFonts w:hint="eastAsia" w:ascii="仿宋_GB2312" w:hAnsi="仿宋_GB2312" w:eastAsia="仿宋_GB2312" w:cs="仿宋_GB2312"/>
          <w:color w:val="000000"/>
          <w:spacing w:val="-6"/>
          <w:kern w:val="0"/>
          <w:sz w:val="32"/>
          <w:szCs w:val="32"/>
          <w:highlight w:val="none"/>
          <w:lang w:eastAsia="zh-CN"/>
        </w:rPr>
        <w:t>第四条第一款，《关于加强私募投资基金监管的若干规定》（证监会公告〔</w:t>
      </w:r>
      <w:r>
        <w:rPr>
          <w:rFonts w:hint="eastAsia" w:ascii="仿宋_GB2312" w:hAnsi="仿宋_GB2312" w:eastAsia="仿宋_GB2312" w:cs="仿宋_GB2312"/>
          <w:color w:val="000000"/>
          <w:spacing w:val="-6"/>
          <w:kern w:val="0"/>
          <w:sz w:val="32"/>
          <w:szCs w:val="32"/>
          <w:highlight w:val="none"/>
          <w:lang w:val="en-US" w:eastAsia="zh-CN"/>
        </w:rPr>
        <w:t>2020</w:t>
      </w:r>
      <w:r>
        <w:rPr>
          <w:rFonts w:hint="eastAsia" w:ascii="仿宋_GB2312" w:hAnsi="仿宋_GB2312" w:eastAsia="仿宋_GB2312" w:cs="仿宋_GB2312"/>
          <w:color w:val="000000"/>
          <w:spacing w:val="-6"/>
          <w:kern w:val="0"/>
          <w:sz w:val="32"/>
          <w:szCs w:val="32"/>
          <w:highlight w:val="none"/>
          <w:lang w:eastAsia="zh-CN"/>
        </w:rPr>
        <w:t>〕</w:t>
      </w:r>
      <w:r>
        <w:rPr>
          <w:rFonts w:hint="eastAsia" w:ascii="仿宋_GB2312" w:hAnsi="仿宋_GB2312" w:eastAsia="仿宋_GB2312" w:cs="仿宋_GB2312"/>
          <w:color w:val="000000"/>
          <w:spacing w:val="-6"/>
          <w:kern w:val="0"/>
          <w:sz w:val="32"/>
          <w:szCs w:val="32"/>
          <w:highlight w:val="none"/>
          <w:lang w:val="en-US" w:eastAsia="zh-CN"/>
        </w:rPr>
        <w:t>71号，</w:t>
      </w:r>
      <w:r>
        <w:rPr>
          <w:rFonts w:hint="eastAsia" w:ascii="仿宋_GB2312" w:hAnsi="仿宋_GB2312" w:eastAsia="仿宋_GB2312" w:cs="仿宋_GB2312"/>
          <w:color w:val="000000"/>
          <w:spacing w:val="-6"/>
          <w:kern w:val="0"/>
          <w:sz w:val="32"/>
          <w:szCs w:val="32"/>
          <w:highlight w:val="none"/>
          <w:lang w:eastAsia="zh-CN"/>
        </w:rPr>
        <w:t>以下简称《若干规定》）第十一条的规定。</w:t>
      </w:r>
    </w:p>
    <w:p w14:paraId="424525DD">
      <w:pPr>
        <w:keepNext w:val="0"/>
        <w:keepLines w:val="0"/>
        <w:pageBreakBefore w:val="0"/>
        <w:widowControl w:val="0"/>
        <w:suppressAutoHyphens/>
        <w:kinsoku/>
        <w:wordWrap/>
        <w:overflowPunct w:val="0"/>
        <w:topLinePunct w:val="0"/>
        <w:autoSpaceDE/>
        <w:autoSpaceDN/>
        <w:bidi w:val="0"/>
        <w:adjustRightInd w:val="0"/>
        <w:snapToGrid w:val="0"/>
        <w:spacing w:before="0" w:beforeLines="0" w:after="0" w:afterLines="0" w:line="300" w:lineRule="auto"/>
        <w:ind w:left="0" w:leftChars="0" w:right="0" w:rightChars="0" w:firstLine="619" w:firstLineChars="200"/>
        <w:jc w:val="both"/>
        <w:textAlignment w:val="auto"/>
        <w:outlineLvl w:val="9"/>
        <w:rPr>
          <w:rFonts w:hint="eastAsia" w:ascii="仿宋_GB2312" w:hAnsi="仿宋_GB2312" w:eastAsia="仿宋_GB2312" w:cs="仿宋_GB2312"/>
          <w:color w:val="000000"/>
          <w:sz w:val="32"/>
          <w:szCs w:val="32"/>
          <w:highlight w:val="none"/>
          <w:lang w:eastAsia="zh-CN"/>
        </w:rPr>
      </w:pPr>
      <w:r>
        <w:rPr>
          <w:rFonts w:hint="eastAsia" w:ascii="仿宋_GB2312" w:hAnsi="宋体" w:eastAsia="仿宋_GB2312" w:cs="Times New Roman"/>
          <w:b/>
          <w:bCs/>
          <w:color w:val="auto"/>
          <w:spacing w:val="-6"/>
          <w:sz w:val="32"/>
          <w:szCs w:val="32"/>
          <w:highlight w:val="none"/>
          <w:lang w:val="en-US" w:eastAsia="zh-CN"/>
        </w:rPr>
        <w:t>四是</w:t>
      </w:r>
      <w:r>
        <w:rPr>
          <w:rFonts w:hint="eastAsia" w:ascii="仿宋_GB2312" w:hAnsi="仿宋_GB2312" w:eastAsia="仿宋_GB2312" w:cs="仿宋_GB2312"/>
          <w:color w:val="000000"/>
          <w:sz w:val="32"/>
          <w:szCs w:val="32"/>
          <w:highlight w:val="none"/>
          <w:lang w:val="en-US" w:eastAsia="zh-CN"/>
        </w:rPr>
        <w:t>个别基金向其他主体提供借款，违反了</w:t>
      </w:r>
      <w:r>
        <w:rPr>
          <w:rFonts w:hint="eastAsia" w:ascii="仿宋_GB2312" w:hAnsi="仿宋_GB2312" w:eastAsia="仿宋_GB2312" w:cs="仿宋_GB2312"/>
          <w:b w:val="0"/>
          <w:bCs w:val="0"/>
          <w:color w:val="000000"/>
          <w:sz w:val="32"/>
          <w:szCs w:val="32"/>
          <w:highlight w:val="none"/>
          <w:lang w:eastAsia="zh-CN"/>
        </w:rPr>
        <w:t>《私募办法》</w:t>
      </w:r>
      <w:r>
        <w:rPr>
          <w:rFonts w:hint="eastAsia" w:ascii="仿宋_GB2312" w:hAnsi="仿宋_GB2312" w:eastAsia="仿宋_GB2312" w:cs="仿宋_GB2312"/>
          <w:color w:val="auto"/>
          <w:kern w:val="2"/>
          <w:sz w:val="32"/>
          <w:szCs w:val="32"/>
          <w:lang w:val="en-US" w:eastAsia="zh-CN" w:bidi="ar"/>
        </w:rPr>
        <w:t>第二十三条第九项，</w:t>
      </w:r>
      <w:r>
        <w:rPr>
          <w:rFonts w:hint="eastAsia" w:ascii="仿宋_GB2312" w:hAnsi="仿宋_GB2312" w:eastAsia="仿宋_GB2312" w:cs="仿宋_GB2312"/>
          <w:b w:val="0"/>
          <w:bCs w:val="0"/>
          <w:color w:val="000000"/>
          <w:sz w:val="32"/>
          <w:szCs w:val="32"/>
          <w:highlight w:val="none"/>
          <w:lang w:val="en-US" w:eastAsia="zh-CN"/>
        </w:rPr>
        <w:t>《若干规定》</w:t>
      </w:r>
      <w:r>
        <w:rPr>
          <w:rFonts w:hint="eastAsia" w:ascii="仿宋_GB2312" w:hAnsi="仿宋_GB2312" w:eastAsia="仿宋_GB2312" w:cs="仿宋_GB2312"/>
          <w:color w:val="000000"/>
          <w:sz w:val="32"/>
          <w:szCs w:val="32"/>
          <w:highlight w:val="none"/>
          <w:lang w:val="en-US" w:eastAsia="zh-CN"/>
        </w:rPr>
        <w:t>第八条第一款第一项</w:t>
      </w:r>
      <w:r>
        <w:rPr>
          <w:rFonts w:hint="eastAsia" w:ascii="仿宋_GB2312" w:hAnsi="仿宋_GB2312" w:eastAsia="仿宋_GB2312" w:cs="仿宋_GB2312"/>
          <w:color w:val="auto"/>
          <w:kern w:val="2"/>
          <w:sz w:val="32"/>
          <w:szCs w:val="32"/>
          <w:lang w:val="en-US" w:eastAsia="zh-CN" w:bidi="ar"/>
        </w:rPr>
        <w:t>的</w:t>
      </w:r>
      <w:r>
        <w:rPr>
          <w:rFonts w:hint="eastAsia" w:ascii="仿宋_GB2312" w:hAnsi="仿宋_GB2312" w:eastAsia="仿宋_GB2312" w:cs="仿宋_GB2312"/>
          <w:color w:val="000000"/>
          <w:sz w:val="32"/>
          <w:szCs w:val="32"/>
          <w:highlight w:val="none"/>
          <w:lang w:val="en-US" w:eastAsia="zh-CN"/>
        </w:rPr>
        <w:t>规定。</w:t>
      </w:r>
    </w:p>
    <w:p w14:paraId="75DCE7A9">
      <w:pPr>
        <w:keepNext w:val="0"/>
        <w:keepLines w:val="0"/>
        <w:pageBreakBefore w:val="0"/>
        <w:widowControl w:val="0"/>
        <w:suppressAutoHyphens/>
        <w:kinsoku/>
        <w:wordWrap/>
        <w:overflowPunct w:val="0"/>
        <w:topLinePunct w:val="0"/>
        <w:autoSpaceDE/>
        <w:autoSpaceDN/>
        <w:bidi w:val="0"/>
        <w:adjustRightInd w:val="0"/>
        <w:snapToGrid w:val="0"/>
        <w:spacing w:before="0" w:beforeLines="0" w:after="0" w:afterLines="0" w:line="300" w:lineRule="auto"/>
        <w:ind w:left="0" w:leftChars="0" w:right="0" w:rightChars="0" w:firstLine="643" w:firstLineChars="200"/>
        <w:jc w:val="both"/>
        <w:textAlignment w:val="auto"/>
        <w:outlineLvl w:val="9"/>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五是</w:t>
      </w:r>
      <w:r>
        <w:rPr>
          <w:rFonts w:hint="eastAsia" w:ascii="仿宋_GB2312" w:hAnsi="仿宋_GB2312" w:eastAsia="仿宋_GB2312" w:cs="仿宋_GB2312"/>
          <w:color w:val="000000"/>
          <w:sz w:val="32"/>
          <w:szCs w:val="32"/>
          <w:highlight w:val="none"/>
          <w:lang w:val="en-US" w:eastAsia="zh-CN"/>
        </w:rPr>
        <w:t>部分基金未按合同约定披露季度报告</w:t>
      </w:r>
      <w:r>
        <w:rPr>
          <w:rFonts w:hint="default" w:ascii="仿宋_GB2312" w:hAnsi="仿宋_GB2312" w:eastAsia="仿宋_GB2312" w:cs="仿宋_GB2312"/>
          <w:color w:val="000000"/>
          <w:sz w:val="32"/>
          <w:szCs w:val="32"/>
          <w:highlight w:val="none"/>
          <w:lang w:val="en-US" w:eastAsia="zh-CN"/>
        </w:rPr>
        <w:t>,</w:t>
      </w:r>
      <w:r>
        <w:rPr>
          <w:rFonts w:hint="eastAsia" w:ascii="仿宋_GB2312" w:hAnsi="仿宋_GB2312" w:eastAsia="仿宋_GB2312" w:cs="仿宋_GB2312"/>
          <w:color w:val="000000"/>
          <w:sz w:val="32"/>
          <w:szCs w:val="32"/>
          <w:highlight w:val="none"/>
          <w:lang w:val="en-US" w:eastAsia="zh-CN"/>
        </w:rPr>
        <w:t>未披露可能影响投资者重大合法权益的利益冲突情况，违反了《私募办法》第二十四条的规定。</w:t>
      </w:r>
    </w:p>
    <w:p w14:paraId="59FD0B7B">
      <w:pPr>
        <w:keepNext w:val="0"/>
        <w:keepLines w:val="0"/>
        <w:pageBreakBefore w:val="0"/>
        <w:widowControl w:val="0"/>
        <w:suppressAutoHyphens/>
        <w:kinsoku/>
        <w:wordWrap/>
        <w:overflowPunct w:val="0"/>
        <w:topLinePunct w:val="0"/>
        <w:autoSpaceDE/>
        <w:autoSpaceDN/>
        <w:bidi w:val="0"/>
        <w:adjustRightInd w:val="0"/>
        <w:snapToGrid w:val="0"/>
        <w:spacing w:before="0" w:beforeLines="0" w:after="0" w:afterLines="0" w:line="300" w:lineRule="auto"/>
        <w:ind w:left="0" w:leftChars="0" w:right="0" w:rightChars="0" w:firstLine="640" w:firstLineChars="200"/>
        <w:jc w:val="both"/>
        <w:textAlignment w:val="auto"/>
        <w:outlineLvl w:val="9"/>
        <w:rPr>
          <w:rFonts w:hint="eastAsia" w:ascii="仿宋_GB2312" w:hAnsi="仿宋_GB2312" w:eastAsia="仿宋_GB2312" w:cs="仿宋"/>
          <w:color w:val="auto"/>
          <w:sz w:val="32"/>
          <w:szCs w:val="30"/>
          <w:highlight w:val="none"/>
          <w:lang w:val="en-US" w:eastAsia="zh-CN"/>
        </w:rPr>
      </w:pPr>
      <w:r>
        <w:rPr>
          <w:rFonts w:hint="eastAsia" w:ascii="仿宋_GB2312" w:hAnsi="仿宋_GB2312" w:eastAsia="仿宋_GB2312" w:cs="仿宋"/>
          <w:color w:val="auto"/>
          <w:sz w:val="32"/>
          <w:szCs w:val="30"/>
          <w:highlight w:val="none"/>
          <w:lang w:val="en-US" w:eastAsia="zh-CN"/>
        </w:rPr>
        <w:t>依据《私募办法》第三十三条、</w:t>
      </w:r>
      <w:r>
        <w:rPr>
          <w:rFonts w:hint="eastAsia" w:ascii="仿宋_GB2312" w:hAnsi="宋体" w:eastAsia="仿宋_GB2312" w:cs="Times New Roman"/>
          <w:color w:val="auto"/>
          <w:spacing w:val="-6"/>
          <w:sz w:val="32"/>
          <w:szCs w:val="32"/>
          <w:highlight w:val="none"/>
          <w:lang w:eastAsia="zh-CN"/>
        </w:rPr>
        <w:t>《适当性管理办法》第三十七条</w:t>
      </w:r>
      <w:r>
        <w:rPr>
          <w:rFonts w:hint="eastAsia" w:ascii="仿宋_GB2312" w:hAnsi="仿宋_GB2312" w:eastAsia="仿宋_GB2312" w:cs="仿宋"/>
          <w:color w:val="auto"/>
          <w:sz w:val="32"/>
          <w:szCs w:val="30"/>
          <w:highlight w:val="none"/>
          <w:lang w:val="en-US" w:eastAsia="zh-CN"/>
        </w:rPr>
        <w:t>的规定，我局决定对</w:t>
      </w:r>
      <w:r>
        <w:rPr>
          <w:rFonts w:hint="eastAsia" w:ascii="仿宋_GB2312" w:hAnsi="仿宋_GB2312" w:eastAsia="仿宋_GB2312" w:cs="仿宋_GB2312"/>
          <w:b w:val="0"/>
          <w:bCs w:val="0"/>
          <w:color w:val="auto"/>
          <w:sz w:val="32"/>
          <w:szCs w:val="24"/>
          <w:highlight w:val="none"/>
          <w:lang w:val="en-US" w:eastAsia="zh-CN"/>
        </w:rPr>
        <w:t>你公司</w:t>
      </w:r>
      <w:r>
        <w:rPr>
          <w:rFonts w:hint="eastAsia" w:ascii="仿宋_GB2312" w:hAnsi="仿宋_GB2312" w:eastAsia="仿宋_GB2312" w:cs="仿宋"/>
          <w:color w:val="auto"/>
          <w:sz w:val="32"/>
          <w:szCs w:val="30"/>
          <w:highlight w:val="none"/>
          <w:lang w:val="en-US" w:eastAsia="zh-CN"/>
        </w:rPr>
        <w:t>采取责令改正的行政监管措施。</w:t>
      </w:r>
      <w:r>
        <w:rPr>
          <w:rFonts w:hint="eastAsia" w:ascii="仿宋_GB2312" w:hAnsi="仿宋_GB2312" w:eastAsia="仿宋_GB2312" w:cs="仿宋_GB2312"/>
          <w:b w:val="0"/>
          <w:bCs w:val="0"/>
          <w:color w:val="auto"/>
          <w:sz w:val="32"/>
          <w:szCs w:val="24"/>
          <w:highlight w:val="none"/>
          <w:lang w:val="en-US" w:eastAsia="zh-CN"/>
        </w:rPr>
        <w:t>你公司</w:t>
      </w:r>
      <w:r>
        <w:rPr>
          <w:rFonts w:hint="eastAsia" w:ascii="仿宋_GB2312" w:hAnsi="仿宋_GB2312" w:eastAsia="仿宋_GB2312" w:cs="仿宋_GB2312"/>
          <w:color w:val="auto"/>
          <w:sz w:val="32"/>
          <w:szCs w:val="24"/>
          <w:highlight w:val="none"/>
        </w:rPr>
        <w:t>应</w:t>
      </w:r>
      <w:r>
        <w:rPr>
          <w:rFonts w:hint="eastAsia" w:ascii="仿宋_GB2312" w:hAnsi="仿宋_GB2312" w:eastAsia="仿宋_GB2312" w:cs="仿宋_GB2312"/>
          <w:color w:val="auto"/>
          <w:sz w:val="32"/>
          <w:szCs w:val="24"/>
          <w:highlight w:val="none"/>
          <w:lang w:eastAsia="zh-CN"/>
        </w:rPr>
        <w:t>高度重视</w:t>
      </w:r>
      <w:r>
        <w:rPr>
          <w:rFonts w:hint="eastAsia" w:ascii="仿宋_GB2312" w:hAnsi="仿宋_GB2312" w:eastAsia="仿宋_GB2312" w:cs="仿宋_GB2312"/>
          <w:color w:val="auto"/>
          <w:sz w:val="32"/>
          <w:szCs w:val="24"/>
          <w:highlight w:val="none"/>
        </w:rPr>
        <w:t>，</w:t>
      </w:r>
      <w:r>
        <w:rPr>
          <w:rFonts w:hint="eastAsia" w:ascii="仿宋_GB2312" w:hAnsi="仿宋_GB2312" w:eastAsia="仿宋_GB2312" w:cs="仿宋_GB2312"/>
          <w:color w:val="auto"/>
          <w:sz w:val="32"/>
          <w:szCs w:val="24"/>
          <w:highlight w:val="none"/>
          <w:lang w:eastAsia="zh-CN"/>
        </w:rPr>
        <w:t>采取切实</w:t>
      </w:r>
      <w:r>
        <w:rPr>
          <w:rFonts w:hint="eastAsia" w:ascii="仿宋_GB2312" w:hAnsi="仿宋_GB2312" w:eastAsia="仿宋_GB2312" w:cs="仿宋_GB2312"/>
          <w:color w:val="auto"/>
          <w:spacing w:val="0"/>
          <w:sz w:val="32"/>
          <w:szCs w:val="24"/>
          <w:highlight w:val="none"/>
          <w:lang w:eastAsia="zh-CN"/>
        </w:rPr>
        <w:t>有效的措施</w:t>
      </w:r>
      <w:r>
        <w:rPr>
          <w:rFonts w:hint="eastAsia" w:ascii="仿宋_GB2312" w:hAnsi="仿宋_GB2312" w:eastAsia="仿宋_GB2312" w:cs="仿宋_GB2312"/>
          <w:color w:val="auto"/>
          <w:spacing w:val="0"/>
          <w:sz w:val="32"/>
          <w:szCs w:val="24"/>
          <w:highlight w:val="none"/>
        </w:rPr>
        <w:t>，</w:t>
      </w:r>
      <w:r>
        <w:rPr>
          <w:rFonts w:hint="eastAsia" w:ascii="仿宋_GB2312" w:hAnsi="仿宋_GB2312" w:eastAsia="仿宋_GB2312" w:cs="仿宋_GB2312"/>
          <w:color w:val="auto"/>
          <w:spacing w:val="0"/>
          <w:sz w:val="32"/>
          <w:szCs w:val="24"/>
          <w:highlight w:val="none"/>
          <w:lang w:eastAsia="zh-CN"/>
        </w:rPr>
        <w:t>对存在的问题进行整改，对相关责任人员进行问责，并在收到本决定书之日起</w:t>
      </w:r>
      <w:r>
        <w:rPr>
          <w:rFonts w:hint="eastAsia" w:ascii="仿宋_GB2312" w:hAnsi="仿宋_GB2312" w:eastAsia="仿宋_GB2312" w:cs="仿宋_GB2312"/>
          <w:color w:val="auto"/>
          <w:spacing w:val="0"/>
          <w:sz w:val="32"/>
          <w:szCs w:val="24"/>
          <w:highlight w:val="none"/>
          <w:lang w:val="en-US" w:eastAsia="zh-CN"/>
        </w:rPr>
        <w:t>30日内</w:t>
      </w:r>
      <w:r>
        <w:rPr>
          <w:rFonts w:hint="eastAsia" w:ascii="仿宋_GB2312" w:hAnsi="仿宋_GB2312" w:eastAsia="仿宋_GB2312" w:cs="仿宋_GB2312"/>
          <w:color w:val="auto"/>
          <w:spacing w:val="0"/>
          <w:sz w:val="32"/>
          <w:szCs w:val="24"/>
          <w:highlight w:val="none"/>
          <w:lang w:eastAsia="zh-CN"/>
        </w:rPr>
        <w:t>向我局</w:t>
      </w:r>
      <w:r>
        <w:rPr>
          <w:rFonts w:hint="eastAsia" w:ascii="仿宋_GB2312" w:hAnsi="仿宋_GB2312" w:eastAsia="仿宋_GB2312" w:cs="仿宋_GB2312"/>
          <w:color w:val="auto"/>
          <w:spacing w:val="0"/>
          <w:sz w:val="32"/>
          <w:szCs w:val="24"/>
          <w:highlight w:val="none"/>
        </w:rPr>
        <w:t>提交书面整改报</w:t>
      </w:r>
      <w:r>
        <w:rPr>
          <w:rFonts w:hint="eastAsia" w:ascii="仿宋_GB2312" w:hAnsi="仿宋_GB2312" w:eastAsia="仿宋_GB2312" w:cs="仿宋_GB2312"/>
          <w:color w:val="auto"/>
          <w:sz w:val="32"/>
          <w:szCs w:val="24"/>
          <w:highlight w:val="none"/>
        </w:rPr>
        <w:t>告</w:t>
      </w:r>
      <w:r>
        <w:rPr>
          <w:rFonts w:hint="eastAsia" w:ascii="仿宋_GB2312" w:hAnsi="仿宋_GB2312" w:eastAsia="仿宋_GB2312" w:cs="仿宋"/>
          <w:color w:val="auto"/>
          <w:sz w:val="32"/>
          <w:szCs w:val="30"/>
          <w:highlight w:val="none"/>
          <w:lang w:val="en-US" w:eastAsia="zh-CN"/>
        </w:rPr>
        <w:t>。</w:t>
      </w:r>
    </w:p>
    <w:p w14:paraId="06CC9CD6">
      <w:pPr>
        <w:keepNext w:val="0"/>
        <w:keepLines w:val="0"/>
        <w:pageBreakBefore w:val="0"/>
        <w:suppressAutoHyphens/>
        <w:kinsoku/>
        <w:wordWrap/>
        <w:overflowPunct w:val="0"/>
        <w:topLinePunct w:val="0"/>
        <w:autoSpaceDE/>
        <w:autoSpaceDN/>
        <w:bidi w:val="0"/>
        <w:adjustRightInd w:val="0"/>
        <w:snapToGrid w:val="0"/>
        <w:spacing w:beforeLines="0" w:afterLines="0" w:line="300" w:lineRule="auto"/>
        <w:ind w:firstLine="640" w:firstLineChars="200"/>
        <w:textAlignment w:val="auto"/>
        <w:rPr>
          <w:rFonts w:hint="eastAsia" w:ascii="仿宋_GB2312" w:hAnsi="仿宋_GB2312" w:eastAsia="仿宋_GB2312" w:cs="仿宋_GB2312"/>
          <w:color w:val="auto"/>
          <w:sz w:val="32"/>
          <w:szCs w:val="24"/>
          <w:highlight w:val="none"/>
        </w:rPr>
      </w:pPr>
      <w:r>
        <w:rPr>
          <w:rFonts w:hint="eastAsia" w:ascii="仿宋_GB2312" w:hAnsi="仿宋_GB2312" w:eastAsia="仿宋_GB2312" w:cs="仿宋_GB2312"/>
          <w:b w:val="0"/>
          <w:bCs w:val="0"/>
          <w:color w:val="auto"/>
          <w:sz w:val="32"/>
          <w:szCs w:val="24"/>
          <w:highlight w:val="none"/>
          <w:lang w:val="en-US" w:eastAsia="zh-CN"/>
        </w:rPr>
        <w:t>你公司</w:t>
      </w:r>
      <w:r>
        <w:rPr>
          <w:rFonts w:hint="eastAsia" w:ascii="仿宋_GB2312" w:hAnsi="仿宋_GB2312" w:eastAsia="仿宋_GB2312" w:cs="仿宋_GB2312"/>
          <w:color w:val="auto"/>
          <w:sz w:val="32"/>
          <w:szCs w:val="24"/>
          <w:highlight w:val="none"/>
        </w:rPr>
        <w:t>如果对本监督管理措施不服，可以在收到本决定书之日起60日内向中国证券监督管理委员会提出行政复议申请</w:t>
      </w:r>
      <w:r>
        <w:rPr>
          <w:rFonts w:hint="eastAsia" w:ascii="仿宋_GB2312" w:hAnsi="仿宋_GB2312" w:eastAsia="仿宋_GB2312" w:cs="仿宋_GB2312"/>
          <w:color w:val="auto"/>
          <w:sz w:val="32"/>
          <w:szCs w:val="24"/>
          <w:highlight w:val="none"/>
          <w:lang w:val="en-US" w:eastAsia="zh-CN"/>
        </w:rPr>
        <w:t>,</w:t>
      </w:r>
      <w:r>
        <w:rPr>
          <w:rFonts w:hint="eastAsia" w:ascii="仿宋_GB2312" w:hAnsi="仿宋_GB2312" w:eastAsia="仿宋_GB2312" w:cs="仿宋_GB2312"/>
          <w:color w:val="auto"/>
          <w:sz w:val="32"/>
          <w:szCs w:val="24"/>
          <w:highlight w:val="none"/>
        </w:rPr>
        <w:t>也可以在收到本决定书之日起6个月内向有管辖权的人民法院提起诉讼。复议与诉讼期间，上述监督管理措施不停止执行。</w:t>
      </w:r>
    </w:p>
    <w:p w14:paraId="7C583DA7">
      <w:pPr>
        <w:keepNext w:val="0"/>
        <w:keepLines w:val="0"/>
        <w:pageBreakBefore w:val="0"/>
        <w:widowControl w:val="0"/>
        <w:suppressAutoHyphens/>
        <w:kinsoku/>
        <w:wordWrap/>
        <w:overflowPunct w:val="0"/>
        <w:topLinePunct w:val="0"/>
        <w:autoSpaceDE/>
        <w:autoSpaceDN/>
        <w:bidi w:val="0"/>
        <w:adjustRightInd w:val="0"/>
        <w:snapToGrid w:val="0"/>
        <w:spacing w:after="0" w:line="360" w:lineRule="auto"/>
        <w:jc w:val="left"/>
        <w:textAlignment w:val="auto"/>
        <w:rPr>
          <w:rFonts w:ascii="宋体" w:hAnsi="宋体" w:eastAsia="宋体" w:cs="宋体"/>
          <w:color w:val="000000"/>
          <w:kern w:val="2"/>
          <w:sz w:val="24"/>
          <w:szCs w:val="24"/>
          <w:lang w:eastAsia="zh-CN" w:bidi="ar-SA"/>
        </w:rPr>
      </w:pPr>
    </w:p>
    <w:p w14:paraId="49051000">
      <w:pPr>
        <w:keepNext w:val="0"/>
        <w:keepLines w:val="0"/>
        <w:pageBreakBefore w:val="0"/>
        <w:widowControl w:val="0"/>
        <w:suppressAutoHyphens/>
        <w:kinsoku/>
        <w:wordWrap/>
        <w:overflowPunct w:val="0"/>
        <w:topLinePunct w:val="0"/>
        <w:autoSpaceDE/>
        <w:autoSpaceDN/>
        <w:bidi w:val="0"/>
        <w:adjustRightInd w:val="0"/>
        <w:snapToGrid w:val="0"/>
        <w:spacing w:after="0" w:line="360" w:lineRule="auto"/>
        <w:jc w:val="left"/>
        <w:textAlignment w:val="auto"/>
        <w:rPr>
          <w:rFonts w:ascii="宋体" w:hAnsi="宋体" w:eastAsia="宋体" w:cs="宋体"/>
          <w:color w:val="000000"/>
          <w:kern w:val="2"/>
          <w:sz w:val="24"/>
          <w:szCs w:val="24"/>
          <w:lang w:eastAsia="zh-CN" w:bidi="ar-SA"/>
        </w:rPr>
      </w:pPr>
    </w:p>
    <w:p w14:paraId="4A9B11FC">
      <w:pPr>
        <w:widowControl w:val="0"/>
        <w:suppressAutoHyphens/>
        <w:overflowPunct w:val="0"/>
        <w:bidi w:val="0"/>
        <w:adjustRightInd w:val="0"/>
        <w:snapToGrid w:val="0"/>
        <w:spacing w:after="0" w:line="360" w:lineRule="auto"/>
        <w:ind w:right="1705"/>
        <w:jc w:val="right"/>
        <w:rPr>
          <w:rFonts w:hint="eastAsia" w:ascii="仿宋_GB2312" w:hAnsi="Times New Roman" w:eastAsia="仿宋_GB2312" w:cs="Times New Roman"/>
          <w:color w:val="000000"/>
          <w:kern w:val="2"/>
          <w:sz w:val="32"/>
          <w:szCs w:val="24"/>
          <w:lang w:eastAsia="zh-CN" w:bidi="ar-SA"/>
        </w:rPr>
      </w:pPr>
      <w:r>
        <w:rPr>
          <w:rFonts w:hint="eastAsia" w:ascii="仿宋_GB2312" w:hAnsi="Times New Roman" w:eastAsia="仿宋_GB2312" w:cs="Times New Roman"/>
          <w:color w:val="000000"/>
          <w:kern w:val="2"/>
          <w:sz w:val="32"/>
          <w:szCs w:val="24"/>
          <w:lang w:eastAsia="zh-CN" w:bidi="ar-SA"/>
        </w:rPr>
        <w:t>广东证监局</w:t>
      </w:r>
    </w:p>
    <w:p w14:paraId="386D7654">
      <w:pPr>
        <w:widowControl w:val="0"/>
        <w:numPr>
          <w:ilvl w:val="0"/>
          <w:numId w:val="0"/>
        </w:numPr>
        <w:pBdr>
          <w:top w:val="none" w:color="auto" w:sz="0" w:space="0"/>
          <w:bottom w:val="none" w:color="auto" w:sz="0" w:space="0"/>
        </w:pBdr>
        <w:suppressAutoHyphens/>
        <w:overflowPunct w:val="0"/>
        <w:bidi w:val="0"/>
        <w:adjustRightInd w:val="0"/>
        <w:snapToGrid w:val="0"/>
        <w:spacing w:beforeLines="0" w:after="0" w:afterLines="0" w:line="360" w:lineRule="auto"/>
        <w:jc w:val="center"/>
        <w:outlineLvl w:val="9"/>
        <w:rPr>
          <w:rFonts w:ascii="Calibri" w:hAnsi="Calibri" w:eastAsia="宋体" w:cs="Times New Roman"/>
          <w:color w:val="auto"/>
          <w:kern w:val="2"/>
          <w:sz w:val="21"/>
          <w:szCs w:val="24"/>
          <w:lang w:eastAsia="zh-CN" w:bidi="ar-SA"/>
        </w:rPr>
      </w:pPr>
      <w:r>
        <w:rPr>
          <w:rFonts w:hint="eastAsia" w:ascii="仿宋_GB2312" w:hAnsi="Times New Roman" w:eastAsia="仿宋_GB2312" w:cs="Times New Roman"/>
          <w:color w:val="000000"/>
          <w:spacing w:val="10"/>
          <w:kern w:val="2"/>
          <w:sz w:val="28"/>
          <w:szCs w:val="28"/>
          <w:lang w:val="en-US" w:eastAsia="zh-CN" w:bidi="ar-SA"/>
        </w:rPr>
        <w:t xml:space="preserve">   </w:t>
      </w:r>
      <w:r>
        <w:rPr>
          <w:rFonts w:hint="eastAsia" w:ascii="仿宋_GB2312" w:hAnsi="Times New Roman" w:eastAsia="仿宋_GB2312" w:cs="Times New Roman"/>
          <w:color w:val="000000"/>
          <w:spacing w:val="10"/>
          <w:kern w:val="2"/>
          <w:sz w:val="32"/>
          <w:szCs w:val="32"/>
          <w:lang w:val="en-US" w:eastAsia="zh-CN" w:bidi="ar-SA"/>
        </w:rPr>
        <w:t xml:space="preserve">         </w:t>
      </w:r>
      <w:r>
        <w:rPr>
          <w:rFonts w:hint="default" w:ascii="仿宋_GB2312" w:hAnsi="Times New Roman" w:eastAsia="仿宋_GB2312" w:cs="Times New Roman"/>
          <w:color w:val="000000"/>
          <w:spacing w:val="10"/>
          <w:kern w:val="2"/>
          <w:sz w:val="32"/>
          <w:szCs w:val="32"/>
          <w:lang w:val="en-US" w:eastAsia="zh-CN" w:bidi="ar-SA"/>
        </w:rPr>
        <w:t xml:space="preserve">     </w:t>
      </w:r>
      <w:r>
        <w:rPr>
          <w:rFonts w:hint="eastAsia" w:ascii="仿宋_GB2312" w:hAnsi="Times New Roman" w:eastAsia="仿宋_GB2312" w:cs="Times New Roman"/>
          <w:color w:val="000000"/>
          <w:spacing w:val="10"/>
          <w:kern w:val="2"/>
          <w:sz w:val="32"/>
          <w:szCs w:val="32"/>
          <w:lang w:val="en-US" w:eastAsia="zh-CN" w:bidi="ar-SA"/>
        </w:rPr>
        <w:t xml:space="preserve">     </w:t>
      </w:r>
      <w:r>
        <w:rPr>
          <w:rFonts w:hint="eastAsia" w:ascii="仿宋_GB2312" w:hAnsi="Times New Roman" w:eastAsia="仿宋_GB2312" w:cs="Times New Roman"/>
          <w:color w:val="000000"/>
          <w:spacing w:val="10"/>
          <w:kern w:val="2"/>
          <w:sz w:val="32"/>
          <w:szCs w:val="32"/>
          <w:lang w:eastAsia="zh-CN" w:bidi="ar-SA"/>
        </w:rPr>
        <w:t>2</w:t>
      </w:r>
      <w:r>
        <w:rPr>
          <w:rFonts w:hint="eastAsia" w:ascii="仿宋_GB2312" w:hAnsi="Times New Roman" w:eastAsia="仿宋_GB2312" w:cs="Times New Roman"/>
          <w:color w:val="000000"/>
          <w:spacing w:val="10"/>
          <w:kern w:val="2"/>
          <w:sz w:val="32"/>
          <w:szCs w:val="32"/>
          <w:lang w:val="en-US" w:eastAsia="zh-CN" w:bidi="ar-SA"/>
        </w:rPr>
        <w:t>02</w:t>
      </w:r>
      <w:r>
        <w:rPr>
          <w:rFonts w:hint="default" w:ascii="仿宋_GB2312" w:hAnsi="Times New Roman" w:eastAsia="仿宋_GB2312" w:cs="Times New Roman"/>
          <w:color w:val="000000"/>
          <w:spacing w:val="10"/>
          <w:kern w:val="2"/>
          <w:sz w:val="32"/>
          <w:szCs w:val="32"/>
          <w:lang w:val="en-US" w:eastAsia="zh-CN" w:bidi="ar-SA"/>
        </w:rPr>
        <w:t>6</w:t>
      </w:r>
      <w:r>
        <w:rPr>
          <w:rFonts w:hint="eastAsia" w:ascii="仿宋_GB2312" w:hAnsi="Times New Roman" w:eastAsia="仿宋_GB2312" w:cs="Times New Roman"/>
          <w:color w:val="000000"/>
          <w:spacing w:val="10"/>
          <w:kern w:val="2"/>
          <w:sz w:val="32"/>
          <w:szCs w:val="32"/>
          <w:lang w:eastAsia="zh-CN" w:bidi="ar-SA"/>
        </w:rPr>
        <w:t>年</w:t>
      </w:r>
      <w:r>
        <w:rPr>
          <w:rFonts w:hint="default" w:ascii="仿宋_GB2312" w:hAnsi="Calibri" w:eastAsia="仿宋_GB2312" w:cs="Times New Roman"/>
          <w:color w:val="000000"/>
          <w:spacing w:val="10"/>
          <w:kern w:val="2"/>
          <w:sz w:val="32"/>
          <w:szCs w:val="32"/>
          <w:lang w:val="en-US" w:eastAsia="zh-CN" w:bidi="ar-SA"/>
        </w:rPr>
        <w:t>10</w:t>
      </w:r>
      <w:r>
        <w:rPr>
          <w:rFonts w:hint="eastAsia" w:ascii="仿宋_GB2312" w:hAnsi="Times New Roman" w:eastAsia="仿宋_GB2312" w:cs="Times New Roman"/>
          <w:color w:val="000000"/>
          <w:spacing w:val="10"/>
          <w:kern w:val="2"/>
          <w:sz w:val="32"/>
          <w:szCs w:val="32"/>
          <w:lang w:eastAsia="zh-CN" w:bidi="ar-SA"/>
        </w:rPr>
        <w:t>月</w:t>
      </w:r>
      <w:r>
        <w:rPr>
          <w:rFonts w:hint="default" w:ascii="仿宋_GB2312" w:hAnsi="Times New Roman" w:eastAsia="仿宋_GB2312" w:cs="Times New Roman"/>
          <w:color w:val="000000"/>
          <w:spacing w:val="10"/>
          <w:kern w:val="2"/>
          <w:sz w:val="32"/>
          <w:szCs w:val="32"/>
          <w:lang w:val="en-US" w:eastAsia="zh-CN" w:bidi="ar-SA"/>
        </w:rPr>
        <w:t>15</w:t>
      </w:r>
      <w:r>
        <w:rPr>
          <w:rFonts w:hint="eastAsia" w:ascii="仿宋_GB2312" w:hAnsi="Times New Roman" w:eastAsia="仿宋_GB2312" w:cs="Times New Roman"/>
          <w:color w:val="000000"/>
          <w:spacing w:val="10"/>
          <w:kern w:val="2"/>
          <w:sz w:val="32"/>
          <w:szCs w:val="32"/>
          <w:lang w:eastAsia="zh-CN" w:bidi="ar-SA"/>
        </w:rPr>
        <w:t>日</w:t>
      </w:r>
    </w:p>
    <w:p w14:paraId="081F3F9E">
      <w:pPr>
        <w:suppressAutoHyphens/>
        <w:bidi w:val="0"/>
        <w:snapToGrid w:val="0"/>
        <w:spacing w:line="300" w:lineRule="auto"/>
        <w:ind w:right="26"/>
        <w:jc w:val="left"/>
        <w:rPr>
          <w:rFonts w:hint="eastAsia" w:ascii="黑体" w:hAnsi="Calibri" w:eastAsia="黑体" w:cs="Times New Roman"/>
          <w:color w:val="auto"/>
          <w:spacing w:val="8"/>
          <w:sz w:val="36"/>
          <w:szCs w:val="28"/>
        </w:rPr>
      </w:pPr>
    </w:p>
    <w:p w14:paraId="4F6BEDDA">
      <w:pPr>
        <w:keepNext w:val="0"/>
        <w:keepLines w:val="0"/>
        <w:pageBreakBefore w:val="0"/>
        <w:widowControl w:val="0"/>
        <w:pBdr>
          <w:top w:val="single" w:color="auto" w:sz="8" w:space="6"/>
        </w:pBdr>
        <w:suppressAutoHyphens/>
        <w:kinsoku/>
        <w:wordWrap/>
        <w:overflowPunct/>
        <w:topLinePunct w:val="0"/>
        <w:autoSpaceDE/>
        <w:autoSpaceDN/>
        <w:bidi w:val="0"/>
        <w:adjustRightInd w:val="0"/>
        <w:snapToGrid w:val="0"/>
        <w:spacing w:after="109" w:afterLines="35"/>
        <w:ind w:firstLine="296" w:firstLineChars="100"/>
        <w:textAlignment w:val="auto"/>
        <w:rPr>
          <w:rFonts w:ascii="长城仿宋" w:hAnsi="Calibri" w:eastAsia="长城仿宋" w:cs="Times New Roman"/>
          <w:color w:val="auto"/>
          <w:sz w:val="28"/>
          <w:szCs w:val="24"/>
        </w:rPr>
      </w:pPr>
      <w:r>
        <w:rPr>
          <w:rFonts w:hint="eastAsia" w:ascii="仿宋_GB2312" w:hAnsi="Calibri" w:eastAsia="仿宋_GB2312" w:cs="Times New Roman"/>
          <w:color w:val="auto"/>
          <w:spacing w:val="8"/>
          <w:sz w:val="28"/>
          <w:szCs w:val="24"/>
        </w:rPr>
        <w:t>抄送：证监会市场二司、法治司；中国证券投资基金业协会。</w:t>
      </w:r>
    </w:p>
    <w:p w14:paraId="04054AD4">
      <w:pPr>
        <w:keepNext w:val="0"/>
        <w:keepLines w:val="0"/>
        <w:pageBreakBefore w:val="0"/>
        <w:widowControl w:val="0"/>
        <w:pBdr>
          <w:top w:val="single" w:color="auto" w:sz="4" w:space="6"/>
        </w:pBdr>
        <w:suppressAutoHyphens/>
        <w:kinsoku/>
        <w:wordWrap/>
        <w:overflowPunct/>
        <w:topLinePunct w:val="0"/>
        <w:autoSpaceDE/>
        <w:autoSpaceDN/>
        <w:bidi w:val="0"/>
        <w:adjustRightInd w:val="0"/>
        <w:snapToGrid w:val="0"/>
        <w:spacing w:after="109" w:afterLines="35"/>
        <w:ind w:firstLine="296" w:firstLineChars="100"/>
        <w:jc w:val="left"/>
        <w:textAlignment w:val="auto"/>
        <w:rPr>
          <w:rFonts w:hint="eastAsia" w:ascii="仿宋_GB2312" w:hAnsi="Calibri" w:eastAsia="仿宋_GB2312" w:cs="Times New Roman"/>
          <w:color w:val="auto"/>
          <w:spacing w:val="8"/>
          <w:sz w:val="28"/>
          <w:szCs w:val="24"/>
        </w:rPr>
      </w:pPr>
      <w:r>
        <w:rPr>
          <w:rFonts w:hint="eastAsia" w:ascii="仿宋_GB2312" w:hAnsi="Calibri" w:eastAsia="仿宋_GB2312" w:cs="Times New Roman"/>
          <w:color w:val="auto"/>
          <w:spacing w:val="8"/>
          <w:sz w:val="28"/>
          <w:szCs w:val="24"/>
        </w:rPr>
        <w:t xml:space="preserve">广东证监局办公室           </w:t>
      </w:r>
      <w:r>
        <w:rPr>
          <w:rFonts w:hint="default" w:ascii="仿宋_GB2312" w:hAnsi="Calibri" w:eastAsia="仿宋_GB2312" w:cs="Times New Roman"/>
          <w:color w:val="auto"/>
          <w:spacing w:val="8"/>
          <w:sz w:val="28"/>
          <w:szCs w:val="24"/>
          <w:lang w:val="en-US"/>
        </w:rPr>
        <w:t xml:space="preserve">      </w:t>
      </w:r>
      <w:r>
        <w:rPr>
          <w:rFonts w:hint="eastAsia" w:ascii="仿宋_GB2312" w:hAnsi="Calibri" w:eastAsia="仿宋_GB2312" w:cs="Times New Roman"/>
          <w:color w:val="auto"/>
          <w:spacing w:val="8"/>
          <w:sz w:val="28"/>
          <w:szCs w:val="24"/>
        </w:rPr>
        <w:t xml:space="preserve"> </w:t>
      </w:r>
      <w:r>
        <w:rPr>
          <w:rFonts w:hint="default" w:ascii="仿宋_GB2312" w:hAnsi="Calibri" w:eastAsia="仿宋_GB2312" w:cs="Times New Roman"/>
          <w:color w:val="auto"/>
          <w:spacing w:val="8"/>
          <w:sz w:val="28"/>
          <w:szCs w:val="24"/>
          <w:lang w:val="en" w:eastAsia="zh-CN"/>
        </w:rPr>
        <w:t>202</w:t>
      </w:r>
      <w:r>
        <w:rPr>
          <w:rFonts w:hint="default" w:ascii="仿宋_GB2312" w:hAnsi="Calibri" w:eastAsia="仿宋_GB2312" w:cs="Times New Roman"/>
          <w:color w:val="auto"/>
          <w:spacing w:val="8"/>
          <w:sz w:val="28"/>
          <w:szCs w:val="24"/>
          <w:lang w:val="en-US" w:eastAsia="zh-CN"/>
        </w:rPr>
        <w:t>6</w:t>
      </w:r>
      <w:r>
        <w:rPr>
          <w:rFonts w:hint="eastAsia" w:ascii="仿宋_GB2312" w:hAnsi="Calibri" w:eastAsia="仿宋_GB2312" w:cs="Times New Roman"/>
          <w:color w:val="auto"/>
          <w:spacing w:val="8"/>
          <w:sz w:val="28"/>
          <w:szCs w:val="24"/>
        </w:rPr>
        <w:t>年</w:t>
      </w:r>
      <w:r>
        <w:rPr>
          <w:rFonts w:hint="default" w:ascii="仿宋_GB2312" w:hAnsi="Calibri" w:eastAsia="仿宋_GB2312" w:cs="Times New Roman"/>
          <w:color w:val="auto"/>
          <w:spacing w:val="8"/>
          <w:sz w:val="28"/>
          <w:szCs w:val="24"/>
          <w:lang w:val="en-US"/>
        </w:rPr>
        <w:t>10</w:t>
      </w:r>
      <w:r>
        <w:rPr>
          <w:rFonts w:hint="eastAsia" w:ascii="仿宋_GB2312" w:hAnsi="Calibri" w:eastAsia="仿宋_GB2312" w:cs="Times New Roman"/>
          <w:color w:val="auto"/>
          <w:spacing w:val="8"/>
          <w:sz w:val="28"/>
          <w:szCs w:val="24"/>
        </w:rPr>
        <w:t>月</w:t>
      </w:r>
      <w:r>
        <w:rPr>
          <w:rFonts w:hint="default" w:ascii="仿宋_GB2312" w:hAnsi="Calibri" w:eastAsia="仿宋_GB2312" w:cs="Times New Roman"/>
          <w:color w:val="auto"/>
          <w:spacing w:val="8"/>
          <w:sz w:val="28"/>
          <w:szCs w:val="24"/>
          <w:lang w:val="en-US"/>
        </w:rPr>
        <w:t>15</w:t>
      </w:r>
      <w:r>
        <w:rPr>
          <w:rFonts w:hint="eastAsia" w:ascii="仿宋_GB2312" w:hAnsi="Calibri" w:eastAsia="仿宋_GB2312" w:cs="Times New Roman"/>
          <w:color w:val="auto"/>
          <w:spacing w:val="8"/>
          <w:sz w:val="28"/>
          <w:szCs w:val="24"/>
        </w:rPr>
        <w:t>日印发</w:t>
      </w:r>
    </w:p>
    <w:bookmarkEnd w:id="2"/>
    <w:p w14:paraId="2BB24E04">
      <w:pPr>
        <w:keepNext w:val="0"/>
        <w:keepLines w:val="0"/>
        <w:pageBreakBefore w:val="0"/>
        <w:widowControl w:val="0"/>
        <w:pBdr>
          <w:top w:val="single" w:color="auto" w:sz="8" w:space="7"/>
        </w:pBdr>
        <w:suppressAutoHyphens/>
        <w:kinsoku/>
        <w:wordWrap/>
        <w:overflowPunct/>
        <w:topLinePunct w:val="0"/>
        <w:autoSpaceDE/>
        <w:autoSpaceDN/>
        <w:bidi w:val="0"/>
        <w:adjustRightInd w:val="0"/>
        <w:snapToGrid w:val="0"/>
        <w:spacing w:beforeLines="0" w:afterLines="0" w:line="240" w:lineRule="auto"/>
        <w:ind w:firstLine="0"/>
        <w:jc w:val="left"/>
        <w:textAlignment w:val="auto"/>
        <w:rPr>
          <w:rFonts w:hint="eastAsia" w:ascii="仿宋_GB2312" w:hAnsi="Calibri" w:eastAsia="仿宋_GB2312" w:cs="Times New Roman"/>
          <w:color w:val="auto"/>
          <w:spacing w:val="8"/>
          <w:sz w:val="2"/>
          <w:szCs w:val="2"/>
        </w:rPr>
      </w:pPr>
    </w:p>
    <w:p w14:paraId="71979C02">
      <w:pPr>
        <w:keepNext w:val="0"/>
        <w:keepLines w:val="0"/>
        <w:pageBreakBefore w:val="0"/>
        <w:widowControl w:val="0"/>
        <w:pBdr>
          <w:top w:val="single" w:color="auto" w:sz="8" w:space="7"/>
        </w:pBdr>
        <w:suppressAutoHyphens/>
        <w:kinsoku/>
        <w:wordWrap/>
        <w:overflowPunct/>
        <w:topLinePunct w:val="0"/>
        <w:autoSpaceDE/>
        <w:autoSpaceDN/>
        <w:bidi w:val="0"/>
        <w:adjustRightInd w:val="0"/>
        <w:snapToGrid w:val="0"/>
        <w:spacing w:beforeLines="0" w:afterLines="0" w:line="240" w:lineRule="auto"/>
        <w:ind w:firstLine="0"/>
        <w:jc w:val="left"/>
        <w:textAlignment w:val="auto"/>
        <w:rPr>
          <w:rFonts w:hint="eastAsia" w:ascii="仿宋_GB2312" w:hAnsi="Calibri" w:eastAsia="仿宋_GB2312" w:cs="Times New Roman"/>
          <w:color w:val="auto"/>
          <w:spacing w:val="8"/>
          <w:sz w:val="2"/>
          <w:szCs w:val="2"/>
        </w:rPr>
      </w:pPr>
    </w:p>
    <w:sectPr>
      <w:footerReference r:id="rId3" w:type="default"/>
      <w:pgSz w:w="11906" w:h="16838"/>
      <w:pgMar w:top="2097" w:right="1474" w:bottom="1984" w:left="1587" w:header="851" w:footer="1587" w:gutter="0"/>
      <w:pgNumType w:fmt="numberInDash"/>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altName w:val="微软雅黑"/>
    <w:panose1 w:val="02010609060101010101"/>
    <w:charset w:val="86"/>
    <w:family w:val="modern"/>
    <w:pitch w:val="default"/>
    <w:sig w:usb0="00000000" w:usb1="00000000" w:usb2="00000016" w:usb3="00000000" w:csb0="00040001" w:csb1="00000000"/>
  </w:font>
  <w:font w:name="长城仿宋">
    <w:altName w:val="方正仿宋_GBK"/>
    <w:panose1 w:val="02010609000101010101"/>
    <w:charset w:val="00"/>
    <w:family w:val="roma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6D2B8">
    <w:pPr>
      <w:pStyle w:val="2"/>
      <w:spacing w:line="240" w:lineRule="auto"/>
      <w:rPr>
        <w:rFonts w:hint="eastAsia" w:ascii="宋体" w:hAnsi="宋体" w:eastAsia="宋体" w:cs="宋体"/>
        <w:sz w:val="28"/>
        <w:lang w:val="en-US"/>
      </w:rPr>
    </w:pPr>
    <w:r>
      <w:rPr>
        <w:rFonts w:hint="eastAsia" w:ascii="宋体" w:hAnsi="宋体" w:eastAsia="宋体" w:cs="宋体"/>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align>top</wp:align>
              </wp:positionV>
              <wp:extent cx="1828800" cy="1828800"/>
              <wp:effectExtent l="4445" t="4445" r="14605" b="14605"/>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4E4672">
                          <w:pPr>
                            <w:rPr>
                              <w:rFonts w:hint="eastAsia" w:ascii="宋体" w:hAnsi="宋体" w:eastAsia="宋体" w:cs="宋体"/>
                              <w:sz w:val="28"/>
                              <w:lang w:val="en-US"/>
                            </w:rPr>
                          </w:pPr>
                          <w:r>
                            <w:rPr>
                              <w:rFonts w:hint="eastAsia" w:ascii="宋体" w:hAnsi="宋体" w:eastAsia="宋体" w:cs="宋体"/>
                              <w:sz w:val="28"/>
                              <w:lang w:val="en-US"/>
                            </w:rPr>
                            <w:fldChar w:fldCharType="begin"/>
                          </w:r>
                          <w:r>
                            <w:rPr>
                              <w:rFonts w:hint="eastAsia" w:ascii="宋体" w:hAnsi="宋体" w:eastAsia="宋体" w:cs="宋体"/>
                              <w:sz w:val="28"/>
                              <w:lang w:val="en-US"/>
                            </w:rPr>
                            <w:instrText xml:space="preserve"> PAGE  \* MERGEFORMAT </w:instrText>
                          </w:r>
                          <w:r>
                            <w:rPr>
                              <w:rFonts w:hint="eastAsia" w:ascii="宋体" w:hAnsi="宋体" w:eastAsia="宋体" w:cs="宋体"/>
                              <w:sz w:val="28"/>
                              <w:lang w:val="en-US"/>
                            </w:rPr>
                            <w:fldChar w:fldCharType="separate"/>
                          </w:r>
                          <w:r>
                            <w:rPr>
                              <w:rFonts w:hint="eastAsia" w:ascii="宋体" w:hAnsi="宋体" w:eastAsia="宋体" w:cs="宋体"/>
                              <w:sz w:val="28"/>
                              <w:lang w:val="en-US"/>
                            </w:rPr>
                            <w:t>- 1 -</w:t>
                          </w:r>
                          <w:r>
                            <w:rPr>
                              <w:rFonts w:hint="eastAsia" w:ascii="宋体" w:hAnsi="宋体" w:eastAsia="宋体" w:cs="宋体"/>
                              <w:sz w:val="28"/>
                              <w:lang w:val="en-U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height:144pt;width:144pt;mso-position-horizontal:outside;mso-position-horizontal-relative:margin;mso-position-vertical:top;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A4E4672">
                    <w:pPr>
                      <w:rPr>
                        <w:rFonts w:hint="eastAsia" w:ascii="宋体" w:hAnsi="宋体" w:eastAsia="宋体" w:cs="宋体"/>
                        <w:sz w:val="28"/>
                        <w:lang w:val="en-US"/>
                      </w:rPr>
                    </w:pPr>
                    <w:r>
                      <w:rPr>
                        <w:rFonts w:hint="eastAsia" w:ascii="宋体" w:hAnsi="宋体" w:eastAsia="宋体" w:cs="宋体"/>
                        <w:sz w:val="28"/>
                        <w:lang w:val="en-US"/>
                      </w:rPr>
                      <w:fldChar w:fldCharType="begin"/>
                    </w:r>
                    <w:r>
                      <w:rPr>
                        <w:rFonts w:hint="eastAsia" w:ascii="宋体" w:hAnsi="宋体" w:eastAsia="宋体" w:cs="宋体"/>
                        <w:sz w:val="28"/>
                        <w:lang w:val="en-US"/>
                      </w:rPr>
                      <w:instrText xml:space="preserve"> PAGE  \* MERGEFORMAT </w:instrText>
                    </w:r>
                    <w:r>
                      <w:rPr>
                        <w:rFonts w:hint="eastAsia" w:ascii="宋体" w:hAnsi="宋体" w:eastAsia="宋体" w:cs="宋体"/>
                        <w:sz w:val="28"/>
                        <w:lang w:val="en-US"/>
                      </w:rPr>
                      <w:fldChar w:fldCharType="separate"/>
                    </w:r>
                    <w:r>
                      <w:rPr>
                        <w:rFonts w:hint="eastAsia" w:ascii="宋体" w:hAnsi="宋体" w:eastAsia="宋体" w:cs="宋体"/>
                        <w:sz w:val="28"/>
                        <w:lang w:val="en-US"/>
                      </w:rPr>
                      <w:t>- 1 -</w:t>
                    </w:r>
                    <w:r>
                      <w:rPr>
                        <w:rFonts w:hint="eastAsia" w:ascii="宋体" w:hAnsi="宋体" w:eastAsia="宋体" w:cs="宋体"/>
                        <w:sz w:val="28"/>
                        <w:lang w:val="en-US"/>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dit="readOnly" w:enforcement="0"/>
  <w:defaultTabStop w:val="420"/>
  <w:drawingGridHorizontalSpacing w:val="210"/>
  <w:drawingGridVerticalSpacing w:val="159"/>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3F58301"/>
    <w:rsid w:val="3FCF1B05"/>
    <w:rsid w:val="5B2B2E94"/>
    <w:rsid w:val="7FD32FB6"/>
    <w:rsid w:val="9ED7E38A"/>
    <w:rsid w:val="9FFFFE6E"/>
    <w:rsid w:val="E9CD1B38"/>
    <w:rsid w:val="F2FF17BC"/>
    <w:rsid w:val="F3F58301"/>
    <w:rsid w:val="FB7C7E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Times New Roman" w:hAnsi="Times New Roman" w:eastAsia="宋体" w:cs="Times New Roman"/>
      <w:color w:val="auto"/>
      <w:kern w:val="2"/>
      <w:sz w:val="21"/>
      <w:szCs w:val="20"/>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NormalIndent"/>
    <w:basedOn w:val="1"/>
    <w:next w:val="1"/>
    <w:qFormat/>
    <w:uiPriority w:val="0"/>
    <w:pPr>
      <w:ind w:firstLine="880" w:firstLineChars="200"/>
      <w:textAlignment w:val="baseline"/>
    </w:pPr>
    <w:rPr>
      <w:kern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2026-09-30T18:25:00Z</dcterms:created>
  <dc:creator>李煜铭</dc:creator>
  <cp:lastModifiedBy>user</cp:lastModifiedBy>
  <dcterms:modified xsi:type="dcterms:W3CDTF">2026-10-20T15:45:37Z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C07B74A017B205545CCDD56A462DA903</vt:lpwstr>
  </property>
</Properties>
</file>