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C53B2">
      <w:pPr>
        <w:tabs>
          <w:tab w:val="left" w:pos="420"/>
        </w:tabs>
        <w:jc w:val="center"/>
        <w:rPr>
          <w:rFonts w:hint="eastAsia" w:ascii="方正小标宋简体" w:hAnsi="方正小标宋简体" w:eastAsia="方正小标宋简体" w:cs="Times New Roman"/>
          <w:b/>
          <w:color w:val="FF0000"/>
          <w:w w:val="95"/>
          <w:kern w:val="0"/>
          <w:sz w:val="44"/>
          <w:szCs w:val="116"/>
        </w:rPr>
      </w:pPr>
      <w:bookmarkStart w:id="0" w:name="_Hlk141567855"/>
      <w:bookmarkEnd w:id="0"/>
      <w:r>
        <w:rPr>
          <w:rFonts w:hint="eastAsia" w:ascii="方正小标宋简体" w:hAnsi="方正小标宋简体" w:eastAsia="方正小标宋简体" w:cs="黑体"/>
          <w:b/>
          <w:color w:val="FF0000"/>
          <w:w w:val="95"/>
          <w:sz w:val="44"/>
          <w:szCs w:val="72"/>
        </w:rPr>
        <w:t>中国证券监督管理委员会广东监管局</w:t>
      </w:r>
    </w:p>
    <w:p w14:paraId="74A4998A">
      <w:pPr>
        <w:jc w:val="center"/>
        <w:rPr>
          <w:rFonts w:hint="eastAsia" w:ascii="方正小标宋简体" w:hAnsi="方正小标宋简体" w:eastAsia="方正小标宋简体" w:cs="Times New Roman"/>
          <w:snapToGrid w:val="0"/>
          <w:spacing w:val="85"/>
          <w:w w:val="90"/>
          <w:sz w:val="72"/>
          <w:szCs w:val="72"/>
        </w:rPr>
      </w:pPr>
      <w:r>
        <w:rPr>
          <w:rFonts w:hint="eastAsia" w:ascii="方正小标宋简体" w:hAnsi="方正小标宋简体" w:eastAsia="方正小标宋简体" w:cs="Times New Roman"/>
          <w:b/>
          <w:bCs/>
          <w:snapToGrid w:val="0"/>
          <w:color w:val="FF0000"/>
          <w:spacing w:val="85"/>
          <w:w w:val="90"/>
          <w:sz w:val="72"/>
          <w:szCs w:val="72"/>
        </w:rPr>
        <w:t>行政监管措施决定书</w:t>
      </w:r>
    </w:p>
    <w:p w14:paraId="0A8185E3">
      <w:pPr>
        <w:snapToGrid w:val="0"/>
        <w:jc w:val="center"/>
        <w:rPr>
          <w:rFonts w:hint="eastAsia" w:ascii="仿宋_GB2312" w:hAnsi="仿宋_GB2312" w:eastAsia="仿宋_GB2312" w:cs="宋体"/>
          <w:sz w:val="36"/>
          <w:szCs w:val="36"/>
        </w:rPr>
      </w:pPr>
    </w:p>
    <w:p w14:paraId="01989DD6">
      <w:pPr>
        <w:suppressAutoHyphens/>
        <w:bidi w:val="0"/>
        <w:adjustRightInd/>
        <w:snapToGrid w:val="0"/>
        <w:spacing w:before="156" w:beforeLines="50" w:line="300" w:lineRule="auto"/>
        <w:ind w:firstLine="0" w:firstLineChars="0"/>
        <w:jc w:val="center"/>
        <w:rPr>
          <w:rFonts w:ascii="黑体" w:hAnsi="Times New Roman" w:eastAsia="黑体" w:cs="Times New Roman"/>
          <w:color w:val="000000"/>
          <w:spacing w:val="12"/>
          <w:sz w:val="32"/>
          <w:szCs w:val="20"/>
        </w:rPr>
      </w:pPr>
      <w:bookmarkStart w:id="1" w:name="WH"/>
      <w:bookmarkEnd w:id="1"/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szCs w:val="20"/>
        </w:rPr>
        <w:t>〔20</w:t>
      </w:r>
      <w:r>
        <w:rPr>
          <w:rFonts w:hint="default" w:ascii="仿宋_GB2312" w:hAnsi="Times New Roman" w:eastAsia="仿宋_GB2312" w:cs="Times New Roman"/>
          <w:color w:val="000000"/>
          <w:spacing w:val="12"/>
          <w:sz w:val="28"/>
          <w:szCs w:val="20"/>
          <w:lang w:val="en-US"/>
        </w:rPr>
        <w:t>26</w:t>
      </w:r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szCs w:val="20"/>
        </w:rPr>
        <w:t>〕</w:t>
      </w:r>
      <w:r>
        <w:rPr>
          <w:rFonts w:hint="default" w:ascii="仿宋_GB2312" w:hAnsi="Times New Roman" w:eastAsia="仿宋_GB2312" w:cs="Times New Roman"/>
          <w:color w:val="000000"/>
          <w:spacing w:val="12"/>
          <w:sz w:val="28"/>
          <w:szCs w:val="20"/>
          <w:lang w:val="en-US"/>
        </w:rPr>
        <w:t>131</w:t>
      </w:r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szCs w:val="20"/>
        </w:rPr>
        <w:t>号</w:t>
      </w:r>
    </w:p>
    <w:p w14:paraId="48937DD8">
      <w:pPr>
        <w:snapToGrid w:val="0"/>
        <w:jc w:val="center"/>
        <w:rPr>
          <w:rFonts w:hint="eastAsia" w:ascii="仿宋_GB2312" w:hAnsi="仿宋_GB2312" w:eastAsia="仿宋_GB2312" w:cs="Times New Roman"/>
          <w:sz w:val="28"/>
          <w:szCs w:val="28"/>
        </w:rPr>
      </w:pPr>
      <w:r>
        <w:rPr>
          <w:rFonts w:ascii="Times New Roman" w:hAnsi="Times New Roman" w:eastAsia="宋体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128905</wp:posOffset>
                </wp:positionV>
                <wp:extent cx="5551805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1805" cy="6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.35pt;margin-top:10.15pt;height:0.05pt;width:437.15pt;z-index:251659264;mso-width-relative:page;mso-height-relative:page;" filled="f" stroked="t" coordsize="21600,21600" o:gfxdata="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zC+1ktYAAAAIAQAADwAAAAAAAAABACAAAAAiAAAAZHJzL2Rvd25yZXYu&#10;eG1sUEsBAhQAFAAAAAgAh07iQBXy5mP9AQAA9QMAAA4AAAAAAAAAAQAgAAAAJQEAAGRycy9lMm9E&#10;b2MueG1sUEsFBgAAAAAGAAYAWQEAAJQFAAAAAA==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24371B34">
      <w:pPr>
        <w:jc w:val="center"/>
        <w:rPr>
          <w:rFonts w:hint="eastAsia" w:ascii="Times New Roman" w:hAnsi="Times New Roman" w:eastAsia="宋体" w:cs="Times New Roman"/>
          <w:sz w:val="28"/>
          <w:szCs w:val="28"/>
        </w:rPr>
      </w:pPr>
    </w:p>
    <w:p w14:paraId="4D4DF573">
      <w:pPr>
        <w:widowControl/>
        <w:pBdr>
          <w:bottom w:val="none" w:color="auto" w:sz="0" w:space="0"/>
        </w:pBdr>
        <w:tabs>
          <w:tab w:val="center" w:pos="4153"/>
          <w:tab w:val="right" w:pos="8306"/>
        </w:tabs>
        <w:adjustRightInd w:val="0"/>
        <w:snapToGrid w:val="0"/>
        <w:spacing w:beforeLines="0" w:afterLines="0" w:line="240" w:lineRule="auto"/>
        <w:ind w:firstLine="220" w:firstLineChars="50"/>
        <w:jc w:val="center"/>
        <w:outlineLvl w:val="0"/>
        <w:rPr>
          <w:rFonts w:hint="default" w:ascii="方正小标宋简体" w:hAnsi="方正小标宋简体" w:eastAsia="方正小标宋简体" w:cs="Times New Roman"/>
          <w:kern w:val="0"/>
          <w:sz w:val="44"/>
          <w:szCs w:val="18"/>
          <w:highlight w:val="none"/>
          <w:lang w:val="en-US" w:eastAsia="zh-CN" w:bidi="ar-SA"/>
        </w:rPr>
      </w:pPr>
      <w:bookmarkStart w:id="3" w:name="_GoBack"/>
      <w:bookmarkStart w:id="2" w:name="quanwen"/>
      <w:r>
        <w:rPr>
          <w:rFonts w:hint="eastAsia" w:ascii="方正小标宋简体" w:hAnsi="方正小标宋简体" w:eastAsia="方正小标宋简体" w:cs="Times New Roman"/>
          <w:kern w:val="0"/>
          <w:sz w:val="44"/>
          <w:szCs w:val="18"/>
          <w:highlight w:val="none"/>
          <w:lang w:val="en-US" w:eastAsia="zh-CN" w:bidi="ar-SA"/>
        </w:rPr>
        <w:t>关于对大华会计师事务所（特殊普通合伙）、赖其寿、肖桃树采取出具警示函措施的决定</w:t>
      </w:r>
    </w:p>
    <w:bookmarkEnd w:id="3"/>
    <w:p w14:paraId="421976BA">
      <w:pPr>
        <w:adjustRightInd w:val="0"/>
        <w:snapToGrid w:val="0"/>
        <w:spacing w:beforeLines="0" w:afterLines="0" w:line="240" w:lineRule="auto"/>
        <w:rPr>
          <w:rFonts w:hint="eastAsia" w:ascii="方正小标宋简体" w:hAnsi="方正小标宋简体" w:eastAsia="方正小标宋简体" w:cs="方正小标宋简体"/>
          <w:spacing w:val="8"/>
          <w:kern w:val="0"/>
          <w:sz w:val="32"/>
          <w:szCs w:val="32"/>
          <w:highlight w:val="none"/>
        </w:rPr>
      </w:pPr>
    </w:p>
    <w:p w14:paraId="3B2F3102">
      <w:pPr>
        <w:widowControl w:val="0"/>
        <w:wordWrap/>
        <w:overflowPunct w:val="0"/>
        <w:adjustRightInd w:val="0"/>
        <w:snapToGrid w:val="0"/>
        <w:spacing w:before="0" w:beforeLines="0" w:after="0" w:afterLines="0" w:line="360" w:lineRule="auto"/>
        <w:ind w:left="0" w:leftChars="0" w:right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Times New Roman"/>
          <w:color w:val="00000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Times New Roman"/>
          <w:color w:val="000000"/>
          <w:spacing w:val="0"/>
          <w:kern w:val="0"/>
          <w:sz w:val="32"/>
          <w:szCs w:val="32"/>
          <w:highlight w:val="none"/>
          <w:lang w:val="en-US" w:eastAsia="zh-CN"/>
        </w:rPr>
        <w:t>大华会计师事务所</w:t>
      </w:r>
      <w:r>
        <w:rPr>
          <w:rFonts w:hint="eastAsia" w:ascii="仿宋_GB2312" w:hAnsi="仿宋_GB2312" w:eastAsia="仿宋_GB2312" w:cs="Times New Roman"/>
          <w:color w:val="000000"/>
          <w:spacing w:val="0"/>
          <w:kern w:val="0"/>
          <w:sz w:val="32"/>
          <w:szCs w:val="32"/>
          <w:highlight w:val="none"/>
          <w:lang w:eastAsia="zh-CN"/>
        </w:rPr>
        <w:t>（特殊普通合</w:t>
      </w:r>
      <w:r>
        <w:rPr>
          <w:rFonts w:hint="eastAsia" w:ascii="仿宋_GB2312" w:hAnsi="仿宋_GB2312" w:eastAsia="仿宋_GB2312" w:cs="Times New Roman"/>
          <w:color w:val="000000"/>
          <w:spacing w:val="0"/>
          <w:kern w:val="0"/>
          <w:sz w:val="32"/>
          <w:szCs w:val="32"/>
          <w:highlight w:val="none"/>
          <w:lang w:val="en-US" w:eastAsia="zh-CN"/>
        </w:rPr>
        <w:t>伙），赖其寿、肖桃树：</w:t>
      </w:r>
    </w:p>
    <w:p w14:paraId="266825CF">
      <w:pPr>
        <w:widowControl w:val="0"/>
        <w:wordWrap/>
        <w:overflowPunct w:val="0"/>
        <w:adjustRightInd w:val="0"/>
        <w:snapToGrid w:val="0"/>
        <w:spacing w:before="0" w:beforeLines="0" w:after="0" w:afterLines="0" w:line="360" w:lineRule="auto"/>
        <w:ind w:left="0" w:leftChars="0" w:right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Times New Roman"/>
          <w:color w:val="000000"/>
          <w:kern w:val="0"/>
          <w:sz w:val="32"/>
        </w:rPr>
      </w:pPr>
      <w:r>
        <w:rPr>
          <w:rFonts w:hint="default" w:ascii="仿宋_GB2312" w:hAnsi="仿宋_GB2312" w:eastAsia="仿宋_GB2312" w:cs="Times New Roman"/>
          <w:color w:val="000000"/>
          <w:kern w:val="0"/>
          <w:sz w:val="32"/>
        </w:rPr>
        <w:t>依据《中华人民共和国证券法》有关规定，我局对大华会计师事务所（特殊普通合伙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lang w:eastAsia="zh-CN"/>
        </w:rPr>
        <w:t>，以下简称大华所</w:t>
      </w:r>
      <w:r>
        <w:rPr>
          <w:rFonts w:hint="default" w:ascii="仿宋_GB2312" w:hAnsi="仿宋_GB2312" w:eastAsia="仿宋_GB2312" w:cs="Times New Roman"/>
          <w:color w:val="000000"/>
          <w:kern w:val="0"/>
          <w:sz w:val="32"/>
        </w:rPr>
        <w:t>）执业的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lang w:eastAsia="zh-CN"/>
        </w:rPr>
        <w:t>广东惠伦晶体科技股份有限公司（以下简称惠伦晶体）</w:t>
      </w:r>
      <w:r>
        <w:rPr>
          <w:rFonts w:hint="default" w:ascii="仿宋_GB2312" w:hAnsi="仿宋_GB2312" w:eastAsia="仿宋_GB2312" w:cs="Times New Roman"/>
          <w:color w:val="000000"/>
          <w:kern w:val="0"/>
          <w:sz w:val="32"/>
        </w:rPr>
        <w:t>20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lang w:val="en-US" w:eastAsia="zh-CN"/>
        </w:rPr>
        <w:t>20</w:t>
      </w:r>
      <w:r>
        <w:rPr>
          <w:rFonts w:hint="default" w:ascii="仿宋_GB2312" w:hAnsi="仿宋_GB2312" w:eastAsia="仿宋_GB2312" w:cs="Times New Roman"/>
          <w:color w:val="000000"/>
          <w:kern w:val="0"/>
          <w:sz w:val="32"/>
        </w:rPr>
        <w:t>年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lang w:eastAsia="zh-CN"/>
        </w:rPr>
        <w:t>年报</w:t>
      </w:r>
      <w:r>
        <w:rPr>
          <w:rFonts w:hint="default" w:ascii="仿宋_GB2312" w:hAnsi="仿宋_GB2312" w:eastAsia="仿宋_GB2312" w:cs="Times New Roman"/>
          <w:color w:val="000000"/>
          <w:kern w:val="0"/>
          <w:sz w:val="32"/>
        </w:rPr>
        <w:t>审计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lang w:eastAsia="zh-CN"/>
        </w:rPr>
        <w:t>工作</w:t>
      </w:r>
      <w:r>
        <w:rPr>
          <w:rFonts w:hint="default" w:ascii="仿宋_GB2312" w:hAnsi="仿宋_GB2312" w:eastAsia="仿宋_GB2312" w:cs="Times New Roman"/>
          <w:color w:val="000000"/>
          <w:kern w:val="0"/>
          <w:sz w:val="32"/>
        </w:rPr>
        <w:t>进行检查。</w:t>
      </w:r>
    </w:p>
    <w:p w14:paraId="55B1A12C">
      <w:pPr>
        <w:widowControl w:val="0"/>
        <w:numPr>
          <w:ilvl w:val="-1"/>
          <w:numId w:val="0"/>
        </w:numPr>
        <w:wordWrap/>
        <w:overflowPunct w:val="0"/>
        <w:adjustRightInd w:val="0"/>
        <w:snapToGrid w:val="0"/>
        <w:spacing w:beforeLines="0" w:afterLines="0" w:line="360" w:lineRule="auto"/>
        <w:ind w:right="0"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Times New Roman"/>
          <w:color w:val="000000"/>
          <w:spacing w:val="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Times New Roman"/>
          <w:color w:val="000000"/>
          <w:kern w:val="0"/>
          <w:sz w:val="32"/>
          <w:lang w:eastAsia="zh-CN"/>
        </w:rPr>
        <w:t>经查，大华所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lang w:val="en-US" w:eastAsia="zh-CN"/>
        </w:rPr>
        <w:t>在对惠伦晶体存货进行审计时，计划于2020年12月30日、31日开展存货监盘。大华所于12月30日对惠伦晶体相关原材料仓库进行现场监盘，惠伦晶体于12月31日新增</w:t>
      </w:r>
      <w:r>
        <w:rPr>
          <w:rFonts w:hint="default" w:ascii="仿宋_GB2312" w:hAnsi="仿宋_GB2312" w:eastAsia="仿宋_GB2312" w:cs="Times New Roman"/>
          <w:color w:val="000000"/>
          <w:kern w:val="0"/>
          <w:sz w:val="32"/>
          <w:lang w:val="en" w:eastAsia="zh-CN"/>
        </w:rPr>
        <w:t>1096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lang w:val="en" w:eastAsia="zh-CN"/>
        </w:rPr>
        <w:t>万元虚假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lang w:val="en-US" w:eastAsia="zh-CN"/>
        </w:rPr>
        <w:t>原材料采购入库，该虚假入库金额占惠伦晶体2020年披露存货金额及净资产的比分别为5.6%、1.99%。对于该新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highlight w:val="none"/>
          <w:lang w:val="en-US" w:eastAsia="zh-CN"/>
        </w:rPr>
        <w:t>增入库原材料，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highlight w:val="none"/>
          <w:lang w:eastAsia="zh-CN"/>
        </w:rPr>
        <w:t>大华所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highlight w:val="none"/>
          <w:lang w:val="en-US" w:eastAsia="zh-CN"/>
        </w:rPr>
        <w:t>仅检查了会计凭证和电子入库单，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highlight w:val="none"/>
          <w:lang w:eastAsia="zh-CN"/>
        </w:rPr>
        <w:t>未获取相关供应商的送货清单及仓库管理人员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highlight w:val="none"/>
        </w:rPr>
        <w:t>清点签收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highlight w:val="none"/>
          <w:lang w:eastAsia="zh-CN"/>
        </w:rPr>
        <w:t>的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highlight w:val="none"/>
        </w:rPr>
        <w:t>原始单据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highlight w:val="none"/>
          <w:lang w:eastAsia="zh-CN"/>
        </w:rPr>
        <w:t>，也未通过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highlight w:val="none"/>
          <w:lang w:val="en-US" w:eastAsia="zh-CN"/>
        </w:rPr>
        <w:t>倒轧计算核实该相关原材料截至2020年12月31日的库存数量，获取的审计证据不充分，存货监盘及截止测试审计程序执行存在缺陷。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highlight w:val="none"/>
          <w:lang w:eastAsia="zh-CN"/>
        </w:rPr>
        <w:t>大华所</w:t>
      </w:r>
      <w:r>
        <w:rPr>
          <w:rFonts w:hint="eastAsia" w:ascii="仿宋_GB2312" w:hAnsi="仿宋_GB2312" w:eastAsia="仿宋_GB2312" w:cs="Times New Roman"/>
          <w:color w:val="000000"/>
          <w:spacing w:val="0"/>
          <w:kern w:val="0"/>
          <w:sz w:val="32"/>
          <w:szCs w:val="32"/>
          <w:highlight w:val="none"/>
          <w:lang w:eastAsia="zh-CN"/>
        </w:rPr>
        <w:t>的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szCs w:val="32"/>
          <w:highlight w:val="none"/>
        </w:rPr>
        <w:t>上述行为不符合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highlight w:val="none"/>
        </w:rPr>
        <w:t>《中国注册会计师审计准则第1101号——注册会计师的总体目标和审计工作的基本要求》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highlight w:val="none"/>
          <w:lang w:val="en-US" w:eastAsia="zh-CN"/>
        </w:rPr>
        <w:t>（2019年修订）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highlight w:val="none"/>
        </w:rPr>
        <w:t>第二十八条，《中国注册会计师审计准则第1301号——审计证据》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highlight w:val="none"/>
          <w:lang w:val="en-US" w:eastAsia="zh-CN"/>
        </w:rPr>
        <w:t>（2016年修订）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highlight w:val="none"/>
        </w:rPr>
        <w:t>第十条的规定，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highlight w:val="none"/>
          <w:lang w:val="en-US" w:eastAsia="zh-CN"/>
        </w:rPr>
        <w:t>《中国注册会计师审计准则第1311号——对存货、诉讼和索赔、分部信息等特定项目获取审计证据的具体考虑》（2019年修订）第五条等规定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szCs w:val="32"/>
          <w:highlight w:val="none"/>
        </w:rPr>
        <w:t>，违反了《上市公司信息披露管理办法》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（证监会令第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>40号，下同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szCs w:val="32"/>
          <w:highlight w:val="none"/>
        </w:rPr>
        <w:t>第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五十三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szCs w:val="32"/>
          <w:highlight w:val="none"/>
        </w:rPr>
        <w:t>条的规定。</w:t>
      </w:r>
      <w:r>
        <w:rPr>
          <w:rFonts w:hint="eastAsia" w:ascii="仿宋_GB2312" w:hAnsi="仿宋_GB2312" w:eastAsia="仿宋_GB2312" w:cs="Times New Roman"/>
          <w:color w:val="000000"/>
          <w:spacing w:val="0"/>
          <w:kern w:val="0"/>
          <w:sz w:val="32"/>
          <w:szCs w:val="32"/>
          <w:highlight w:val="none"/>
          <w:lang w:val="en-US" w:eastAsia="zh-CN"/>
        </w:rPr>
        <w:t>赖其寿、肖桃树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作为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szCs w:val="32"/>
          <w:highlight w:val="none"/>
        </w:rPr>
        <w:t>签字注册会计师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，对上述违规行为</w:t>
      </w:r>
      <w:r>
        <w:rPr>
          <w:rFonts w:hint="eastAsia" w:ascii="仿宋_GB2312" w:hAnsi="仿宋_GB2312" w:eastAsia="仿宋_GB2312" w:cs="Times New Roman"/>
          <w:color w:val="000000"/>
          <w:spacing w:val="0"/>
          <w:kern w:val="0"/>
          <w:sz w:val="32"/>
          <w:szCs w:val="32"/>
          <w:highlight w:val="none"/>
          <w:lang w:eastAsia="zh-CN"/>
        </w:rPr>
        <w:t>负有主要责任。</w:t>
      </w:r>
    </w:p>
    <w:p w14:paraId="5A31B62F">
      <w:pPr>
        <w:widowControl w:val="0"/>
        <w:numPr>
          <w:ilvl w:val="0"/>
          <w:numId w:val="0"/>
        </w:numPr>
        <w:wordWrap/>
        <w:overflowPunct w:val="0"/>
        <w:adjustRightInd w:val="0"/>
        <w:snapToGrid w:val="0"/>
        <w:spacing w:beforeLines="0" w:afterLines="0" w:line="360" w:lineRule="auto"/>
        <w:ind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/>
        </w:rPr>
        <w:t>根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eastAsia="zh-CN"/>
        </w:rPr>
        <w:t>据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</w:rPr>
        <w:t>《上市公司信息披露管理办法》第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eastAsia="zh-CN"/>
        </w:rPr>
        <w:t>六十五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</w:rPr>
        <w:t>条的规定，我局决定对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lang w:eastAsia="zh-CN"/>
        </w:rPr>
        <w:t>大华所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Times New Roman"/>
          <w:color w:val="000000"/>
          <w:spacing w:val="0"/>
          <w:kern w:val="0"/>
          <w:sz w:val="32"/>
          <w:szCs w:val="32"/>
          <w:highlight w:val="none"/>
          <w:lang w:val="en-US" w:eastAsia="zh-CN"/>
        </w:rPr>
        <w:t>赖其寿、肖桃树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采取出具警示函的行政监管措施。你们应认真吸取教训，严格按照相关法律法规和《中国注册会计师执业准则》的规定做好整改工作，切实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提高审计执业质量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。大华所应于收到本决定书30日内向我局报送整改报告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</w:rPr>
        <w:t>。</w:t>
      </w:r>
    </w:p>
    <w:p w14:paraId="220D5446">
      <w:pPr>
        <w:widowControl w:val="0"/>
        <w:wordWrap/>
        <w:overflowPunct w:val="0"/>
        <w:adjustRightInd w:val="0"/>
        <w:snapToGrid w:val="0"/>
        <w:spacing w:before="0" w:beforeLines="0" w:after="0" w:afterLines="0" w:line="36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</w:rPr>
        <w:t>如果对本监督管理措施不服，可以在收到本决定书之日起60日内向中国证券监督管理委员会提出行政复议申请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</w:rPr>
        <w:t>也可以在收到本决定书之日起6个月内向有管辖权的人民法院提起诉讼。复议与诉讼期间，上述监督管理措施不停止执行。</w:t>
      </w:r>
    </w:p>
    <w:p w14:paraId="24953C15">
      <w:pPr>
        <w:widowControl w:val="0"/>
        <w:overflowPunct w:val="0"/>
        <w:snapToGrid w:val="0"/>
        <w:spacing w:line="360" w:lineRule="auto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0C5A4F6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eastAsia="宋体" w:cs="宋体"/>
          <w:color w:val="000000"/>
          <w:sz w:val="32"/>
          <w:szCs w:val="32"/>
        </w:rPr>
      </w:pPr>
    </w:p>
    <w:p w14:paraId="021E756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eastAsia="宋体" w:cs="宋体"/>
          <w:color w:val="000000"/>
          <w:sz w:val="32"/>
          <w:szCs w:val="32"/>
        </w:rPr>
      </w:pPr>
    </w:p>
    <w:p w14:paraId="178595A3">
      <w:pPr>
        <w:overflowPunct w:val="0"/>
        <w:adjustRightInd w:val="0"/>
        <w:snapToGrid w:val="0"/>
        <w:spacing w:line="360" w:lineRule="auto"/>
        <w:ind w:right="1705"/>
        <w:jc w:val="right"/>
        <w:rPr>
          <w:rFonts w:hint="eastAsia" w:ascii="仿宋_GB2312" w:hAnsi="Times New Roman" w:eastAsia="仿宋_GB2312" w:cs="Times New Roman"/>
          <w:color w:val="000000"/>
          <w:sz w:val="32"/>
          <w:szCs w:val="24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24"/>
        </w:rPr>
        <w:t>广东证监局</w:t>
      </w:r>
    </w:p>
    <w:p w14:paraId="1FEB8D3B">
      <w:pPr>
        <w:numPr>
          <w:ilvl w:val="0"/>
          <w:numId w:val="0"/>
        </w:numPr>
        <w:pBdr>
          <w:top w:val="none" w:color="auto" w:sz="0" w:space="0"/>
          <w:bottom w:val="none" w:color="auto" w:sz="0" w:space="0"/>
        </w:pBdr>
        <w:overflowPunct w:val="0"/>
        <w:adjustRightInd w:val="0"/>
        <w:snapToGrid w:val="0"/>
        <w:spacing w:beforeLines="0" w:afterLines="0" w:line="360" w:lineRule="auto"/>
        <w:jc w:val="center"/>
        <w:outlineLvl w:val="9"/>
        <w:rPr>
          <w:rFonts w:ascii="Times New Roman" w:hAnsi="Times New Roman" w:eastAsia="宋体" w:cs="Times New Roman"/>
        </w:rPr>
      </w:pPr>
      <w:r>
        <w:rPr>
          <w:rFonts w:hint="eastAsia" w:ascii="仿宋_GB2312" w:hAnsi="Times New Roman" w:eastAsia="仿宋_GB2312" w:cs="Times New Roman"/>
          <w:color w:val="000000"/>
          <w:spacing w:val="10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    </w:t>
      </w:r>
      <w:r>
        <w:rPr>
          <w:rFonts w:hint="default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>02</w:t>
      </w:r>
      <w:r>
        <w:rPr>
          <w:rFonts w:hint="default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年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>10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月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>16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日</w:t>
      </w:r>
    </w:p>
    <w:p w14:paraId="2C18D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8"/>
        <w:jc w:val="left"/>
        <w:textAlignment w:val="auto"/>
        <w:rPr>
          <w:rFonts w:hint="eastAsia" w:ascii="黑体" w:hAnsi="Calibri" w:eastAsia="黑体" w:cs="Times New Roman"/>
          <w:spacing w:val="8"/>
          <w:sz w:val="32"/>
          <w:szCs w:val="24"/>
        </w:rPr>
      </w:pPr>
    </w:p>
    <w:p w14:paraId="2F76C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8"/>
        <w:jc w:val="left"/>
        <w:textAlignment w:val="auto"/>
        <w:rPr>
          <w:rFonts w:hint="eastAsia" w:ascii="黑体" w:hAnsi="Calibri" w:eastAsia="黑体" w:cs="Times New Roman"/>
          <w:spacing w:val="8"/>
          <w:sz w:val="32"/>
          <w:szCs w:val="24"/>
        </w:rPr>
      </w:pPr>
    </w:p>
    <w:p w14:paraId="55553456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7405186B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5E089C21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4FDF8D72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656F58C5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16FC248B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0C8C3116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17A79DE8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5317D347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2A02142B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00D4899F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29F001DE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66BFD872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1BDC635D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6928019E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6074C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8"/>
        <w:jc w:val="left"/>
        <w:textAlignment w:val="auto"/>
        <w:rPr>
          <w:rFonts w:hint="eastAsia" w:ascii="黑体" w:hAnsi="Calibri" w:eastAsia="黑体" w:cs="Times New Roman"/>
          <w:spacing w:val="8"/>
          <w:sz w:val="32"/>
          <w:szCs w:val="24"/>
        </w:rPr>
      </w:pPr>
    </w:p>
    <w:p w14:paraId="32B7E49D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3BA887DC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032BCF3A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02306631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7B2EA63B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3C6E01FA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19784CCE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36E4F5F2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4FE2C42E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28DAE796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1956D13C">
      <w:pPr>
        <w:snapToGrid w:val="0"/>
        <w:spacing w:line="360" w:lineRule="auto"/>
        <w:ind w:right="28"/>
        <w:jc w:val="left"/>
        <w:rPr>
          <w:rFonts w:hint="eastAsia" w:ascii="黑体" w:hAnsi="Calibri" w:eastAsia="黑体" w:cs="Times New Roman"/>
          <w:b w:val="0"/>
          <w:bCs w:val="0"/>
          <w:spacing w:val="8"/>
          <w:sz w:val="32"/>
          <w:szCs w:val="32"/>
        </w:rPr>
      </w:pPr>
    </w:p>
    <w:p w14:paraId="6EE8C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8"/>
        <w:jc w:val="left"/>
        <w:textAlignment w:val="auto"/>
        <w:rPr>
          <w:rFonts w:hint="eastAsia" w:ascii="黑体" w:hAnsi="Calibri" w:eastAsia="黑体" w:cs="Times New Roman"/>
          <w:spacing w:val="8"/>
          <w:sz w:val="32"/>
          <w:szCs w:val="24"/>
        </w:rPr>
      </w:pPr>
    </w:p>
    <w:p w14:paraId="5AB9943A">
      <w:pPr>
        <w:snapToGrid w:val="0"/>
        <w:spacing w:line="300" w:lineRule="auto"/>
        <w:ind w:right="26"/>
        <w:jc w:val="left"/>
        <w:rPr>
          <w:rFonts w:hint="eastAsia" w:ascii="黑体" w:hAnsi="Calibri" w:eastAsia="黑体" w:cs="Times New Roman"/>
          <w:spacing w:val="8"/>
          <w:sz w:val="18"/>
          <w:szCs w:val="18"/>
        </w:rPr>
      </w:pPr>
    </w:p>
    <w:p w14:paraId="637DC6AE">
      <w:pPr>
        <w:keepNext w:val="0"/>
        <w:keepLines w:val="0"/>
        <w:pageBreakBefore w:val="0"/>
        <w:widowControl w:val="0"/>
        <w:pBdr>
          <w:top w:val="single" w:color="auto" w:sz="8" w:space="6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09" w:afterLines="35"/>
        <w:ind w:firstLine="296" w:firstLineChars="100"/>
        <w:textAlignment w:val="auto"/>
        <w:rPr>
          <w:rFonts w:ascii="长城仿宋" w:hAnsi="Calibri" w:eastAsia="长城仿宋" w:cs="Times New Roman"/>
          <w:sz w:val="28"/>
          <w:szCs w:val="24"/>
        </w:rPr>
      </w:pP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>抄送：证监会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  <w:lang w:eastAsia="zh-CN"/>
        </w:rPr>
        <w:t>稽查局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>、法治司、会计司；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  <w:lang w:eastAsia="zh-CN"/>
        </w:rPr>
        <w:t>深圳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>证券交易所。</w:t>
      </w:r>
    </w:p>
    <w:p w14:paraId="6A1CB2ED">
      <w:pPr>
        <w:keepNext w:val="0"/>
        <w:keepLines w:val="0"/>
        <w:pageBreakBefore w:val="0"/>
        <w:widowControl w:val="0"/>
        <w:pBdr>
          <w:top w:val="single" w:color="auto" w:sz="4" w:space="6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09" w:afterLines="35"/>
        <w:ind w:firstLine="296" w:firstLineChars="100"/>
        <w:jc w:val="left"/>
        <w:textAlignment w:val="auto"/>
        <w:rPr>
          <w:rFonts w:hint="eastAsia" w:ascii="仿宋_GB2312" w:hAnsi="Calibri" w:eastAsia="仿宋_GB2312" w:cs="Times New Roman"/>
          <w:spacing w:val="8"/>
          <w:sz w:val="28"/>
          <w:szCs w:val="24"/>
        </w:rPr>
      </w:pP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 xml:space="preserve">广东证监局办公室            </w:t>
      </w:r>
      <w:r>
        <w:rPr>
          <w:rFonts w:hint="default" w:ascii="仿宋_GB2312" w:hAnsi="Calibri" w:eastAsia="仿宋_GB2312" w:cs="Times New Roman"/>
          <w:spacing w:val="8"/>
          <w:sz w:val="28"/>
          <w:szCs w:val="24"/>
          <w:lang w:val="en-US"/>
        </w:rPr>
        <w:t xml:space="preserve">     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 xml:space="preserve"> </w:t>
      </w:r>
      <w:r>
        <w:rPr>
          <w:rFonts w:hint="default" w:ascii="仿宋_GB2312" w:hAnsi="Calibri" w:eastAsia="仿宋_GB2312" w:cs="Times New Roman"/>
          <w:spacing w:val="8"/>
          <w:sz w:val="28"/>
          <w:szCs w:val="24"/>
          <w:lang w:val="en" w:eastAsia="zh-CN"/>
        </w:rPr>
        <w:t>202</w:t>
      </w:r>
      <w:r>
        <w:rPr>
          <w:rFonts w:hint="default" w:ascii="仿宋_GB2312" w:hAnsi="Calibri" w:eastAsia="仿宋_GB2312" w:cs="Times New Roman"/>
          <w:spacing w:val="8"/>
          <w:sz w:val="28"/>
          <w:szCs w:val="24"/>
          <w:lang w:val="en-US" w:eastAsia="zh-CN"/>
        </w:rPr>
        <w:t>6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>年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  <w:lang w:val="en-US" w:eastAsia="zh-CN"/>
        </w:rPr>
        <w:t>10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>月</w:t>
      </w:r>
      <w:r>
        <w:rPr>
          <w:rFonts w:hint="default" w:ascii="仿宋_GB2312" w:hAnsi="Calibri" w:eastAsia="仿宋_GB2312" w:cs="Times New Roman"/>
          <w:spacing w:val="8"/>
          <w:sz w:val="28"/>
          <w:szCs w:val="24"/>
          <w:lang w:val="en-US" w:eastAsia="zh-CN"/>
        </w:rPr>
        <w:t>16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>日印发</w:t>
      </w:r>
    </w:p>
    <w:bookmarkEnd w:id="2"/>
    <w:p w14:paraId="10AD00FB">
      <w:pPr>
        <w:keepNext w:val="0"/>
        <w:keepLines w:val="0"/>
        <w:pageBreakBefore w:val="0"/>
        <w:widowControl w:val="0"/>
        <w:pBdr>
          <w:top w:val="single" w:color="auto" w:sz="8" w:space="7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240" w:lineRule="auto"/>
        <w:ind w:firstLine="0"/>
        <w:jc w:val="left"/>
        <w:textAlignment w:val="auto"/>
        <w:rPr>
          <w:rFonts w:hint="eastAsia" w:ascii="仿宋_GB2312" w:hAnsi="Calibri" w:eastAsia="仿宋_GB2312" w:cs="Times New Roman"/>
          <w:spacing w:val="8"/>
          <w:sz w:val="2"/>
          <w:szCs w:val="2"/>
        </w:rPr>
      </w:pPr>
    </w:p>
    <w:p w14:paraId="75FEC0B0">
      <w:pPr>
        <w:keepNext w:val="0"/>
        <w:keepLines w:val="0"/>
        <w:pageBreakBefore w:val="0"/>
        <w:widowControl w:val="0"/>
        <w:pBdr>
          <w:top w:val="single" w:color="auto" w:sz="8" w:space="7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240" w:lineRule="auto"/>
        <w:ind w:firstLine="0"/>
        <w:jc w:val="left"/>
        <w:textAlignment w:val="auto"/>
        <w:rPr>
          <w:rFonts w:hint="eastAsia" w:ascii="仿宋_GB2312" w:hAnsi="Calibri" w:eastAsia="仿宋_GB2312" w:cs="Times New Roman"/>
          <w:spacing w:val="8"/>
          <w:sz w:val="2"/>
          <w:szCs w:val="2"/>
        </w:rPr>
      </w:pPr>
    </w:p>
    <w:sectPr>
      <w:footerReference r:id="rId3" w:type="default"/>
      <w:pgSz w:w="11906" w:h="16838"/>
      <w:pgMar w:top="2097" w:right="1474" w:bottom="198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长城仿宋">
    <w:altName w:val="方正仿宋_GBK"/>
    <w:panose1 w:val="02010609000101010101"/>
    <w:charset w:val="00"/>
    <w:family w:val="roma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BABAA">
    <w:pPr>
      <w:pStyle w:val="2"/>
      <w:spacing w:line="240" w:lineRule="auto"/>
      <w:rPr>
        <w:rFonts w:hint="eastAsia" w:ascii="宋体" w:hAnsi="宋体" w:eastAsia="宋体" w:cs="宋体"/>
        <w:sz w:val="28"/>
        <w:lang w:val="en-US"/>
      </w:rPr>
    </w:pPr>
    <w:r>
      <w:rPr>
        <w:rFonts w:hint="eastAsia" w:ascii="宋体" w:hAnsi="宋体" w:eastAsia="宋体" w:cs="宋体"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align>top</wp:align>
              </wp:positionV>
              <wp:extent cx="1828800" cy="1828800"/>
              <wp:effectExtent l="4445" t="4445" r="14605" b="14605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4AF18A"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height:144pt;width:144pt;mso-position-horizontal:outside;mso-position-horizontal-relative:margin;mso-position-vertical:top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4AF18A">
                    <w:pP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dit="readOnly" w:enforcement="0"/>
  <w:defaultTabStop w:val="420"/>
  <w:drawingGridHorizontalSpacing w:val="210"/>
  <w:drawingGridVerticalSpacing w:val="159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DE53FF"/>
    <w:rsid w:val="2BF3929A"/>
    <w:rsid w:val="3777B4DE"/>
    <w:rsid w:val="38D58541"/>
    <w:rsid w:val="5DDE53FF"/>
    <w:rsid w:val="5F7DDC99"/>
    <w:rsid w:val="5FE5F36A"/>
    <w:rsid w:val="74F95300"/>
    <w:rsid w:val="787F5B6A"/>
    <w:rsid w:val="793FB5A1"/>
    <w:rsid w:val="7FB2F4F0"/>
    <w:rsid w:val="7FE5B377"/>
    <w:rsid w:val="7FFF54E8"/>
    <w:rsid w:val="95BBB231"/>
    <w:rsid w:val="B1FEFC2B"/>
    <w:rsid w:val="B7FF8A20"/>
    <w:rsid w:val="BAEF41B7"/>
    <w:rsid w:val="BBDB2E1F"/>
    <w:rsid w:val="DE8FEF7A"/>
    <w:rsid w:val="E7D7A809"/>
    <w:rsid w:val="EB9B7415"/>
    <w:rsid w:val="EEACEEC5"/>
    <w:rsid w:val="FBFFB2E9"/>
    <w:rsid w:val="FFF7842F"/>
    <w:rsid w:val="FFFDC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lang w:val="en-US" w:eastAsia="zh-CN" w:bidi="ar-SA"/>
    </w:rPr>
  </w:style>
  <w:style w:type="paragraph" w:styleId="3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6">
    <w:name w:val="NormalIndent"/>
    <w:next w:val="1"/>
    <w:qFormat/>
    <w:uiPriority w:val="0"/>
    <w:pPr>
      <w:widowControl w:val="0"/>
      <w:spacing w:line="240" w:lineRule="auto"/>
      <w:ind w:firstLine="420"/>
      <w:jc w:val="both"/>
      <w:textAlignment w:val="baseline"/>
    </w:pPr>
    <w:rPr>
      <w:rFonts w:ascii="宋体" w:hAnsi="Calibri" w:eastAsia="宋体" w:cs="Times New Roman"/>
      <w:kern w:val="0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2026-10-02T15:53:00Z</dcterms:created>
  <dc:creator>张灵军</dc:creator>
  <cp:lastModifiedBy>于晓雷</cp:lastModifiedBy>
  <cp:lastPrinted>2026-10-02T15:24:00Z</cp:lastPrinted>
  <dcterms:modified xsi:type="dcterms:W3CDTF">2026-10-23T13:46:33Z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03621C94AEBC14E8DD66BB6AE3BBC50D</vt:lpwstr>
  </property>
</Properties>
</file>