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0"/>
        </w:tabs>
        <w:jc w:val="center"/>
        <w:rPr>
          <w:rFonts w:hint="eastAsia" w:ascii="方正小标宋简体" w:hAnsi="方正小标宋简体" w:eastAsia="方正小标宋简体" w:cs="Times New Roman"/>
          <w:b/>
          <w:color w:val="FF0000"/>
          <w:w w:val="95"/>
          <w:kern w:val="0"/>
          <w:sz w:val="44"/>
          <w:szCs w:val="116"/>
        </w:rPr>
      </w:pPr>
      <w:bookmarkStart w:id="3" w:name="_GoBack"/>
      <w:bookmarkEnd w:id="3"/>
      <w:bookmarkStart w:id="0" w:name="_Hlk141567855"/>
      <w:bookmarkEnd w:id="0"/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>
      <w:pPr>
        <w:jc w:val="center"/>
        <w:rPr>
          <w:rFonts w:hint="eastAsia" w:ascii="方正小标宋简体" w:hAnsi="方正小标宋简体" w:eastAsia="方正小标宋简体" w:cs="Times New Roman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 w:cs="Times New Roman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>
      <w:pPr>
        <w:snapToGrid w:val="0"/>
        <w:jc w:val="center"/>
        <w:rPr>
          <w:rFonts w:hint="eastAsia" w:ascii="仿宋_GB2312" w:hAnsi="仿宋_GB2312" w:eastAsia="仿宋_GB2312" w:cs="宋体"/>
          <w:sz w:val="28"/>
          <w:szCs w:val="28"/>
        </w:rPr>
      </w:pPr>
    </w:p>
    <w:p>
      <w:pPr>
        <w:suppressAutoHyphens/>
        <w:bidi w:val="0"/>
        <w:adjustRightInd/>
        <w:snapToGrid w:val="0"/>
        <w:spacing w:before="156" w:beforeLines="50" w:line="300" w:lineRule="auto"/>
        <w:ind w:firstLine="0" w:firstLineChars="0"/>
        <w:jc w:val="center"/>
        <w:rPr>
          <w:rFonts w:ascii="黑体" w:hAnsi="Times New Roman" w:eastAsia="黑体" w:cs="Times New Roman"/>
          <w:color w:val="000000"/>
          <w:spacing w:val="12"/>
          <w:sz w:val="32"/>
          <w:szCs w:val="20"/>
        </w:rPr>
      </w:pPr>
      <w:bookmarkStart w:id="1" w:name="WH"/>
      <w:bookmarkEnd w:id="1"/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〔20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26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〕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128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号</w:t>
      </w:r>
    </w:p>
    <w:p>
      <w:pPr>
        <w:snapToGrid w:val="0"/>
        <w:jc w:val="center"/>
        <w:rPr>
          <w:rFonts w:hint="eastAsia" w:ascii="仿宋_GB2312" w:hAnsi="仿宋_GB2312" w:eastAsia="仿宋_GB2312" w:cs="Times New Roman"/>
          <w:sz w:val="28"/>
          <w:szCs w:val="28"/>
        </w:rPr>
      </w:pPr>
      <w:r>
        <w:rPr>
          <w:rFonts w:ascii="Times New Roman" w:hAnsi="Times New Roman" w:eastAsia="宋体" w:cs="Times New Roman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9264;mso-width-relative:page;mso-height-relative:page;" filled="f" stroked="t" coordsize="21600,21600" o:gfxdata="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hint="eastAsia" w:ascii="Times New Roman" w:hAnsi="Times New Roman" w:eastAsia="宋体" w:cs="Times New Roman"/>
          <w:sz w:val="28"/>
          <w:szCs w:val="28"/>
        </w:rPr>
      </w:pPr>
    </w:p>
    <w:p>
      <w:pPr>
        <w:widowControl/>
        <w:adjustRightInd w:val="0"/>
        <w:snapToGrid w:val="0"/>
        <w:spacing w:beforeLines="0" w:afterLines="0" w:line="240" w:lineRule="auto"/>
        <w:jc w:val="center"/>
        <w:outlineLvl w:val="0"/>
        <w:rPr>
          <w:rFonts w:hint="eastAsia" w:ascii="方正小标宋简体" w:hAnsi="方正小标宋简体" w:eastAsia="方正小标宋简体" w:cs="Times New Roman"/>
          <w:sz w:val="44"/>
          <w:szCs w:val="44"/>
        </w:rPr>
      </w:pPr>
      <w:bookmarkStart w:id="2" w:name="quanwen"/>
      <w:r>
        <w:rPr>
          <w:rFonts w:hint="eastAsia" w:ascii="方正小标宋简体" w:hAnsi="方正小标宋简体" w:eastAsia="方正小标宋简体" w:cs="Times New Roman"/>
          <w:sz w:val="44"/>
          <w:szCs w:val="44"/>
        </w:rPr>
        <w:t>关于对广东海伦堡地产集团有限公司、王寿康</w:t>
      </w:r>
      <w:r>
        <w:rPr>
          <w:rFonts w:hint="eastAsia" w:ascii="方正小标宋简体" w:hAnsi="方正小标宋简体" w:eastAsia="方正小标宋简体" w:cs="Times New Roman"/>
          <w:sz w:val="44"/>
          <w:szCs w:val="44"/>
          <w:lang w:eastAsia="zh-CN"/>
        </w:rPr>
        <w:t>、梁发健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  <w:lang w:val="en-US" w:eastAsia="zh-CN"/>
        </w:rPr>
        <w:t>采取出具</w:t>
      </w:r>
      <w:r>
        <w:rPr>
          <w:rFonts w:hint="default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  <w:lang w:val="en" w:eastAsia="zh-CN"/>
        </w:rPr>
        <w:t>警示函措施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</w:rPr>
        <w:t>的决定</w:t>
      </w: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eastAsia="zh-CN"/>
        </w:rPr>
        <w:t>广东海伦堡地产集团有限公司、王寿康、</w:t>
      </w:r>
      <w:r>
        <w:rPr>
          <w:rFonts w:hint="default" w:ascii="仿宋_GB2312" w:hAnsi="仿宋_GB2312" w:eastAsia="仿宋_GB2312" w:cs="Times New Roman"/>
          <w:kern w:val="0"/>
          <w:sz w:val="32"/>
          <w:szCs w:val="24"/>
          <w:lang w:val="en-US" w:eastAsia="zh-CN"/>
        </w:rPr>
        <w:t>梁发健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</w:rPr>
        <w:t>经查，</w:t>
      </w:r>
      <w:r>
        <w:rPr>
          <w:rFonts w:hint="eastAsia" w:ascii="仿宋_GB2312" w:hAnsi="仿宋_GB2312" w:eastAsia="仿宋_GB2312" w:cs="Times New Roman"/>
          <w:kern w:val="0"/>
          <w:sz w:val="32"/>
          <w:szCs w:val="24"/>
          <w:lang w:eastAsia="zh-CN"/>
        </w:rPr>
        <w:t>广东海伦堡地产集团有限公司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eastAsia="zh-CN"/>
        </w:rPr>
        <w:t>（以下简称</w:t>
      </w:r>
      <w:r>
        <w:rPr>
          <w:rFonts w:hint="eastAsia" w:ascii="仿宋_GB2312" w:hAnsi="仿宋_GB2312" w:eastAsia="仿宋_GB2312" w:cs="Times New Roman"/>
          <w:kern w:val="0"/>
          <w:sz w:val="32"/>
          <w:szCs w:val="24"/>
          <w:lang w:eastAsia="zh-CN"/>
        </w:rPr>
        <w:t>海伦堡地产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eastAsia="zh-CN"/>
        </w:rPr>
        <w:t>或公司）存在以下违规行为：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"/>
          <w:kern w:val="0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eastAsia="zh-CN"/>
        </w:rPr>
        <w:t>海伦堡地产</w:t>
      </w:r>
      <w:r>
        <w:rPr>
          <w:rFonts w:hint="eastAsia" w:ascii="仿宋_GB2312" w:hAnsi="仿宋_GB2312" w:eastAsia="仿宋_GB2312" w:cs="仿宋"/>
          <w:b w:val="0"/>
          <w:bCs w:val="0"/>
          <w:kern w:val="0"/>
          <w:sz w:val="32"/>
          <w:szCs w:val="30"/>
          <w:lang w:val="en-US" w:eastAsia="zh-CN"/>
        </w:rPr>
        <w:t>作为公司债券发行人，未在规定期限内披露2026年中期报告。</w:t>
      </w:r>
      <w:r>
        <w:rPr>
          <w:rFonts w:hint="eastAsia" w:ascii="仿宋_GB2312" w:hAnsi="仿宋_GB2312" w:eastAsia="仿宋_GB2312" w:cs="仿宋"/>
          <w:kern w:val="0"/>
          <w:sz w:val="32"/>
          <w:szCs w:val="30"/>
          <w:lang w:val="en-US" w:eastAsia="zh-CN"/>
        </w:rPr>
        <w:t>上述行为违反了《公司债券发行与交易管理办法》（证监会令第222号，下同）第四条、第五十条、第五十一条第一款的规定。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"/>
          <w:kern w:val="0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"/>
          <w:kern w:val="0"/>
          <w:sz w:val="32"/>
          <w:szCs w:val="30"/>
          <w:lang w:val="en-US" w:eastAsia="zh-CN"/>
        </w:rPr>
        <w:t>公司时任法定代表人、执行董事、总经理兼信息披露事务负责人王寿康，以及公司时任财务负责人</w:t>
      </w:r>
      <w:r>
        <w:rPr>
          <w:rFonts w:hint="default" w:ascii="仿宋_GB2312" w:hAnsi="仿宋_GB2312" w:eastAsia="仿宋_GB2312" w:cs="仿宋"/>
          <w:kern w:val="0"/>
          <w:sz w:val="32"/>
          <w:szCs w:val="30"/>
          <w:lang w:val="en-US" w:eastAsia="zh-CN"/>
        </w:rPr>
        <w:t>梁发健</w:t>
      </w:r>
      <w:r>
        <w:rPr>
          <w:rFonts w:hint="eastAsia" w:ascii="仿宋_GB2312" w:hAnsi="仿宋_GB2312" w:eastAsia="仿宋_GB2312" w:cs="仿宋"/>
          <w:kern w:val="0"/>
          <w:sz w:val="32"/>
          <w:szCs w:val="30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未按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《公司债券发行与交易管理办法》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第五十三条第三款的规定保证公司履行</w:t>
      </w:r>
      <w:r>
        <w:rPr>
          <w:rFonts w:hint="eastAsia" w:ascii="仿宋_GB2312" w:hAnsi="仿宋_GB2312" w:eastAsia="仿宋_GB2312" w:cs="仿宋"/>
          <w:b w:val="0"/>
          <w:bCs w:val="0"/>
          <w:kern w:val="0"/>
          <w:sz w:val="32"/>
          <w:szCs w:val="30"/>
          <w:lang w:val="en-US" w:eastAsia="zh-CN"/>
        </w:rPr>
        <w:t>2026年中期报告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信息披露义务</w:t>
      </w:r>
      <w:r>
        <w:rPr>
          <w:rFonts w:hint="eastAsia" w:ascii="仿宋_GB2312" w:hAnsi="仿宋_GB2312" w:eastAsia="仿宋_GB2312" w:cs="仿宋"/>
          <w:kern w:val="0"/>
          <w:sz w:val="32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</w:rPr>
      </w:pP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根据</w:t>
      </w:r>
      <w:r>
        <w:rPr>
          <w:rFonts w:hint="eastAsia" w:ascii="仿宋_GB2312" w:hAnsi="仿宋_GB2312" w:eastAsia="仿宋_GB2312" w:cs="仿宋"/>
          <w:kern w:val="0"/>
          <w:sz w:val="32"/>
          <w:szCs w:val="30"/>
        </w:rPr>
        <w:t>《公司债券发行与交易管理办法》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第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  <w:lang w:eastAsia="zh-CN"/>
        </w:rPr>
        <w:t>六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十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  <w:lang w:eastAsia="zh-CN"/>
        </w:rPr>
        <w:t>九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条的规定，我局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  <w:lang w:eastAsia="zh-CN"/>
        </w:rPr>
        <w:t>决定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对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  <w:lang w:eastAsia="zh-CN"/>
        </w:rPr>
        <w:t>海伦堡地产、王寿康、</w:t>
      </w:r>
      <w:r>
        <w:rPr>
          <w:rFonts w:hint="default" w:ascii="仿宋_GB2312" w:hAnsi="仿宋_GB2312" w:eastAsia="仿宋_GB2312" w:cs="仿宋"/>
          <w:spacing w:val="0"/>
          <w:kern w:val="0"/>
          <w:sz w:val="32"/>
          <w:szCs w:val="30"/>
          <w:lang w:val="en-US" w:eastAsia="zh-CN"/>
        </w:rPr>
        <w:t>梁发健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  <w:lang w:eastAsia="zh-CN"/>
        </w:rPr>
        <w:t>采取出具警示函的行政监管措施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。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  <w:lang w:eastAsia="zh-CN"/>
        </w:rPr>
        <w:t>你们应当高度重视存在的有关问题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，切实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  <w:lang w:eastAsia="zh-CN"/>
        </w:rPr>
        <w:t>进行整改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eastAsia="zh-CN"/>
        </w:rPr>
        <w:t>依法依规履行定期报告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</w:rPr>
        <w:t>披露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eastAsia="zh-CN"/>
        </w:rPr>
        <w:t>义务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</w:rPr>
        <w:t>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  <w:lang w:eastAsia="zh-CN"/>
        </w:rPr>
        <w:t>维护债券持有人的合法权益。公司应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于收到本决定书30日内向我局报送整改报告，并抄报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  <w:lang w:eastAsia="zh-CN"/>
        </w:rPr>
        <w:t>深圳</w:t>
      </w:r>
      <w:r>
        <w:rPr>
          <w:rFonts w:hint="eastAsia" w:ascii="仿宋_GB2312" w:hAnsi="仿宋_GB2312" w:eastAsia="仿宋_GB2312" w:cs="仿宋"/>
          <w:spacing w:val="0"/>
          <w:kern w:val="0"/>
          <w:sz w:val="32"/>
          <w:szCs w:val="30"/>
        </w:rPr>
        <w:t>证券交易所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24"/>
        </w:rPr>
        <w:t>。</w:t>
      </w:r>
    </w:p>
    <w:p>
      <w:pPr>
        <w:overflowPunct w:val="0"/>
        <w:adjustRightInd w:val="0"/>
        <w:snapToGrid w:val="0"/>
        <w:spacing w:beforeLines="0" w:afterLines="0" w:line="336" w:lineRule="auto"/>
        <w:ind w:firstLine="640" w:firstLineChars="200"/>
        <w:rPr>
          <w:rFonts w:hint="eastAsia" w:ascii="仿宋_GB2312" w:hAnsi="仿宋_GB2312" w:eastAsia="仿宋_GB2312" w:cs="仿宋"/>
          <w:kern w:val="0"/>
          <w:sz w:val="32"/>
          <w:szCs w:val="30"/>
        </w:rPr>
      </w:pPr>
      <w:r>
        <w:rPr>
          <w:rFonts w:hint="eastAsia" w:ascii="仿宋_GB2312" w:hAnsi="仿宋_GB2312" w:eastAsia="仿宋_GB2312" w:cs="仿宋"/>
          <w:kern w:val="0"/>
          <w:sz w:val="32"/>
          <w:szCs w:val="30"/>
        </w:rPr>
        <w:t>如果对本监督管理措施不服，可以在收到本决定书之日起60日内向中国证券监督管理委员会提出行政复议申请；也可以在收到本决定书之日起6个月内向有管辖权的人民法院提起诉讼。复议与诉讼期间，上述监督管理措施不停止执行。</w:t>
      </w:r>
    </w:p>
    <w:p>
      <w:pPr>
        <w:widowControl w:val="0"/>
        <w:overflowPunct w:val="0"/>
        <w:snapToGrid w:val="0"/>
        <w:spacing w:after="0" w:line="360" w:lineRule="auto"/>
        <w:jc w:val="both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ascii="宋体" w:hAnsi="宋体" w:eastAsia="宋体" w:cs="宋体"/>
          <w:color w:val="000000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ascii="宋体" w:hAnsi="宋体" w:eastAsia="宋体" w:cs="宋体"/>
          <w:color w:val="000000"/>
          <w:kern w:val="2"/>
          <w:sz w:val="28"/>
          <w:szCs w:val="28"/>
          <w:lang w:eastAsia="zh-CN" w:bidi="ar-SA"/>
        </w:rPr>
      </w:pPr>
    </w:p>
    <w:p>
      <w:pPr>
        <w:widowControl w:val="0"/>
        <w:overflowPunct w:val="0"/>
        <w:adjustRightInd w:val="0"/>
        <w:snapToGrid w:val="0"/>
        <w:spacing w:after="0"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kern w:val="2"/>
          <w:sz w:val="32"/>
          <w:szCs w:val="24"/>
          <w:lang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2"/>
          <w:szCs w:val="24"/>
          <w:lang w:eastAsia="zh-CN" w:bidi="ar-SA"/>
        </w:rPr>
        <w:t>广东证监局</w:t>
      </w:r>
    </w:p>
    <w:p>
      <w:pPr>
        <w:widowControl w:val="0"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overflowPunct w:val="0"/>
        <w:adjustRightInd w:val="0"/>
        <w:snapToGrid w:val="0"/>
        <w:spacing w:beforeLines="0" w:after="0" w:afterLines="0" w:line="360" w:lineRule="auto"/>
        <w:jc w:val="center"/>
        <w:outlineLvl w:val="9"/>
        <w:rPr>
          <w:rFonts w:ascii="Calibri" w:hAnsi="Calibri" w:eastAsia="宋体" w:cs="Times New Roman"/>
          <w:kern w:val="2"/>
          <w:sz w:val="21"/>
          <w:szCs w:val="24"/>
          <w:lang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eastAsia="zh-CN" w:bidi="ar-SA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>02</w:t>
      </w:r>
      <w:r>
        <w:rPr>
          <w:rFonts w:hint="default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eastAsia="zh-CN" w:bidi="ar-SA"/>
        </w:rPr>
        <w:t>年</w:t>
      </w:r>
      <w:r>
        <w:rPr>
          <w:rFonts w:hint="default" w:ascii="仿宋_GB2312" w:hAnsi="Calibri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eastAsia="zh-CN" w:bidi="ar-SA"/>
        </w:rPr>
        <w:t>月</w:t>
      </w:r>
      <w:r>
        <w:rPr>
          <w:rFonts w:hint="default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eastAsia="zh-CN" w:bidi="ar-SA"/>
        </w:rPr>
        <w:t>日</w:t>
      </w: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right="28"/>
        <w:jc w:val="left"/>
        <w:rPr>
          <w:rFonts w:ascii="黑体" w:hAnsi="Calibri" w:eastAsia="黑体" w:cs="Times New Roman"/>
          <w:spacing w:val="8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296" w:firstLineChars="100"/>
        <w:textAlignment w:val="auto"/>
        <w:rPr>
          <w:rFonts w:hint="eastAsia" w:ascii="仿宋_GB2312" w:hAnsi="Calibri" w:eastAsia="仿宋_GB2312" w:cs="Times New Roman"/>
          <w:spacing w:val="8"/>
          <w:sz w:val="28"/>
          <w:szCs w:val="24"/>
        </w:rPr>
      </w:pP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抄送：证监会债券司、法治司；</w:t>
      </w:r>
    </w:p>
    <w:p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1184" w:firstLineChars="400"/>
        <w:textAlignment w:val="auto"/>
        <w:rPr>
          <w:rFonts w:hint="eastAsia" w:ascii="仿宋_GB2312" w:hAnsi="Calibri" w:eastAsia="仿宋_GB2312" w:cs="Times New Roman"/>
          <w:spacing w:val="8"/>
          <w:sz w:val="28"/>
          <w:szCs w:val="24"/>
        </w:rPr>
      </w:pP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上海证券交易所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  <w:lang w:eastAsia="zh-CN"/>
        </w:rPr>
        <w:t>，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深圳证券交易所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  <w:lang w:eastAsia="zh-CN"/>
        </w:rPr>
        <w:t>，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北京证券交易所；</w:t>
      </w:r>
    </w:p>
    <w:p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1184" w:firstLineChars="400"/>
        <w:textAlignment w:val="auto"/>
        <w:rPr>
          <w:rFonts w:hint="eastAsia" w:ascii="仿宋_GB2312" w:hAnsi="Calibri" w:eastAsia="仿宋_GB2312" w:cs="Times New Roman"/>
          <w:spacing w:val="8"/>
          <w:sz w:val="28"/>
          <w:szCs w:val="24"/>
          <w:lang w:val="en-US" w:eastAsia="zh-CN"/>
        </w:rPr>
      </w:pPr>
      <w:r>
        <w:rPr>
          <w:rFonts w:hint="eastAsia" w:ascii="仿宋_GB2312" w:hAnsi="Calibri" w:eastAsia="仿宋_GB2312" w:cs="Times New Roman"/>
          <w:spacing w:val="8"/>
          <w:sz w:val="28"/>
          <w:szCs w:val="24"/>
          <w:lang w:eastAsia="zh-CN"/>
        </w:rPr>
        <w:t>中国证券业协会，招商证券股份有限公司。</w:t>
      </w:r>
    </w:p>
    <w:p>
      <w:pPr>
        <w:pBdr>
          <w:top w:val="single" w:color="auto" w:sz="4" w:space="6"/>
        </w:pBdr>
        <w:adjustRightInd w:val="0"/>
        <w:snapToGrid w:val="0"/>
        <w:spacing w:after="109" w:afterLines="35"/>
        <w:ind w:firstLine="318"/>
        <w:jc w:val="left"/>
        <w:rPr>
          <w:rFonts w:hint="eastAsia" w:ascii="仿宋_GB2312" w:hAnsi="Calibri" w:eastAsia="仿宋_GB2312" w:cs="Times New Roman"/>
          <w:spacing w:val="8"/>
          <w:sz w:val="28"/>
          <w:szCs w:val="24"/>
        </w:rPr>
      </w:pP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 xml:space="preserve">广东证监局办公室             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/>
        </w:rPr>
        <w:t xml:space="preserve">     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 xml:space="preserve"> 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" w:eastAsia="zh-CN"/>
        </w:rPr>
        <w:t>202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年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 w:eastAsia="zh-CN"/>
        </w:rPr>
        <w:t>10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月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/>
        </w:rPr>
        <w:t>8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日印发</w:t>
      </w:r>
    </w:p>
    <w:bookmarkEnd w:id="2"/>
    <w:p>
      <w:pPr>
        <w:pBdr>
          <w:top w:val="single" w:color="auto" w:sz="8" w:space="7"/>
        </w:pBdr>
        <w:overflowPunct w:val="0"/>
        <w:adjustRightInd w:val="0"/>
        <w:snapToGrid w:val="0"/>
        <w:spacing w:beforeLines="0" w:after="0" w:afterLines="0"/>
        <w:ind w:firstLine="0"/>
        <w:jc w:val="left"/>
        <w:rPr>
          <w:rFonts w:hint="eastAsia" w:ascii="仿宋_GB2312" w:hAnsi="Calibri" w:eastAsia="仿宋_GB2312" w:cs="Times New Roman"/>
          <w:spacing w:val="8"/>
          <w:sz w:val="2"/>
          <w:szCs w:val="2"/>
        </w:rPr>
      </w:pPr>
    </w:p>
    <w:p>
      <w:pPr>
        <w:pBdr>
          <w:top w:val="single" w:color="auto" w:sz="8" w:space="7"/>
        </w:pBdr>
        <w:overflowPunct w:val="0"/>
        <w:adjustRightInd w:val="0"/>
        <w:snapToGrid w:val="0"/>
        <w:spacing w:beforeLines="0" w:after="0" w:afterLines="0"/>
        <w:ind w:firstLine="0"/>
        <w:jc w:val="left"/>
        <w:rPr>
          <w:rFonts w:hint="eastAsia" w:ascii="仿宋_GB2312" w:hAnsi="Calibri" w:eastAsia="仿宋_GB2312" w:cs="Times New Roman"/>
          <w:spacing w:val="8"/>
          <w:sz w:val="2"/>
          <w:szCs w:val="2"/>
        </w:rPr>
      </w:pPr>
    </w:p>
    <w:sectPr>
      <w:footerReference r:id="rId3" w:type="default"/>
      <w:pgSz w:w="11906" w:h="16838"/>
      <w:pgMar w:top="2097" w:right="1474" w:bottom="1984" w:left="1587" w:header="851" w:footer="1587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0" w:lineRule="auto"/>
      <w:ind w:right="360" w:firstLine="360" w:firstLineChars="0"/>
      <w:rPr>
        <w:rFonts w:hint="eastAsia" w:ascii="宋体" w:hAnsi="宋体" w:eastAsia="宋体" w:cs="宋体"/>
        <w:sz w:val="28"/>
        <w:lang w:val="en-US"/>
      </w:rPr>
    </w:pPr>
    <w:r>
      <w:rPr>
        <w:rFonts w:hint="eastAsia" w:ascii="宋体" w:hAnsi="宋体" w:eastAsia="宋体" w:cs="宋体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4445" t="4445" r="14605" b="1460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9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D6A6F"/>
    <w:rsid w:val="07F55B5A"/>
    <w:rsid w:val="4CFF644F"/>
    <w:rsid w:val="73FD6A6F"/>
    <w:rsid w:val="799BF179"/>
    <w:rsid w:val="7C7B4C0C"/>
    <w:rsid w:val="BFFFCDC6"/>
    <w:rsid w:val="DD4FC5E5"/>
    <w:rsid w:val="DDFBE052"/>
    <w:rsid w:val="DFF3DB0A"/>
    <w:rsid w:val="EBFF1DB2"/>
    <w:rsid w:val="EE3C79BD"/>
    <w:rsid w:val="EFDF8D22"/>
    <w:rsid w:val="EFEF4E69"/>
    <w:rsid w:val="FE5F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character" w:styleId="6">
    <w:name w:val="page number"/>
    <w:qFormat/>
    <w:uiPriority w:val="0"/>
  </w:style>
  <w:style w:type="paragraph" w:customStyle="1" w:styleId="7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customStyle="1" w:styleId="8">
    <w:name w:val="p0"/>
    <w:qFormat/>
    <w:uiPriority w:val="0"/>
    <w:pPr>
      <w:widowControl/>
      <w:jc w:val="both"/>
    </w:pPr>
    <w:rPr>
      <w:rFonts w:hint="eastAsia"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2026-09-12T22:03:00Z</dcterms:created>
  <dc:creator>贺家丰</dc:creator>
  <cp:lastModifiedBy>贺家丰</cp:lastModifiedBy>
  <dcterms:modified xsi:type="dcterms:W3CDTF">2026-10-10T15:52:15Z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C54AF582731C8D194148A26ABEF6DAB1</vt:lpwstr>
  </property>
</Properties>
</file>