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1D817">
      <w:pPr>
        <w:tabs>
          <w:tab w:val="left" w:pos="420"/>
        </w:tabs>
        <w:jc w:val="center"/>
        <w:rPr>
          <w:rFonts w:hint="eastAsia" w:ascii="方正小标宋简体" w:hAnsi="方正小标宋简体" w:eastAsia="方正小标宋简体" w:cs="Times New Roman"/>
          <w:b/>
          <w:color w:val="FF0000"/>
          <w:w w:val="95"/>
          <w:kern w:val="0"/>
          <w:sz w:val="44"/>
          <w:szCs w:val="116"/>
        </w:rPr>
      </w:pPr>
      <w:bookmarkStart w:id="0" w:name="_Hlk141567855"/>
      <w:bookmarkEnd w:id="0"/>
      <w:bookmarkStart w:id="1" w:name="WH"/>
      <w:bookmarkEnd w:id="1"/>
      <w:r>
        <w:rPr>
          <w:rFonts w:hint="eastAsia" w:ascii="方正小标宋简体" w:hAnsi="方正小标宋简体" w:eastAsia="方正小标宋简体" w:cs="黑体"/>
          <w:b/>
          <w:color w:val="FF0000"/>
          <w:w w:val="95"/>
          <w:sz w:val="44"/>
          <w:szCs w:val="72"/>
        </w:rPr>
        <w:t>中国证券监督管理委员会广东监管局</w:t>
      </w:r>
    </w:p>
    <w:p w14:paraId="30DB8C01">
      <w:pPr>
        <w:jc w:val="center"/>
        <w:rPr>
          <w:rFonts w:hint="eastAsia" w:ascii="方正小标宋简体" w:hAnsi="方正小标宋简体" w:eastAsia="方正小标宋简体" w:cs="Times New Roman"/>
          <w:snapToGrid w:val="0"/>
          <w:spacing w:val="85"/>
          <w:w w:val="90"/>
          <w:sz w:val="72"/>
          <w:szCs w:val="72"/>
        </w:rPr>
      </w:pPr>
      <w:r>
        <w:rPr>
          <w:rFonts w:hint="eastAsia" w:ascii="方正小标宋简体" w:hAnsi="方正小标宋简体" w:eastAsia="方正小标宋简体" w:cs="Times New Roman"/>
          <w:b/>
          <w:bCs/>
          <w:snapToGrid w:val="0"/>
          <w:color w:val="FF0000"/>
          <w:spacing w:val="85"/>
          <w:w w:val="90"/>
          <w:sz w:val="72"/>
          <w:szCs w:val="72"/>
        </w:rPr>
        <w:t>行政监管措施决定书</w:t>
      </w:r>
      <w:bookmarkStart w:id="3" w:name="_GoBack"/>
      <w:bookmarkEnd w:id="3"/>
    </w:p>
    <w:p w14:paraId="702F8C2B">
      <w:pPr>
        <w:snapToGrid w:val="0"/>
        <w:jc w:val="center"/>
        <w:rPr>
          <w:rFonts w:hint="eastAsia" w:ascii="仿宋_GB2312" w:hAnsi="仿宋_GB2312" w:eastAsia="仿宋_GB2312" w:cs="宋体"/>
          <w:sz w:val="28"/>
          <w:szCs w:val="28"/>
        </w:rPr>
      </w:pPr>
    </w:p>
    <w:p w14:paraId="4B89BA20">
      <w:pPr>
        <w:suppressAutoHyphens/>
        <w:bidi w:val="0"/>
        <w:adjustRightInd/>
        <w:snapToGrid w:val="0"/>
        <w:spacing w:before="156" w:beforeLines="50" w:line="300" w:lineRule="auto"/>
        <w:ind w:firstLine="0" w:firstLineChars="0"/>
        <w:jc w:val="center"/>
        <w:rPr>
          <w:rFonts w:ascii="黑体" w:hAnsi="Times New Roman" w:eastAsia="黑体" w:cs="Times New Roman"/>
          <w:color w:val="000000"/>
          <w:spacing w:val="12"/>
          <w:sz w:val="32"/>
          <w:szCs w:val="20"/>
        </w:rPr>
      </w:pPr>
      <w:r>
        <w:rPr>
          <w:rFonts w:ascii="Times New Roman" w:hAnsi="Times New Roman" w:cs="Times New Roman"/>
          <w:szCs w:val="20"/>
        </w:rPr>
        <mc:AlternateContent>
          <mc:Choice Requires="wps">
            <w:drawing>
              <wp:anchor distT="0" distB="0" distL="114300" distR="114300" simplePos="0" relativeHeight="251659264" behindDoc="0" locked="0" layoutInCell="1" allowOverlap="1">
                <wp:simplePos x="0" y="0"/>
                <wp:positionH relativeFrom="column">
                  <wp:posOffset>80645</wp:posOffset>
                </wp:positionH>
                <wp:positionV relativeFrom="paragraph">
                  <wp:posOffset>518160</wp:posOffset>
                </wp:positionV>
                <wp:extent cx="555180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551805" cy="635"/>
                        </a:xfrm>
                        <a:prstGeom prst="line">
                          <a:avLst/>
                        </a:prstGeom>
                        <a:ln w="127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35pt;margin-top:40.8pt;height:0.05pt;width:437.15pt;z-index:251659264;mso-width-relative:page;mso-height-relative:page;" filled="f" stroked="t" coordsize="21600,21600" o:gfxdata="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JgZjz9YAAAAIAQAADwAAAAAAAAABACAAAAAiAAAAZHJzL2Rvd25yZXYu&#10;eG1sUEsBAhQAFAAAAAgAh07iQBXy5mP9AQAA9QMAAA4AAAAAAAAAAQAgAAAAJQEAAGRycy9lMm9E&#10;b2MueG1sUEsFBgAAAAAGAAYAWQEAAJQFAAAAAA==&#10;">
                <v:fill on="f" focussize="0,0"/>
                <v:stroke weight="1pt" color="#FF0000" joinstyle="round"/>
                <v:imagedata o:title=""/>
                <o:lock v:ext="edit" aspectratio="f"/>
              </v:line>
            </w:pict>
          </mc:Fallback>
        </mc:AlternateContent>
      </w:r>
      <w:r>
        <w:rPr>
          <w:rFonts w:hint="eastAsia" w:ascii="仿宋_GB2312" w:hAnsi="Times New Roman" w:eastAsia="仿宋_GB2312" w:cs="Times New Roman"/>
          <w:color w:val="000000"/>
          <w:spacing w:val="12"/>
          <w:sz w:val="28"/>
          <w:szCs w:val="20"/>
        </w:rPr>
        <w:t>〔20</w:t>
      </w:r>
      <w:r>
        <w:rPr>
          <w:rFonts w:hint="default" w:ascii="仿宋_GB2312" w:hAnsi="Times New Roman" w:eastAsia="仿宋_GB2312" w:cs="Times New Roman"/>
          <w:color w:val="000000"/>
          <w:spacing w:val="12"/>
          <w:sz w:val="28"/>
          <w:szCs w:val="20"/>
          <w:lang w:val="en-US"/>
        </w:rPr>
        <w:t>26</w:t>
      </w:r>
      <w:r>
        <w:rPr>
          <w:rFonts w:hint="eastAsia" w:ascii="仿宋_GB2312" w:hAnsi="Times New Roman" w:eastAsia="仿宋_GB2312" w:cs="Times New Roman"/>
          <w:color w:val="000000"/>
          <w:spacing w:val="12"/>
          <w:sz w:val="28"/>
          <w:szCs w:val="20"/>
        </w:rPr>
        <w:t>〕</w:t>
      </w:r>
      <w:r>
        <w:rPr>
          <w:rFonts w:hint="default" w:ascii="仿宋_GB2312" w:hAnsi="Times New Roman" w:eastAsia="仿宋_GB2312" w:cs="Times New Roman"/>
          <w:color w:val="000000"/>
          <w:spacing w:val="12"/>
          <w:sz w:val="28"/>
          <w:szCs w:val="20"/>
          <w:lang w:val="en-US"/>
        </w:rPr>
        <w:t>124</w:t>
      </w:r>
      <w:r>
        <w:rPr>
          <w:rFonts w:hint="eastAsia" w:ascii="仿宋_GB2312" w:hAnsi="Times New Roman" w:eastAsia="仿宋_GB2312" w:cs="Times New Roman"/>
          <w:color w:val="000000"/>
          <w:spacing w:val="12"/>
          <w:sz w:val="28"/>
          <w:szCs w:val="20"/>
        </w:rPr>
        <w:t>号</w:t>
      </w:r>
    </w:p>
    <w:p w14:paraId="565ABDA5">
      <w:pPr>
        <w:snapToGrid w:val="0"/>
        <w:jc w:val="center"/>
        <w:rPr>
          <w:rFonts w:hint="eastAsia" w:ascii="仿宋_GB2312" w:hAnsi="仿宋_GB2312" w:eastAsia="仿宋_GB2312" w:cs="Times New Roman"/>
          <w:sz w:val="28"/>
          <w:szCs w:val="28"/>
        </w:rPr>
      </w:pPr>
    </w:p>
    <w:p w14:paraId="7C0A4970">
      <w:pPr>
        <w:jc w:val="center"/>
        <w:rPr>
          <w:rFonts w:hint="eastAsia" w:ascii="Times New Roman" w:hAnsi="Times New Roman" w:eastAsia="宋体" w:cs="Times New Roman"/>
          <w:sz w:val="28"/>
          <w:szCs w:val="28"/>
        </w:rPr>
      </w:pPr>
    </w:p>
    <w:p w14:paraId="2C5CF0F3">
      <w:pPr>
        <w:keepNext w:val="0"/>
        <w:keepLines w:val="0"/>
        <w:widowControl/>
        <w:suppressLineNumbers w:val="0"/>
        <w:snapToGrid w:val="0"/>
        <w:spacing w:beforeLines="0" w:afterLines="0"/>
        <w:jc w:val="center"/>
        <w:rPr>
          <w:rFonts w:hint="eastAsia" w:ascii="方正小标宋简体" w:hAnsi="方正小标宋简体" w:eastAsia="方正小标宋简体" w:cs="方正小标宋简体"/>
          <w:spacing w:val="0"/>
          <w:kern w:val="0"/>
          <w:sz w:val="44"/>
          <w:szCs w:val="20"/>
          <w:highlight w:val="none"/>
          <w:lang w:val="en-US" w:eastAsia="zh-CN" w:bidi="ar-SA"/>
        </w:rPr>
      </w:pPr>
      <w:bookmarkStart w:id="2" w:name="quanwen"/>
      <w:r>
        <w:rPr>
          <w:rFonts w:hint="eastAsia" w:ascii="方正小标宋简体" w:hAnsi="方正小标宋简体" w:eastAsia="方正小标宋简体" w:cs="方正小标宋简体"/>
          <w:spacing w:val="0"/>
          <w:kern w:val="0"/>
          <w:sz w:val="44"/>
          <w:szCs w:val="20"/>
          <w:highlight w:val="none"/>
          <w:lang w:val="en-US" w:eastAsia="zh-CN" w:bidi="ar-SA"/>
        </w:rPr>
        <w:t>关于对中兴财光华会计师事务所（特殊普通</w:t>
      </w:r>
    </w:p>
    <w:p w14:paraId="6A9EBCE4">
      <w:pPr>
        <w:keepNext w:val="0"/>
        <w:keepLines w:val="0"/>
        <w:widowControl/>
        <w:suppressLineNumbers w:val="0"/>
        <w:snapToGrid w:val="0"/>
        <w:spacing w:beforeLines="0" w:afterLines="0"/>
        <w:jc w:val="center"/>
        <w:rPr>
          <w:rFonts w:hint="eastAsia" w:ascii="方正小标宋简体" w:hAnsi="方正小标宋简体" w:eastAsia="方正小标宋简体" w:cs="方正小标宋简体"/>
          <w:spacing w:val="0"/>
          <w:kern w:val="0"/>
          <w:sz w:val="44"/>
          <w:szCs w:val="20"/>
          <w:highlight w:val="none"/>
          <w:lang w:val="en-US" w:eastAsia="zh-CN" w:bidi="ar-SA"/>
        </w:rPr>
      </w:pPr>
      <w:r>
        <w:rPr>
          <w:rFonts w:hint="eastAsia" w:ascii="方正小标宋简体" w:hAnsi="方正小标宋简体" w:eastAsia="方正小标宋简体" w:cs="方正小标宋简体"/>
          <w:spacing w:val="0"/>
          <w:kern w:val="0"/>
          <w:sz w:val="44"/>
          <w:szCs w:val="20"/>
          <w:highlight w:val="none"/>
          <w:lang w:val="en-US" w:eastAsia="zh-CN" w:bidi="ar-SA"/>
        </w:rPr>
        <w:t>合伙）、彭国栋、刘希采取出具</w:t>
      </w:r>
    </w:p>
    <w:p w14:paraId="4CD6AB1F">
      <w:pPr>
        <w:keepNext w:val="0"/>
        <w:keepLines w:val="0"/>
        <w:widowControl/>
        <w:suppressLineNumbers w:val="0"/>
        <w:snapToGrid w:val="0"/>
        <w:spacing w:beforeLines="0" w:afterLines="0"/>
        <w:jc w:val="center"/>
        <w:rPr>
          <w:rFonts w:hint="eastAsia" w:ascii="方正小标宋简体" w:hAnsi="方正小标宋简体" w:eastAsia="方正小标宋简体" w:cs="方正小标宋简体"/>
          <w:spacing w:val="0"/>
          <w:kern w:val="0"/>
          <w:sz w:val="44"/>
          <w:szCs w:val="20"/>
          <w:highlight w:val="none"/>
          <w:lang w:val="en-US" w:eastAsia="zh-CN" w:bidi="ar-SA"/>
        </w:rPr>
      </w:pPr>
      <w:r>
        <w:rPr>
          <w:rFonts w:hint="eastAsia" w:ascii="方正小标宋简体" w:hAnsi="方正小标宋简体" w:eastAsia="方正小标宋简体" w:cs="方正小标宋简体"/>
          <w:spacing w:val="0"/>
          <w:kern w:val="0"/>
          <w:sz w:val="44"/>
          <w:szCs w:val="20"/>
          <w:highlight w:val="none"/>
          <w:lang w:val="en-US" w:eastAsia="zh-CN" w:bidi="ar-SA"/>
        </w:rPr>
        <w:t>警示函措施的决定</w:t>
      </w:r>
    </w:p>
    <w:p w14:paraId="44881756">
      <w:pPr>
        <w:overflowPunct w:val="0"/>
        <w:snapToGrid w:val="0"/>
        <w:spacing w:beforeLines="0" w:afterLines="0" w:line="240" w:lineRule="auto"/>
        <w:ind w:firstLine="640"/>
        <w:rPr>
          <w:rFonts w:hint="eastAsia" w:ascii="方正小标宋简体" w:hAnsi="方正小标宋简体" w:eastAsia="方正小标宋简体" w:cs="方正小标宋简体"/>
          <w:kern w:val="0"/>
          <w:sz w:val="32"/>
          <w:szCs w:val="32"/>
          <w:highlight w:val="none"/>
          <w:lang w:val="en-US" w:eastAsia="zh-CN"/>
        </w:rPr>
      </w:pPr>
    </w:p>
    <w:p w14:paraId="79B01D6D">
      <w:pPr>
        <w:overflowPunct w:val="0"/>
        <w:snapToGrid w:val="0"/>
        <w:spacing w:beforeLines="0" w:afterLines="0" w:line="336" w:lineRule="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中兴财光华会计师事务所（特殊普通合伙）、彭国栋、刘希：</w:t>
      </w:r>
    </w:p>
    <w:p w14:paraId="680C5D6C">
      <w:pPr>
        <w:overflowPunct w:val="0"/>
        <w:snapToGrid w:val="0"/>
        <w:spacing w:beforeLines="0" w:afterLines="0" w:line="336" w:lineRule="auto"/>
        <w:ind w:firstLine="640"/>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依据《中华人民共和国证券法》的有关规定，我局对中兴财光华会计师事务所（特殊普通合伙，以下简称中兴财光华所）执业的</w:t>
      </w:r>
      <w:r>
        <w:rPr>
          <w:rFonts w:hint="eastAsia" w:ascii="仿宋_GB2312" w:hAnsi="Calibri" w:eastAsia="仿宋_GB2312" w:cs="黑体"/>
          <w:spacing w:val="0"/>
          <w:kern w:val="0"/>
          <w:sz w:val="32"/>
          <w:szCs w:val="32"/>
          <w:lang w:eastAsia="zh-CN"/>
        </w:rPr>
        <w:t>广东泉为科技股份有限公司（以下简称泉为科技或公司）</w:t>
      </w:r>
      <w:r>
        <w:rPr>
          <w:rFonts w:hint="eastAsia" w:ascii="仿宋_GB2312" w:hAnsi="仿宋_GB2312" w:eastAsia="仿宋_GB2312" w:cs="仿宋_GB2312"/>
          <w:kern w:val="0"/>
          <w:sz w:val="32"/>
          <w:szCs w:val="32"/>
          <w:highlight w:val="none"/>
          <w:lang w:val="en-US" w:eastAsia="zh-CN"/>
        </w:rPr>
        <w:t>2023</w:t>
      </w:r>
      <w:r>
        <w:rPr>
          <w:rFonts w:hint="eastAsia" w:ascii="仿宋_GB2312" w:hAnsi="仿宋_GB2312" w:eastAsia="仿宋_GB2312" w:cs="Times New Roman"/>
          <w:color w:val="000000"/>
          <w:spacing w:val="0"/>
          <w:kern w:val="0"/>
          <w:sz w:val="32"/>
          <w:szCs w:val="24"/>
          <w:highlight w:val="none"/>
          <w:lang w:val="en-US" w:eastAsia="zh-CN"/>
        </w:rPr>
        <w:t>年</w:t>
      </w:r>
      <w:r>
        <w:rPr>
          <w:rFonts w:hint="eastAsia" w:ascii="仿宋_GB2312" w:hAnsi="仿宋_GB2312" w:eastAsia="仿宋_GB2312" w:cs="仿宋_GB2312"/>
          <w:kern w:val="0"/>
          <w:sz w:val="32"/>
          <w:szCs w:val="32"/>
          <w:highlight w:val="none"/>
          <w:lang w:val="en-US" w:eastAsia="zh-CN"/>
        </w:rPr>
        <w:t>、2024年年</w:t>
      </w:r>
      <w:r>
        <w:rPr>
          <w:rFonts w:hint="eastAsia" w:ascii="仿宋_GB2312" w:hAnsi="仿宋_GB2312" w:eastAsia="仿宋_GB2312" w:cs="Times New Roman"/>
          <w:color w:val="000000"/>
          <w:spacing w:val="0"/>
          <w:kern w:val="0"/>
          <w:sz w:val="32"/>
          <w:szCs w:val="24"/>
          <w:highlight w:val="none"/>
          <w:lang w:val="en-US" w:eastAsia="zh-CN"/>
        </w:rPr>
        <w:t>报</w:t>
      </w:r>
      <w:r>
        <w:rPr>
          <w:rFonts w:hint="eastAsia" w:ascii="仿宋_GB2312" w:hAnsi="仿宋_GB2312" w:eastAsia="仿宋_GB2312" w:cs="仿宋_GB2312"/>
          <w:kern w:val="0"/>
          <w:sz w:val="32"/>
          <w:szCs w:val="32"/>
          <w:highlight w:val="none"/>
          <w:lang w:val="en-US" w:eastAsia="zh-CN"/>
        </w:rPr>
        <w:t>审计工作进行检查。经查，你所审计执业存在以下问题：</w:t>
      </w:r>
    </w:p>
    <w:p w14:paraId="59DE1245">
      <w:pPr>
        <w:overflowPunct w:val="0"/>
        <w:snapToGrid w:val="0"/>
        <w:spacing w:beforeLines="0" w:afterLines="0" w:line="336" w:lineRule="auto"/>
        <w:ind w:firstLine="640"/>
        <w:rPr>
          <w:rFonts w:hint="eastAsia" w:ascii="仿宋_GB2312" w:hAnsi="仿宋_GB2312" w:eastAsia="仿宋_GB2312" w:cs="仿宋_GB2312"/>
          <w:kern w:val="0"/>
          <w:sz w:val="32"/>
          <w:szCs w:val="32"/>
          <w:highlight w:val="none"/>
          <w:lang w:val="en-US" w:eastAsia="zh-CN"/>
        </w:rPr>
      </w:pPr>
      <w:r>
        <w:rPr>
          <w:rFonts w:hint="eastAsia" w:ascii="黑体" w:hAnsi="黑体" w:eastAsia="黑体" w:cs="黑体"/>
          <w:kern w:val="0"/>
          <w:sz w:val="32"/>
          <w:szCs w:val="32"/>
          <w:highlight w:val="none"/>
          <w:lang w:val="en-US" w:eastAsia="zh-CN"/>
        </w:rPr>
        <w:t>一、2023年年报审计执业问题。</w:t>
      </w:r>
      <w:r>
        <w:rPr>
          <w:rFonts w:hint="eastAsia" w:ascii="仿宋_GB2312" w:hAnsi="仿宋_GB2312" w:eastAsia="仿宋_GB2312" w:cs="仿宋_GB2312"/>
          <w:b/>
          <w:bCs/>
          <w:kern w:val="0"/>
          <w:sz w:val="32"/>
          <w:szCs w:val="32"/>
          <w:highlight w:val="none"/>
          <w:lang w:val="en-US" w:eastAsia="zh-CN"/>
        </w:rPr>
        <w:t>一是</w:t>
      </w:r>
      <w:r>
        <w:rPr>
          <w:rFonts w:hint="eastAsia" w:ascii="仿宋_GB2312" w:hAnsi="仿宋_GB2312" w:eastAsia="仿宋_GB2312" w:cs="仿宋_GB2312"/>
          <w:kern w:val="0"/>
          <w:sz w:val="32"/>
          <w:szCs w:val="32"/>
          <w:highlight w:val="none"/>
          <w:lang w:val="en-US" w:eastAsia="zh-CN"/>
        </w:rPr>
        <w:t>内控测试不规范。对销售合同是否审批的控制点测试执行不到位。</w:t>
      </w:r>
      <w:r>
        <w:rPr>
          <w:rFonts w:hint="eastAsia" w:ascii="仿宋_GB2312" w:hAnsi="仿宋_GB2312" w:eastAsia="仿宋_GB2312" w:cs="仿宋_GB2312"/>
          <w:b/>
          <w:bCs/>
          <w:kern w:val="0"/>
          <w:sz w:val="32"/>
          <w:szCs w:val="32"/>
          <w:highlight w:val="none"/>
          <w:lang w:val="en-US" w:eastAsia="zh-CN"/>
        </w:rPr>
        <w:t>二是</w:t>
      </w:r>
      <w:r>
        <w:rPr>
          <w:rFonts w:hint="eastAsia" w:ascii="仿宋_GB2312" w:hAnsi="仿宋_GB2312" w:eastAsia="仿宋_GB2312" w:cs="仿宋_GB2312"/>
          <w:kern w:val="0"/>
          <w:sz w:val="32"/>
          <w:szCs w:val="32"/>
          <w:highlight w:val="none"/>
          <w:lang w:val="en-US" w:eastAsia="zh-CN"/>
        </w:rPr>
        <w:t>实质性程序不到位。包括未关注到公司重大建造合同签订未履行必要的内部审批程序，未关注到重大建造合同存在补充协议的情况，未关注到部分工程建造资金支出审批单未经审批，底稿未记录函证收件人异常情况，审计底稿归档不完整。</w:t>
      </w:r>
    </w:p>
    <w:p w14:paraId="400EA5FD">
      <w:pPr>
        <w:keepNext w:val="0"/>
        <w:keepLines w:val="0"/>
        <w:pageBreakBefore w:val="0"/>
        <w:widowControl w:val="0"/>
        <w:numPr>
          <w:ilvl w:val="-1"/>
          <w:numId w:val="0"/>
        </w:numPr>
        <w:kinsoku/>
        <w:wordWrap/>
        <w:overflowPunct w:val="0"/>
        <w:topLinePunct w:val="0"/>
        <w:autoSpaceDE/>
        <w:autoSpaceDN/>
        <w:bidi w:val="0"/>
        <w:adjustRightInd/>
        <w:snapToGrid w:val="0"/>
        <w:spacing w:beforeLines="0" w:afterLines="0" w:line="336" w:lineRule="auto"/>
        <w:ind w:firstLine="640" w:firstLineChars="200"/>
        <w:textAlignment w:val="auto"/>
        <w:outlineLvl w:val="9"/>
        <w:rPr>
          <w:rFonts w:hint="eastAsia" w:ascii="仿宋_GB2312" w:hAnsi="Times New Roman" w:eastAsia="仿宋_GB2312" w:cs="Times New Roman"/>
          <w:kern w:val="2"/>
          <w:sz w:val="32"/>
          <w:szCs w:val="32"/>
          <w:highlight w:val="none"/>
          <w:lang w:val="en-US" w:eastAsia="zh-CN" w:bidi="ar-SA"/>
        </w:rPr>
      </w:pPr>
      <w:r>
        <w:rPr>
          <w:rFonts w:hint="eastAsia" w:ascii="黑体" w:hAnsi="黑体" w:eastAsia="黑体" w:cs="黑体"/>
          <w:kern w:val="0"/>
          <w:sz w:val="32"/>
          <w:szCs w:val="32"/>
          <w:highlight w:val="none"/>
          <w:lang w:val="en-US" w:eastAsia="zh-CN"/>
        </w:rPr>
        <w:t>二、2024年年报审计执业问题。</w:t>
      </w:r>
      <w:r>
        <w:rPr>
          <w:rFonts w:hint="eastAsia" w:ascii="仿宋_GB2312" w:hAnsi="仿宋_GB2312" w:eastAsia="仿宋_GB2312" w:cs="仿宋_GB2312"/>
          <w:b/>
          <w:bCs/>
          <w:kern w:val="0"/>
          <w:sz w:val="32"/>
          <w:szCs w:val="32"/>
          <w:highlight w:val="none"/>
          <w:lang w:val="en-US" w:eastAsia="zh-CN"/>
        </w:rPr>
        <w:t>一是</w:t>
      </w:r>
      <w:r>
        <w:rPr>
          <w:rFonts w:hint="eastAsia" w:ascii="仿宋_GB2312" w:hAnsi="Times New Roman" w:eastAsia="仿宋_GB2312" w:cs="Times New Roman"/>
          <w:kern w:val="2"/>
          <w:sz w:val="32"/>
          <w:szCs w:val="32"/>
          <w:highlight w:val="none"/>
          <w:lang w:val="en-US" w:eastAsia="zh-CN" w:bidi="ar-SA"/>
        </w:rPr>
        <w:t>确定重要性水平不规范。底稿未评价基准金额经审计后的大额变动是否影响重要性水平。</w:t>
      </w:r>
      <w:r>
        <w:rPr>
          <w:rFonts w:hint="eastAsia" w:ascii="仿宋_GB2312" w:hAnsi="仿宋_GB2312" w:eastAsia="仿宋_GB2312" w:cs="仿宋_GB2312"/>
          <w:b/>
          <w:bCs/>
          <w:kern w:val="0"/>
          <w:sz w:val="32"/>
          <w:szCs w:val="32"/>
          <w:highlight w:val="none"/>
          <w:lang w:val="en-US" w:eastAsia="zh-CN"/>
        </w:rPr>
        <w:t>二是</w:t>
      </w:r>
      <w:r>
        <w:rPr>
          <w:rFonts w:hint="eastAsia" w:ascii="仿宋_GB2312" w:hAnsi="仿宋_GB2312" w:eastAsia="仿宋_GB2312" w:cs="仿宋_GB2312"/>
          <w:kern w:val="0"/>
          <w:sz w:val="32"/>
          <w:szCs w:val="32"/>
          <w:highlight w:val="none"/>
          <w:lang w:val="en-US" w:eastAsia="zh-CN"/>
        </w:rPr>
        <w:t>实质性程序不到位。未关注</w:t>
      </w:r>
      <w:r>
        <w:rPr>
          <w:rFonts w:hint="eastAsia" w:ascii="仿宋_GB2312" w:hAnsi="Times New Roman" w:eastAsia="仿宋_GB2312" w:cs="Times New Roman"/>
          <w:kern w:val="2"/>
          <w:sz w:val="32"/>
          <w:szCs w:val="32"/>
          <w:highlight w:val="none"/>
          <w:lang w:val="en-US" w:eastAsia="zh-CN" w:bidi="ar-SA"/>
        </w:rPr>
        <w:t>部分在建工程的验收单日期与结转固定资产的记账期间存在差异。对已剥离业务的处于闲置状态且从未计提过减值准备的部分固定资产，未关注是否存在减值迹象、公司是否应进行减值测试。应收账款预期信用损失复核程序不到位，未充分关注公司将达成和解协议的客户纳入信用风险组合计提的合理性。部分审计底稿记录错误。</w:t>
      </w:r>
      <w:r>
        <w:rPr>
          <w:rFonts w:hint="eastAsia" w:ascii="仿宋_GB2312" w:hAnsi="Times New Roman" w:eastAsia="仿宋_GB2312" w:cs="Times New Roman"/>
          <w:b/>
          <w:bCs/>
          <w:kern w:val="2"/>
          <w:sz w:val="32"/>
          <w:szCs w:val="32"/>
          <w:highlight w:val="none"/>
          <w:lang w:val="en-US" w:eastAsia="zh-CN" w:bidi="ar-SA"/>
        </w:rPr>
        <w:t>三是</w:t>
      </w:r>
      <w:r>
        <w:rPr>
          <w:rFonts w:hint="eastAsia" w:ascii="仿宋_GB2312" w:hAnsi="Times New Roman" w:eastAsia="仿宋_GB2312" w:cs="Times New Roman"/>
          <w:kern w:val="2"/>
          <w:sz w:val="32"/>
          <w:szCs w:val="32"/>
          <w:highlight w:val="none"/>
          <w:lang w:val="en-US" w:eastAsia="zh-CN" w:bidi="ar-SA"/>
        </w:rPr>
        <w:t>抽样程序不规范。个别控制点测试未满足底稿要求的最低测试样本量。费用凭证检查程序的抽样方法不适当，高估了抽样比例。</w:t>
      </w:r>
    </w:p>
    <w:p w14:paraId="4760B1A8">
      <w:pPr>
        <w:overflowPunct w:val="0"/>
        <w:snapToGrid w:val="0"/>
        <w:spacing w:beforeLines="0" w:afterLines="0" w:line="336" w:lineRule="auto"/>
        <w:ind w:firstLine="640"/>
        <w:rPr>
          <w:rFonts w:hint="eastAsia" w:ascii="仿宋_GB2312" w:hAnsi="仿宋_GB2312" w:eastAsia="仿宋_GB2312" w:cs="Times New Roman"/>
          <w:color w:val="000000"/>
          <w:spacing w:val="0"/>
          <w:kern w:val="0"/>
          <w:sz w:val="32"/>
          <w:szCs w:val="24"/>
          <w:highlight w:val="none"/>
          <w:lang w:val="en-US" w:eastAsia="zh-CN"/>
        </w:rPr>
      </w:pPr>
      <w:r>
        <w:rPr>
          <w:rFonts w:hint="eastAsia" w:ascii="仿宋_GB2312" w:hAnsi="Times New Roman" w:eastAsia="仿宋_GB2312" w:cs="Times New Roman"/>
          <w:kern w:val="2"/>
          <w:sz w:val="32"/>
          <w:szCs w:val="32"/>
          <w:highlight w:val="none"/>
          <w:lang w:val="en-US" w:eastAsia="zh-CN" w:bidi="ar-SA"/>
        </w:rPr>
        <w:t>上述情形不符合《中国注册会计师审计准则第1101号——注册会计师的总体目标和审计工作的基本要求》（2022年12月）第二十八条</w:t>
      </w:r>
      <w:r>
        <w:rPr>
          <w:rFonts w:hint="eastAsia" w:ascii="仿宋_GB2312" w:hAnsi="仿宋_GB2312" w:eastAsia="仿宋_GB2312" w:cs="仿宋_GB2312"/>
          <w:kern w:val="0"/>
          <w:sz w:val="32"/>
          <w:szCs w:val="32"/>
          <w:highlight w:val="none"/>
          <w:lang w:val="en-US" w:eastAsia="zh-CN"/>
        </w:rPr>
        <w:t>，</w:t>
      </w:r>
      <w:r>
        <w:rPr>
          <w:rFonts w:hint="eastAsia" w:ascii="仿宋_GB2312" w:hAnsi="Times New Roman" w:eastAsia="仿宋_GB2312" w:cs="Times New Roman"/>
          <w:kern w:val="2"/>
          <w:sz w:val="32"/>
          <w:szCs w:val="32"/>
          <w:highlight w:val="none"/>
          <w:lang w:val="en-US" w:eastAsia="zh-CN" w:bidi="ar-SA"/>
        </w:rPr>
        <w:t>《中国注册会计师审计准则第1131号——审计工作底稿》（2022年12月）第十条，《中国注册会计师审计准则第1221号——计划和执行审计工作时的重要性》（2019年2月）第十二条</w:t>
      </w:r>
      <w:r>
        <w:rPr>
          <w:rFonts w:hint="eastAsia" w:ascii="仿宋_GB2312" w:hAnsi="仿宋_GB2312" w:eastAsia="仿宋_GB2312" w:cs="仿宋_GB2312"/>
          <w:kern w:val="0"/>
          <w:sz w:val="32"/>
          <w:szCs w:val="32"/>
          <w:highlight w:val="none"/>
          <w:lang w:val="en-US" w:eastAsia="zh-CN"/>
        </w:rPr>
        <w:t>，《中国注册会计师审计准则1231号——针对评估的重大错报风险采取的应对措施》</w:t>
      </w:r>
      <w:r>
        <w:rPr>
          <w:rFonts w:hint="eastAsia" w:ascii="仿宋_GB2312" w:hAnsi="Times New Roman" w:eastAsia="仿宋_GB2312" w:cs="Times New Roman"/>
          <w:kern w:val="2"/>
          <w:sz w:val="32"/>
          <w:szCs w:val="32"/>
          <w:highlight w:val="none"/>
          <w:lang w:val="en-US" w:eastAsia="zh-CN" w:bidi="ar-SA"/>
        </w:rPr>
        <w:t>（2022年12月）</w:t>
      </w:r>
      <w:r>
        <w:rPr>
          <w:rFonts w:hint="eastAsia" w:ascii="仿宋_GB2312" w:hAnsi="仿宋_GB2312" w:eastAsia="仿宋_GB2312" w:cs="仿宋_GB2312"/>
          <w:kern w:val="0"/>
          <w:sz w:val="32"/>
          <w:szCs w:val="32"/>
          <w:highlight w:val="none"/>
          <w:lang w:val="en-US" w:eastAsia="zh-CN"/>
        </w:rPr>
        <w:t>第十条、第二十六条，</w:t>
      </w:r>
      <w:r>
        <w:rPr>
          <w:rFonts w:hint="eastAsia" w:ascii="仿宋_GB2312" w:hAnsi="Times New Roman" w:eastAsia="仿宋_GB2312" w:cs="Times New Roman"/>
          <w:kern w:val="2"/>
          <w:sz w:val="32"/>
          <w:szCs w:val="32"/>
          <w:highlight w:val="none"/>
          <w:lang w:val="en-US" w:eastAsia="zh-CN" w:bidi="ar-SA"/>
        </w:rPr>
        <w:t>《中国注册会计师审计准则第1301号——审计证据》（2022年12月）第十条</w:t>
      </w:r>
      <w:r>
        <w:rPr>
          <w:rFonts w:hint="eastAsia" w:ascii="仿宋_GB2312" w:hAnsi="仿宋_GB2312" w:eastAsia="仿宋_GB2312" w:cs="仿宋_GB2312"/>
          <w:kern w:val="0"/>
          <w:sz w:val="32"/>
          <w:szCs w:val="32"/>
          <w:highlight w:val="none"/>
          <w:lang w:val="en-US" w:eastAsia="zh-CN"/>
        </w:rPr>
        <w:t>、第十五条</w:t>
      </w:r>
      <w:r>
        <w:rPr>
          <w:rFonts w:hint="eastAsia" w:ascii="仿宋_GB2312" w:hAnsi="Times New Roman" w:eastAsia="仿宋_GB2312" w:cs="Times New Roman"/>
          <w:kern w:val="2"/>
          <w:sz w:val="32"/>
          <w:szCs w:val="32"/>
          <w:highlight w:val="none"/>
          <w:lang w:val="en-US" w:eastAsia="zh-CN" w:bidi="ar-SA"/>
        </w:rPr>
        <w:t>，《中国注册会计师审计准则第1314号——审计抽样》（2010年11月）第十六条、第十八条等的要求</w:t>
      </w:r>
      <w:r>
        <w:rPr>
          <w:rFonts w:hint="eastAsia" w:ascii="仿宋_GB2312" w:hAnsi="仿宋_GB2312" w:eastAsia="仿宋_GB2312" w:cs="仿宋_GB2312"/>
          <w:kern w:val="0"/>
          <w:sz w:val="32"/>
          <w:szCs w:val="32"/>
          <w:highlight w:val="none"/>
          <w:lang w:val="en-US" w:eastAsia="zh-CN"/>
        </w:rPr>
        <w:t>，违反了《上市公司信息披露管理办法》（证监会令第182号，下同）第四十六条的规定。彭国栋、刘希作为泉为科技2023年、2024年年报审计项目的签字注册会</w:t>
      </w:r>
      <w:r>
        <w:rPr>
          <w:rFonts w:hint="eastAsia" w:ascii="仿宋_GB2312" w:hAnsi="仿宋_GB2312" w:eastAsia="仿宋_GB2312" w:cs="Times New Roman"/>
          <w:color w:val="000000"/>
          <w:spacing w:val="0"/>
          <w:kern w:val="0"/>
          <w:sz w:val="32"/>
          <w:szCs w:val="24"/>
          <w:highlight w:val="none"/>
          <w:lang w:val="en-US" w:eastAsia="zh-CN"/>
        </w:rPr>
        <w:t>计师，对相关违规行为负有主要责任。</w:t>
      </w:r>
    </w:p>
    <w:p w14:paraId="22BBF2E3">
      <w:pPr>
        <w:overflowPunct w:val="0"/>
        <w:adjustRightInd w:val="0"/>
        <w:snapToGrid w:val="0"/>
        <w:spacing w:beforeLines="0" w:afterLines="0" w:line="336" w:lineRule="auto"/>
        <w:ind w:firstLine="640" w:firstLineChars="200"/>
        <w:rPr>
          <w:rFonts w:hint="default" w:ascii="仿宋_GB2312" w:hAnsi="仿宋_GB2312" w:eastAsia="仿宋_GB2312" w:cs="仿宋_GB2312"/>
          <w:kern w:val="0"/>
          <w:sz w:val="32"/>
          <w:szCs w:val="32"/>
          <w:highlight w:val="none"/>
          <w:lang w:val="en-US" w:eastAsia="zh-CN"/>
        </w:rPr>
      </w:pPr>
      <w:r>
        <w:rPr>
          <w:rFonts w:hint="eastAsia" w:ascii="仿宋_GB2312" w:hAnsi="仿宋_GB2312" w:eastAsia="仿宋_GB2312" w:cs="Times New Roman"/>
          <w:color w:val="000000"/>
          <w:spacing w:val="0"/>
          <w:kern w:val="0"/>
          <w:sz w:val="32"/>
          <w:szCs w:val="24"/>
          <w:highlight w:val="none"/>
          <w:lang w:eastAsia="zh-CN"/>
        </w:rPr>
        <w:t>根据《上市公司信息披露管理办法》第五十五条的规定，我局决定对中兴财光华所、</w:t>
      </w:r>
      <w:r>
        <w:rPr>
          <w:rFonts w:hint="eastAsia" w:ascii="仿宋_GB2312" w:hAnsi="仿宋_GB2312" w:eastAsia="仿宋_GB2312" w:cs="仿宋_GB2312"/>
          <w:kern w:val="0"/>
          <w:sz w:val="32"/>
          <w:szCs w:val="32"/>
          <w:highlight w:val="none"/>
          <w:lang w:val="en-US" w:eastAsia="zh-CN"/>
        </w:rPr>
        <w:t>彭国栋、刘希</w:t>
      </w:r>
      <w:r>
        <w:rPr>
          <w:rFonts w:hint="eastAsia" w:ascii="仿宋_GB2312" w:hAnsi="仿宋_GB2312" w:eastAsia="仿宋_GB2312" w:cs="Times New Roman"/>
          <w:color w:val="000000"/>
          <w:spacing w:val="0"/>
          <w:kern w:val="0"/>
          <w:sz w:val="32"/>
          <w:szCs w:val="24"/>
          <w:highlight w:val="none"/>
          <w:lang w:eastAsia="zh-CN"/>
        </w:rPr>
        <w:t>采取出具警示函的行政监管措施。</w:t>
      </w:r>
      <w:r>
        <w:rPr>
          <w:rFonts w:hint="eastAsia" w:ascii="仿宋_GB2312" w:hAnsi="仿宋_GB2312" w:eastAsia="仿宋_GB2312" w:cs="仿宋_GB2312"/>
          <w:kern w:val="0"/>
          <w:sz w:val="32"/>
          <w:szCs w:val="32"/>
          <w:highlight w:val="none"/>
        </w:rPr>
        <w:t>你们</w:t>
      </w:r>
      <w:r>
        <w:rPr>
          <w:rFonts w:hint="eastAsia" w:ascii="仿宋_GB2312" w:hAnsi="仿宋_GB2312" w:eastAsia="仿宋_GB2312" w:cs="Times New Roman"/>
          <w:kern w:val="0"/>
          <w:sz w:val="32"/>
          <w:szCs w:val="24"/>
          <w:highlight w:val="none"/>
        </w:rPr>
        <w:t>应认真吸取教训，</w:t>
      </w:r>
      <w:r>
        <w:rPr>
          <w:rFonts w:hint="eastAsia" w:ascii="仿宋_GB2312" w:hAnsi="仿宋_GB2312" w:eastAsia="仿宋_GB2312" w:cs="Times New Roman"/>
          <w:sz w:val="32"/>
          <w:szCs w:val="20"/>
          <w:lang w:val="en-US" w:eastAsia="zh-CN"/>
        </w:rPr>
        <w:t>严格遵守相关法律法规和中国注册会计师审计准则的规定，切实提高审计执业质量</w:t>
      </w:r>
      <w:r>
        <w:rPr>
          <w:rFonts w:hint="eastAsia" w:ascii="仿宋_GB2312" w:hAnsi="仿宋_GB2312" w:eastAsia="仿宋_GB2312" w:cs="Times New Roman"/>
          <w:kern w:val="0"/>
          <w:sz w:val="32"/>
          <w:szCs w:val="24"/>
          <w:highlight w:val="none"/>
          <w:lang w:val="en-US" w:eastAsia="zh-CN"/>
        </w:rPr>
        <w:t>。</w:t>
      </w:r>
    </w:p>
    <w:p w14:paraId="30C3C2EB">
      <w:pPr>
        <w:overflowPunct w:val="0"/>
        <w:adjustRightInd w:val="0"/>
        <w:snapToGrid w:val="0"/>
        <w:spacing w:beforeLines="0" w:afterLines="0" w:line="336" w:lineRule="auto"/>
        <w:ind w:firstLine="640" w:firstLineChars="200"/>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如果对本监督管理措施不服，可以在收到本决定书之日起60日内向中国证券监督管理委员会提出行政复议申请；也可以在收到本决定书之日起6个月内向有管辖权的人民法院提起诉讼。复议与诉讼期间，上述监督管理措施不停止执行。</w:t>
      </w:r>
    </w:p>
    <w:p w14:paraId="6F1D3154">
      <w:pPr>
        <w:widowControl w:val="0"/>
        <w:overflowPunct w:val="0"/>
        <w:snapToGrid w:val="0"/>
        <w:spacing w:after="0" w:line="360" w:lineRule="auto"/>
        <w:jc w:val="both"/>
        <w:rPr>
          <w:rFonts w:hint="eastAsia" w:ascii="仿宋_GB2312" w:hAnsi="仿宋_GB2312" w:eastAsia="仿宋_GB2312" w:cs="仿宋_GB2312"/>
          <w:color w:val="auto"/>
          <w:kern w:val="2"/>
          <w:sz w:val="32"/>
          <w:szCs w:val="32"/>
          <w:lang w:val="en-US" w:eastAsia="zh-CN" w:bidi="ar-SA"/>
        </w:rPr>
      </w:pPr>
    </w:p>
    <w:p w14:paraId="736EB7FC">
      <w:pPr>
        <w:keepNext w:val="0"/>
        <w:keepLines w:val="0"/>
        <w:pageBreakBefore w:val="0"/>
        <w:widowControl w:val="0"/>
        <w:kinsoku/>
        <w:wordWrap/>
        <w:overflowPunct w:val="0"/>
        <w:topLinePunct w:val="0"/>
        <w:autoSpaceDE/>
        <w:autoSpaceDN/>
        <w:bidi w:val="0"/>
        <w:adjustRightInd w:val="0"/>
        <w:snapToGrid w:val="0"/>
        <w:spacing w:after="0" w:line="360" w:lineRule="auto"/>
        <w:jc w:val="left"/>
        <w:textAlignment w:val="auto"/>
        <w:rPr>
          <w:rFonts w:ascii="宋体" w:hAnsi="宋体" w:eastAsia="宋体" w:cs="宋体"/>
          <w:color w:val="000000"/>
          <w:kern w:val="2"/>
          <w:sz w:val="32"/>
          <w:szCs w:val="32"/>
          <w:lang w:eastAsia="zh-CN" w:bidi="ar-SA"/>
        </w:rPr>
      </w:pPr>
    </w:p>
    <w:p w14:paraId="7DA19B89">
      <w:pPr>
        <w:keepNext w:val="0"/>
        <w:keepLines w:val="0"/>
        <w:pageBreakBefore w:val="0"/>
        <w:widowControl w:val="0"/>
        <w:kinsoku/>
        <w:wordWrap/>
        <w:overflowPunct w:val="0"/>
        <w:topLinePunct w:val="0"/>
        <w:autoSpaceDE/>
        <w:autoSpaceDN/>
        <w:bidi w:val="0"/>
        <w:adjustRightInd w:val="0"/>
        <w:snapToGrid w:val="0"/>
        <w:spacing w:after="0" w:line="360" w:lineRule="auto"/>
        <w:jc w:val="left"/>
        <w:textAlignment w:val="auto"/>
        <w:rPr>
          <w:rFonts w:ascii="宋体" w:hAnsi="宋体" w:eastAsia="宋体" w:cs="宋体"/>
          <w:color w:val="000000"/>
          <w:kern w:val="2"/>
          <w:sz w:val="32"/>
          <w:szCs w:val="32"/>
          <w:lang w:eastAsia="zh-CN" w:bidi="ar-SA"/>
        </w:rPr>
      </w:pPr>
    </w:p>
    <w:p w14:paraId="721B283E">
      <w:pPr>
        <w:widowControl w:val="0"/>
        <w:overflowPunct w:val="0"/>
        <w:adjustRightInd w:val="0"/>
        <w:snapToGrid w:val="0"/>
        <w:spacing w:after="0" w:line="360" w:lineRule="auto"/>
        <w:ind w:right="1705"/>
        <w:jc w:val="right"/>
        <w:rPr>
          <w:rFonts w:hint="eastAsia" w:ascii="仿宋_GB2312" w:hAnsi="Times New Roman" w:eastAsia="仿宋_GB2312" w:cs="Times New Roman"/>
          <w:color w:val="000000"/>
          <w:kern w:val="2"/>
          <w:sz w:val="32"/>
          <w:szCs w:val="24"/>
          <w:lang w:eastAsia="zh-CN" w:bidi="ar-SA"/>
        </w:rPr>
      </w:pPr>
      <w:r>
        <w:rPr>
          <w:rFonts w:hint="eastAsia" w:ascii="仿宋_GB2312" w:hAnsi="Times New Roman" w:eastAsia="仿宋_GB2312" w:cs="Times New Roman"/>
          <w:color w:val="000000"/>
          <w:kern w:val="2"/>
          <w:sz w:val="32"/>
          <w:szCs w:val="24"/>
          <w:lang w:eastAsia="zh-CN" w:bidi="ar-SA"/>
        </w:rPr>
        <w:t>广东证监局</w:t>
      </w:r>
    </w:p>
    <w:p w14:paraId="4CF366AA">
      <w:pPr>
        <w:widowControl w:val="0"/>
        <w:numPr>
          <w:ilvl w:val="0"/>
          <w:numId w:val="0"/>
        </w:numPr>
        <w:pBdr>
          <w:top w:val="none" w:color="auto" w:sz="0" w:space="0"/>
          <w:bottom w:val="none" w:color="auto" w:sz="0" w:space="0"/>
        </w:pBdr>
        <w:overflowPunct w:val="0"/>
        <w:adjustRightInd w:val="0"/>
        <w:snapToGrid w:val="0"/>
        <w:spacing w:beforeLines="0" w:after="0" w:afterLines="0" w:line="360" w:lineRule="auto"/>
        <w:jc w:val="center"/>
        <w:outlineLvl w:val="9"/>
        <w:rPr>
          <w:rFonts w:ascii="Calibri" w:hAnsi="Calibri" w:eastAsia="宋体" w:cs="Times New Roman"/>
          <w:kern w:val="2"/>
          <w:sz w:val="21"/>
          <w:szCs w:val="24"/>
          <w:lang w:eastAsia="zh-CN" w:bidi="ar-SA"/>
        </w:rPr>
      </w:pPr>
      <w:r>
        <w:rPr>
          <w:rFonts w:hint="eastAsia" w:ascii="仿宋_GB2312" w:hAnsi="Times New Roman" w:eastAsia="仿宋_GB2312" w:cs="Times New Roman"/>
          <w:color w:val="000000"/>
          <w:spacing w:val="10"/>
          <w:kern w:val="2"/>
          <w:sz w:val="28"/>
          <w:szCs w:val="28"/>
          <w:lang w:val="en-US" w:eastAsia="zh-CN" w:bidi="ar-SA"/>
        </w:rPr>
        <w:t xml:space="preserve">   </w:t>
      </w:r>
      <w:r>
        <w:rPr>
          <w:rFonts w:hint="eastAsia" w:ascii="仿宋_GB2312" w:hAnsi="Times New Roman" w:eastAsia="仿宋_GB2312" w:cs="Times New Roman"/>
          <w:color w:val="000000"/>
          <w:spacing w:val="10"/>
          <w:kern w:val="2"/>
          <w:sz w:val="32"/>
          <w:szCs w:val="32"/>
          <w:lang w:val="en-US" w:eastAsia="zh-CN" w:bidi="ar-SA"/>
        </w:rPr>
        <w:t xml:space="preserve">         </w:t>
      </w:r>
      <w:r>
        <w:rPr>
          <w:rFonts w:hint="default" w:ascii="仿宋_GB2312" w:hAnsi="Times New Roman" w:eastAsia="仿宋_GB2312" w:cs="Times New Roman"/>
          <w:color w:val="000000"/>
          <w:spacing w:val="10"/>
          <w:kern w:val="2"/>
          <w:sz w:val="32"/>
          <w:szCs w:val="32"/>
          <w:lang w:val="en-US" w:eastAsia="zh-CN" w:bidi="ar-SA"/>
        </w:rPr>
        <w:t xml:space="preserve">     </w:t>
      </w:r>
      <w:r>
        <w:rPr>
          <w:rFonts w:hint="eastAsia" w:ascii="仿宋_GB2312" w:hAnsi="Times New Roman" w:eastAsia="仿宋_GB2312" w:cs="Times New Roman"/>
          <w:color w:val="000000"/>
          <w:spacing w:val="10"/>
          <w:kern w:val="2"/>
          <w:sz w:val="32"/>
          <w:szCs w:val="32"/>
          <w:lang w:val="en-US" w:eastAsia="zh-CN" w:bidi="ar-SA"/>
        </w:rPr>
        <w:t xml:space="preserve">     </w:t>
      </w:r>
      <w:r>
        <w:rPr>
          <w:rFonts w:hint="eastAsia" w:ascii="仿宋_GB2312" w:hAnsi="Times New Roman" w:eastAsia="仿宋_GB2312" w:cs="Times New Roman"/>
          <w:color w:val="000000"/>
          <w:spacing w:val="10"/>
          <w:kern w:val="2"/>
          <w:sz w:val="32"/>
          <w:szCs w:val="32"/>
          <w:lang w:eastAsia="zh-CN" w:bidi="ar-SA"/>
        </w:rPr>
        <w:t>2</w:t>
      </w:r>
      <w:r>
        <w:rPr>
          <w:rFonts w:hint="eastAsia" w:ascii="仿宋_GB2312" w:hAnsi="Times New Roman" w:eastAsia="仿宋_GB2312" w:cs="Times New Roman"/>
          <w:color w:val="000000"/>
          <w:spacing w:val="10"/>
          <w:kern w:val="2"/>
          <w:sz w:val="32"/>
          <w:szCs w:val="32"/>
          <w:lang w:val="en-US" w:eastAsia="zh-CN" w:bidi="ar-SA"/>
        </w:rPr>
        <w:t>02</w:t>
      </w:r>
      <w:r>
        <w:rPr>
          <w:rFonts w:hint="default" w:ascii="仿宋_GB2312" w:hAnsi="Times New Roman" w:eastAsia="仿宋_GB2312" w:cs="Times New Roman"/>
          <w:color w:val="000000"/>
          <w:spacing w:val="10"/>
          <w:kern w:val="2"/>
          <w:sz w:val="32"/>
          <w:szCs w:val="32"/>
          <w:lang w:val="en-US" w:eastAsia="zh-CN" w:bidi="ar-SA"/>
        </w:rPr>
        <w:t>6</w:t>
      </w:r>
      <w:r>
        <w:rPr>
          <w:rFonts w:hint="eastAsia" w:ascii="仿宋_GB2312" w:hAnsi="Times New Roman" w:eastAsia="仿宋_GB2312" w:cs="Times New Roman"/>
          <w:color w:val="000000"/>
          <w:spacing w:val="10"/>
          <w:kern w:val="2"/>
          <w:sz w:val="32"/>
          <w:szCs w:val="32"/>
          <w:lang w:eastAsia="zh-CN" w:bidi="ar-SA"/>
        </w:rPr>
        <w:t>年</w:t>
      </w:r>
      <w:r>
        <w:rPr>
          <w:rFonts w:hint="default" w:ascii="仿宋_GB2312" w:hAnsi="Calibri" w:eastAsia="仿宋_GB2312" w:cs="Times New Roman"/>
          <w:color w:val="000000"/>
          <w:spacing w:val="10"/>
          <w:kern w:val="2"/>
          <w:sz w:val="32"/>
          <w:szCs w:val="32"/>
          <w:lang w:val="en-US" w:eastAsia="zh-CN" w:bidi="ar-SA"/>
        </w:rPr>
        <w:t>9</w:t>
      </w:r>
      <w:r>
        <w:rPr>
          <w:rFonts w:hint="eastAsia" w:ascii="仿宋_GB2312" w:hAnsi="Times New Roman" w:eastAsia="仿宋_GB2312" w:cs="Times New Roman"/>
          <w:color w:val="000000"/>
          <w:spacing w:val="10"/>
          <w:kern w:val="2"/>
          <w:sz w:val="32"/>
          <w:szCs w:val="32"/>
          <w:lang w:eastAsia="zh-CN" w:bidi="ar-SA"/>
        </w:rPr>
        <w:t>月</w:t>
      </w:r>
      <w:r>
        <w:rPr>
          <w:rFonts w:hint="default" w:ascii="仿宋_GB2312" w:hAnsi="Times New Roman" w:eastAsia="仿宋_GB2312" w:cs="Times New Roman"/>
          <w:color w:val="000000"/>
          <w:spacing w:val="10"/>
          <w:kern w:val="2"/>
          <w:sz w:val="32"/>
          <w:szCs w:val="32"/>
          <w:lang w:val="en-US" w:eastAsia="zh-CN" w:bidi="ar-SA"/>
        </w:rPr>
        <w:t>21</w:t>
      </w:r>
      <w:r>
        <w:rPr>
          <w:rFonts w:hint="eastAsia" w:ascii="仿宋_GB2312" w:hAnsi="Times New Roman" w:eastAsia="仿宋_GB2312" w:cs="Times New Roman"/>
          <w:color w:val="000000"/>
          <w:spacing w:val="10"/>
          <w:kern w:val="2"/>
          <w:sz w:val="32"/>
          <w:szCs w:val="32"/>
          <w:lang w:eastAsia="zh-CN" w:bidi="ar-SA"/>
        </w:rPr>
        <w:t>日</w:t>
      </w:r>
    </w:p>
    <w:p w14:paraId="64312048">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7A53458A">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693BEED2">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474F38BD">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63D71105">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000AA4EE">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08D81205">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31B70D23">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183D1234">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2D3CD6AD">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05C3A13B">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06C16F82">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6FFE00DA">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2065E401">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063622E7">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00F58E87">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71A5D7D5">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73C05102">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0DE087CB">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60017CB2">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13725118">
      <w:pPr>
        <w:keepNext w:val="0"/>
        <w:keepLines w:val="0"/>
        <w:widowControl/>
        <w:suppressLineNumbers w:val="0"/>
        <w:suppressAutoHyphens/>
        <w:bidi w:val="0"/>
        <w:snapToGrid w:val="0"/>
        <w:spacing w:line="360" w:lineRule="auto"/>
        <w:jc w:val="left"/>
        <w:rPr>
          <w:rFonts w:hint="eastAsia" w:ascii="仿宋_GB2312" w:hAnsi="仿宋_GB2312" w:eastAsia="仿宋_GB2312" w:cs="仿宋_GB2312"/>
          <w:color w:val="auto"/>
          <w:sz w:val="32"/>
          <w:szCs w:val="32"/>
          <w:lang w:val="en-US" w:eastAsia="zh-CN"/>
        </w:rPr>
      </w:pPr>
    </w:p>
    <w:p w14:paraId="191C843D">
      <w:pPr>
        <w:snapToGrid w:val="0"/>
        <w:spacing w:line="360" w:lineRule="auto"/>
        <w:ind w:right="28"/>
        <w:jc w:val="left"/>
        <w:rPr>
          <w:rFonts w:ascii="黑体" w:hAnsi="Calibri" w:eastAsia="黑体" w:cs="Times New Roman"/>
          <w:spacing w:val="8"/>
          <w:sz w:val="21"/>
          <w:szCs w:val="21"/>
        </w:rPr>
      </w:pPr>
    </w:p>
    <w:p w14:paraId="684EC3B4">
      <w:pPr>
        <w:pBdr>
          <w:top w:val="single" w:color="auto" w:sz="8" w:space="6"/>
        </w:pBdr>
        <w:adjustRightInd w:val="0"/>
        <w:snapToGrid w:val="0"/>
        <w:spacing w:after="109" w:afterLines="35"/>
        <w:ind w:firstLine="296" w:firstLineChars="100"/>
        <w:rPr>
          <w:rFonts w:hint="eastAsia" w:ascii="仿宋_GB2312" w:hAnsi="Calibri" w:eastAsia="仿宋_GB2312" w:cs="Times New Roman"/>
          <w:spacing w:val="0"/>
          <w:sz w:val="28"/>
          <w:szCs w:val="24"/>
          <w:lang w:val="en-US" w:eastAsia="zh-CN"/>
        </w:rPr>
      </w:pPr>
      <w:r>
        <w:rPr>
          <w:rFonts w:hint="eastAsia" w:ascii="仿宋_GB2312" w:hAnsi="Calibri" w:eastAsia="仿宋_GB2312" w:cs="Times New Roman"/>
          <w:spacing w:val="8"/>
          <w:sz w:val="28"/>
          <w:szCs w:val="24"/>
        </w:rPr>
        <w:t>抄送：</w:t>
      </w:r>
      <w:r>
        <w:rPr>
          <w:rFonts w:hint="eastAsia" w:ascii="仿宋_GB2312" w:hAnsi="Calibri" w:eastAsia="仿宋_GB2312" w:cs="Times New Roman"/>
          <w:spacing w:val="6"/>
          <w:sz w:val="28"/>
          <w:szCs w:val="24"/>
        </w:rPr>
        <w:t>证监会上市司、会计司、法治司</w:t>
      </w:r>
      <w:r>
        <w:rPr>
          <w:rFonts w:hint="eastAsia" w:ascii="仿宋_GB2312" w:hAnsi="Calibri" w:eastAsia="仿宋_GB2312" w:cs="Times New Roman"/>
          <w:spacing w:val="6"/>
          <w:sz w:val="28"/>
          <w:szCs w:val="24"/>
          <w:lang w:eastAsia="zh-CN"/>
        </w:rPr>
        <w:t>，深圳证券交易所</w:t>
      </w:r>
      <w:r>
        <w:rPr>
          <w:rFonts w:hint="eastAsia" w:ascii="仿宋_GB2312" w:hAnsi="Calibri" w:eastAsia="仿宋_GB2312" w:cs="Times New Roman"/>
          <w:spacing w:val="6"/>
          <w:sz w:val="28"/>
          <w:szCs w:val="24"/>
        </w:rPr>
        <w:t>。</w:t>
      </w:r>
    </w:p>
    <w:p w14:paraId="55E1FF49">
      <w:pPr>
        <w:pBdr>
          <w:top w:val="single" w:color="auto" w:sz="4" w:space="6"/>
        </w:pBdr>
        <w:adjustRightInd w:val="0"/>
        <w:snapToGrid w:val="0"/>
        <w:spacing w:after="109" w:afterLines="35"/>
        <w:ind w:firstLine="318"/>
        <w:jc w:val="left"/>
        <w:rPr>
          <w:rFonts w:ascii="仿宋_GB2312" w:hAnsi="Calibri" w:eastAsia="仿宋_GB2312" w:cs="Times New Roman"/>
          <w:spacing w:val="8"/>
          <w:sz w:val="28"/>
          <w:szCs w:val="24"/>
        </w:rPr>
      </w:pPr>
      <w:r>
        <w:rPr>
          <w:rFonts w:hint="eastAsia" w:ascii="仿宋_GB2312" w:hAnsi="Calibri" w:eastAsia="仿宋_GB2312" w:cs="Times New Roman"/>
          <w:spacing w:val="8"/>
          <w:sz w:val="28"/>
          <w:szCs w:val="24"/>
        </w:rPr>
        <w:t xml:space="preserve">广东证监局办公室        </w:t>
      </w:r>
      <w:r>
        <w:rPr>
          <w:rFonts w:hint="default" w:ascii="仿宋_GB2312" w:hAnsi="Calibri" w:eastAsia="仿宋_GB2312" w:cs="Times New Roman"/>
          <w:spacing w:val="8"/>
          <w:sz w:val="28"/>
          <w:szCs w:val="24"/>
          <w:lang w:val="en-US"/>
        </w:rPr>
        <w:t xml:space="preserve">  </w:t>
      </w:r>
      <w:r>
        <w:rPr>
          <w:rFonts w:hint="eastAsia" w:ascii="仿宋_GB2312" w:hAnsi="Calibri" w:eastAsia="仿宋_GB2312" w:cs="Times New Roman"/>
          <w:spacing w:val="8"/>
          <w:sz w:val="28"/>
          <w:szCs w:val="24"/>
        </w:rPr>
        <w:t xml:space="preserve">   </w:t>
      </w:r>
      <w:r>
        <w:rPr>
          <w:rFonts w:hint="default" w:ascii="仿宋_GB2312" w:hAnsi="Calibri" w:eastAsia="仿宋_GB2312" w:cs="Times New Roman"/>
          <w:spacing w:val="8"/>
          <w:sz w:val="28"/>
          <w:szCs w:val="24"/>
          <w:lang w:val="en-US"/>
        </w:rPr>
        <w:t xml:space="preserve"> </w:t>
      </w:r>
      <w:r>
        <w:rPr>
          <w:rFonts w:hint="eastAsia" w:ascii="仿宋_GB2312" w:hAnsi="Calibri" w:eastAsia="仿宋_GB2312" w:cs="Times New Roman"/>
          <w:spacing w:val="8"/>
          <w:sz w:val="28"/>
          <w:szCs w:val="24"/>
        </w:rPr>
        <w:t xml:space="preserve"> </w:t>
      </w:r>
      <w:r>
        <w:rPr>
          <w:rFonts w:hint="default" w:ascii="仿宋_GB2312" w:hAnsi="Calibri" w:eastAsia="仿宋_GB2312" w:cs="Times New Roman"/>
          <w:spacing w:val="8"/>
          <w:sz w:val="28"/>
          <w:szCs w:val="24"/>
          <w:lang w:val="en-US"/>
        </w:rPr>
        <w:t xml:space="preserve"> </w:t>
      </w:r>
      <w:r>
        <w:rPr>
          <w:rFonts w:hint="eastAsia" w:ascii="仿宋_GB2312" w:hAnsi="Calibri" w:eastAsia="仿宋_GB2312" w:cs="Times New Roman"/>
          <w:spacing w:val="8"/>
          <w:sz w:val="28"/>
          <w:szCs w:val="24"/>
        </w:rPr>
        <w:t xml:space="preserve">   202</w:t>
      </w:r>
      <w:r>
        <w:rPr>
          <w:rFonts w:hint="eastAsia" w:ascii="仿宋_GB2312" w:hAnsi="Calibri" w:eastAsia="仿宋_GB2312" w:cs="Times New Roman"/>
          <w:spacing w:val="8"/>
          <w:sz w:val="28"/>
          <w:szCs w:val="24"/>
          <w:lang w:val="en-US" w:eastAsia="zh-CN"/>
        </w:rPr>
        <w:t>6</w:t>
      </w:r>
      <w:r>
        <w:rPr>
          <w:rFonts w:hint="eastAsia" w:ascii="仿宋_GB2312" w:hAnsi="Calibri" w:eastAsia="仿宋_GB2312" w:cs="Times New Roman"/>
          <w:spacing w:val="8"/>
          <w:sz w:val="28"/>
          <w:szCs w:val="24"/>
        </w:rPr>
        <w:t>年</w:t>
      </w:r>
      <w:r>
        <w:rPr>
          <w:rFonts w:hint="default" w:ascii="仿宋_GB2312" w:hAnsi="Calibri" w:eastAsia="仿宋_GB2312" w:cs="Times New Roman"/>
          <w:spacing w:val="8"/>
          <w:sz w:val="28"/>
          <w:szCs w:val="24"/>
          <w:lang w:val="en-US" w:eastAsia="zh-CN"/>
        </w:rPr>
        <w:t>9</w:t>
      </w:r>
      <w:r>
        <w:rPr>
          <w:rFonts w:hint="eastAsia" w:ascii="仿宋_GB2312" w:hAnsi="Calibri" w:eastAsia="仿宋_GB2312" w:cs="Times New Roman"/>
          <w:spacing w:val="8"/>
          <w:sz w:val="28"/>
          <w:szCs w:val="24"/>
        </w:rPr>
        <w:t>月</w:t>
      </w:r>
      <w:r>
        <w:rPr>
          <w:rFonts w:hint="default" w:ascii="仿宋_GB2312" w:hAnsi="Calibri" w:eastAsia="仿宋_GB2312" w:cs="Times New Roman"/>
          <w:spacing w:val="8"/>
          <w:sz w:val="28"/>
          <w:szCs w:val="24"/>
          <w:lang w:val="en-US" w:eastAsia="zh-CN"/>
        </w:rPr>
        <w:t>21</w:t>
      </w:r>
      <w:r>
        <w:rPr>
          <w:rFonts w:hint="eastAsia" w:ascii="仿宋_GB2312" w:hAnsi="Calibri" w:eastAsia="仿宋_GB2312" w:cs="Times New Roman"/>
          <w:spacing w:val="8"/>
          <w:sz w:val="28"/>
          <w:szCs w:val="24"/>
        </w:rPr>
        <w:t>日印发</w:t>
      </w:r>
    </w:p>
    <w:bookmarkEnd w:id="2"/>
    <w:p w14:paraId="54E574CA">
      <w:pPr>
        <w:widowControl w:val="0"/>
        <w:pBdr>
          <w:top w:val="single" w:color="auto" w:sz="8" w:space="7"/>
        </w:pBdr>
        <w:overflowPunct w:val="0"/>
        <w:adjustRightInd w:val="0"/>
        <w:snapToGrid w:val="0"/>
        <w:spacing w:beforeLines="0" w:afterLines="0"/>
        <w:jc w:val="left"/>
        <w:rPr>
          <w:rFonts w:ascii="仿宋_GB2312" w:hAnsi="Calibri" w:eastAsia="仿宋_GB2312" w:cs="Times New Roman"/>
          <w:spacing w:val="8"/>
          <w:sz w:val="2"/>
          <w:szCs w:val="2"/>
        </w:rPr>
      </w:pPr>
    </w:p>
    <w:p w14:paraId="2ABDA756">
      <w:pPr>
        <w:widowControl w:val="0"/>
        <w:pBdr>
          <w:top w:val="single" w:color="auto" w:sz="8" w:space="7"/>
        </w:pBdr>
        <w:overflowPunct w:val="0"/>
        <w:adjustRightInd w:val="0"/>
        <w:snapToGrid w:val="0"/>
        <w:spacing w:beforeLines="0" w:afterLines="0"/>
        <w:jc w:val="left"/>
        <w:rPr>
          <w:rFonts w:ascii="仿宋_GB2312" w:hAnsi="Calibri" w:eastAsia="仿宋_GB2312" w:cs="Times New Roman"/>
          <w:spacing w:val="8"/>
          <w:sz w:val="2"/>
          <w:szCs w:val="2"/>
        </w:rPr>
      </w:pPr>
    </w:p>
    <w:sectPr>
      <w:footerReference r:id="rId3" w:type="default"/>
      <w:pgSz w:w="11906" w:h="16838"/>
      <w:pgMar w:top="2097" w:right="1474" w:bottom="1984" w:left="1587" w:header="851" w:footer="1587" w:gutter="0"/>
      <w:pgNumType w:fmt="numberInDash"/>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8AB9A">
    <w:pPr>
      <w:pStyle w:val="2"/>
      <w:spacing w:line="240" w:lineRule="auto"/>
      <w:rPr>
        <w:rFonts w:hint="eastAsia" w:ascii="宋体" w:hAnsi="宋体" w:eastAsia="宋体" w:cs="宋体"/>
        <w:sz w:val="28"/>
        <w:lang w:val="en-US"/>
      </w:rPr>
    </w:pPr>
    <w:r>
      <w:rPr>
        <w:rFonts w:hint="eastAsia" w:ascii="宋体" w:hAnsi="宋体" w:eastAsia="宋体" w:cs="宋体"/>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align>top</wp:align>
              </wp:positionV>
              <wp:extent cx="1828800" cy="1828800"/>
              <wp:effectExtent l="4445" t="4445" r="14605" b="14605"/>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689EA6">
                          <w:pPr>
                            <w:rPr>
                              <w:rFonts w:hint="eastAsia" w:ascii="宋体" w:hAnsi="宋体" w:eastAsia="宋体" w:cs="宋体"/>
                              <w:sz w:val="28"/>
                              <w:lang w:val="en-US"/>
                            </w:rPr>
                          </w:pPr>
                          <w:r>
                            <w:rPr>
                              <w:rFonts w:hint="eastAsia" w:ascii="宋体" w:hAnsi="宋体" w:eastAsia="宋体" w:cs="宋体"/>
                              <w:sz w:val="28"/>
                              <w:lang w:val="en-US"/>
                            </w:rPr>
                            <w:fldChar w:fldCharType="begin"/>
                          </w:r>
                          <w:r>
                            <w:rPr>
                              <w:rFonts w:hint="eastAsia" w:ascii="宋体" w:hAnsi="宋体" w:eastAsia="宋体" w:cs="宋体"/>
                              <w:sz w:val="28"/>
                              <w:lang w:val="en-US"/>
                            </w:rPr>
                            <w:instrText xml:space="preserve"> PAGE  \* MERGEFORMAT </w:instrText>
                          </w:r>
                          <w:r>
                            <w:rPr>
                              <w:rFonts w:hint="eastAsia" w:ascii="宋体" w:hAnsi="宋体" w:eastAsia="宋体" w:cs="宋体"/>
                              <w:sz w:val="28"/>
                              <w:lang w:val="en-US"/>
                            </w:rPr>
                            <w:fldChar w:fldCharType="separate"/>
                          </w:r>
                          <w:r>
                            <w:rPr>
                              <w:rFonts w:hint="eastAsia" w:ascii="宋体" w:hAnsi="宋体" w:eastAsia="宋体" w:cs="宋体"/>
                              <w:sz w:val="28"/>
                              <w:lang w:val="en-US"/>
                            </w:rPr>
                            <w:t>- 1 -</w:t>
                          </w:r>
                          <w:r>
                            <w:rPr>
                              <w:rFonts w:hint="eastAsia" w:ascii="宋体" w:hAnsi="宋体" w:eastAsia="宋体" w:cs="宋体"/>
                              <w:sz w:val="28"/>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height:144pt;width:144pt;mso-position-horizontal:outside;mso-position-horizontal-relative:margin;mso-position-vertical:top;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D689EA6">
                    <w:pPr>
                      <w:rPr>
                        <w:rFonts w:hint="eastAsia" w:ascii="宋体" w:hAnsi="宋体" w:eastAsia="宋体" w:cs="宋体"/>
                        <w:sz w:val="28"/>
                        <w:lang w:val="en-US"/>
                      </w:rPr>
                    </w:pPr>
                    <w:r>
                      <w:rPr>
                        <w:rFonts w:hint="eastAsia" w:ascii="宋体" w:hAnsi="宋体" w:eastAsia="宋体" w:cs="宋体"/>
                        <w:sz w:val="28"/>
                        <w:lang w:val="en-US"/>
                      </w:rPr>
                      <w:fldChar w:fldCharType="begin"/>
                    </w:r>
                    <w:r>
                      <w:rPr>
                        <w:rFonts w:hint="eastAsia" w:ascii="宋体" w:hAnsi="宋体" w:eastAsia="宋体" w:cs="宋体"/>
                        <w:sz w:val="28"/>
                        <w:lang w:val="en-US"/>
                      </w:rPr>
                      <w:instrText xml:space="preserve"> PAGE  \* MERGEFORMAT </w:instrText>
                    </w:r>
                    <w:r>
                      <w:rPr>
                        <w:rFonts w:hint="eastAsia" w:ascii="宋体" w:hAnsi="宋体" w:eastAsia="宋体" w:cs="宋体"/>
                        <w:sz w:val="28"/>
                        <w:lang w:val="en-US"/>
                      </w:rPr>
                      <w:fldChar w:fldCharType="separate"/>
                    </w:r>
                    <w:r>
                      <w:rPr>
                        <w:rFonts w:hint="eastAsia" w:ascii="宋体" w:hAnsi="宋体" w:eastAsia="宋体" w:cs="宋体"/>
                        <w:sz w:val="28"/>
                        <w:lang w:val="en-US"/>
                      </w:rPr>
                      <w:t>- 1 -</w:t>
                    </w:r>
                    <w:r>
                      <w:rPr>
                        <w:rFonts w:hint="eastAsia" w:ascii="宋体" w:hAnsi="宋体" w:eastAsia="宋体" w:cs="宋体"/>
                        <w:sz w:val="28"/>
                        <w:lang w:val="en-US"/>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readOnly" w:enforcement="0"/>
  <w:defaultTabStop w:val="420"/>
  <w:drawingGridHorizontalSpacing w:val="210"/>
  <w:drawingGridVerticalSpacing w:val="159"/>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zMjBmNzEwNzFlMGU3NDcyYzBjNThkNTc2MzMyNDIifQ=="/>
  </w:docVars>
  <w:rsids>
    <w:rsidRoot w:val="FBFD15F0"/>
    <w:rsid w:val="357E3512"/>
    <w:rsid w:val="357E3E74"/>
    <w:rsid w:val="37F140C4"/>
    <w:rsid w:val="3DB5339B"/>
    <w:rsid w:val="764B2574"/>
    <w:rsid w:val="76EF3C3B"/>
    <w:rsid w:val="7B5BED8A"/>
    <w:rsid w:val="7BFB3C19"/>
    <w:rsid w:val="7D9FC002"/>
    <w:rsid w:val="7DF5103C"/>
    <w:rsid w:val="7FEB3E03"/>
    <w:rsid w:val="9E7D889E"/>
    <w:rsid w:val="9F62A436"/>
    <w:rsid w:val="BBA954B1"/>
    <w:rsid w:val="BEFA2DEC"/>
    <w:rsid w:val="DFE7DFC2"/>
    <w:rsid w:val="ECBB5071"/>
    <w:rsid w:val="EFFB85D6"/>
    <w:rsid w:val="FBFD15F0"/>
    <w:rsid w:val="FFFE3597"/>
    <w:rsid w:val="FFFED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ormalIndent"/>
    <w:basedOn w:val="1"/>
    <w:next w:val="1"/>
    <w:qFormat/>
    <w:uiPriority w:val="0"/>
    <w:pPr>
      <w:spacing w:line="240" w:lineRule="auto"/>
      <w:ind w:firstLine="420"/>
      <w:jc w:val="both"/>
      <w:textAlignment w:val="baseline"/>
    </w:pPr>
    <w:rPr>
      <w:rFonts w:ascii="宋体" w:hAnsi="Calibri"/>
      <w:kern w:val="0"/>
      <w:sz w:val="21"/>
      <w:szCs w:val="24"/>
      <w:lang w:val="en-US" w:eastAsia="zh-CN" w:bidi="ar-SA"/>
    </w:rPr>
  </w:style>
  <w:style w:type="paragraph" w:customStyle="1" w:styleId="7">
    <w:name w:val="p0"/>
    <w:basedOn w:val="1"/>
    <w:qFormat/>
    <w:uiPriority w:val="0"/>
    <w:pPr>
      <w:widowControl/>
    </w:pPr>
    <w:rPr>
      <w:rFonts w:hint="eastAsi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2026-09-20T03:04:00Z</dcterms:created>
  <dc:creator>陈欣欣</dc:creator>
  <cp:lastModifiedBy>于晓雷</cp:lastModifiedBy>
  <cp:lastPrinted>2026-09-25T01:34:00Z</cp:lastPrinted>
  <dcterms:modified xsi:type="dcterms:W3CDTF">2026-09-24T17:05:17Z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E297D3584E2EA0E9AAE4A96A2EB3F9B1</vt:lpwstr>
  </property>
</Properties>
</file>