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</w:rPr>
      </w:pPr>
      <w:bookmarkStart w:id="3" w:name="_GoBack"/>
      <w:bookmarkEnd w:id="3"/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121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>
      <w:pPr>
        <w:snapToGrid w:val="0"/>
        <w:jc w:val="center"/>
        <w:rPr>
          <w:rFonts w:hint="eastAsia" w:ascii="仿宋_GB2312" w:hAnsi="仿宋_GB2312" w:eastAsia="仿宋_GB2312" w:cs="Times New Roman"/>
          <w:sz w:val="28"/>
          <w:szCs w:val="28"/>
        </w:rPr>
      </w:pPr>
      <w:r>
        <w:rPr>
          <w:rFonts w:ascii="Times New Roman" w:hAnsi="Times New Roman" w:eastAsia="宋体" w:cs="Times New Roman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DML7WS1gAAAAgBAAAPAAAAAAAAAAEAIAAAADgAAABkcnMvZG93bnJldi54bWxQ&#10;SwECFAAUAAAACACHTuJAIhmvX+MBAACqAwAADgAAAAAAAAABACAAAAA7AQAAZHJzL2Uyb0RvYy54&#10;bWxQSwUGAAAAAAYABgBZAQAAkAUAAAAA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 w:ascii="Times New Roman" w:hAnsi="Times New Roman" w:eastAsia="宋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before="0" w:beforeLines="0" w:after="0" w:afterLines="0" w:line="240" w:lineRule="auto"/>
        <w:ind w:left="0" w:leftChars="0" w:right="0" w:rightChars="0" w:firstLine="0" w:firstLineChars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2" w:name="quanwen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关于对戴锋采取监管谈话措施的决定</w:t>
      </w:r>
    </w:p>
    <w:p>
      <w:pPr>
        <w:widowControl/>
        <w:adjustRightInd/>
        <w:snapToGrid w:val="0"/>
        <w:spacing w:before="0" w:beforeLines="0" w:afterLines="0" w:line="240" w:lineRule="auto"/>
        <w:jc w:val="both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</w:pPr>
    </w:p>
    <w:p>
      <w:pPr>
        <w:widowControl w:val="0"/>
        <w:adjustRightInd/>
        <w:snapToGrid w:val="0"/>
        <w:spacing w:before="0" w:beforeLines="0" w:afterLines="0" w:line="336" w:lineRule="auto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戴锋：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pacing w:val="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经查，</w:t>
      </w:r>
      <w:r>
        <w:rPr>
          <w:rFonts w:hint="eastAsia" w:ascii="仿宋_GB2312" w:hAnsi="仿宋_GB2312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先锋期货股份有限公司广州分公司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（以下简称分公司）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落实从业人员管理整改要求不到位，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反映出分</w:t>
      </w:r>
      <w:r>
        <w:rPr>
          <w:rFonts w:hint="eastAsia" w:ascii="仿宋_GB2312" w:hAnsi="仿宋_GB2312" w:eastAsia="仿宋_GB2312" w:cs="Times New Roman"/>
          <w:b w:val="0"/>
          <w:bCs w:val="0"/>
          <w:color w:val="auto"/>
          <w:kern w:val="2"/>
          <w:sz w:val="32"/>
          <w:szCs w:val="24"/>
          <w:highlight w:val="none"/>
          <w:lang w:val="en-US" w:eastAsia="zh-CN" w:bidi="ar-SA"/>
        </w:rPr>
        <w:t>公司内部控制存在缺陷，廉洁从业管理等方面存在不足。</w:t>
      </w:r>
      <w:r>
        <w:rPr>
          <w:rFonts w:hint="eastAsia" w:ascii="仿宋_GB2312" w:hAnsi="仿宋_GB2312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违反了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" w:eastAsia="zh-CN" w:bidi="ar-SA"/>
        </w:rPr>
        <w:t>《期货公司监督管理办法》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证监会令第155号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）第五十六条的规定、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t>《证券期货经营机构及其工作人员廉洁从业规定（2022年修正）》（证监会令第202号）第八条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" w:eastAsia="zh-CN" w:bidi="ar-SA"/>
        </w:rPr>
        <w:t>的规定，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你作为分公司负责人，对上述违规行为负有管理责任，根据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" w:eastAsia="zh-CN" w:bidi="ar-SA"/>
        </w:rPr>
        <w:t>《期货公司监督管理办法》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证监会令第155号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）第一百零九条、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t>《证券期货经营机构及其工作人员廉洁从业规定（2022年修正）》（证监会令第202号）第二十一条</w:t>
      </w:r>
      <w:r>
        <w:rPr>
          <w:rFonts w:hint="eastAsia" w:ascii="仿宋_GB2312" w:hAnsi="仿宋_GB2312" w:eastAsia="仿宋_GB2312" w:cs="Times New Roman"/>
          <w:color w:val="000000"/>
          <w:kern w:val="0"/>
          <w:sz w:val="32"/>
          <w:szCs w:val="32"/>
          <w:lang w:val="en-US" w:eastAsia="zh-CN" w:bidi="ar-SA"/>
        </w:rPr>
        <w:t>的规定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我局决定对你采取监管谈话的行政监管措施。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现要求你于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2026年9月17日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携带有效身份证件到我局（广东省广州市天河区临江大道1号寺右万科中心25楼）接受监管谈话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widowControl w:val="0"/>
        <w:adjustRightInd/>
        <w:snapToGrid w:val="0"/>
        <w:spacing w:before="0" w:beforeLines="0" w:afterLines="0" w:line="336" w:lineRule="auto"/>
        <w:ind w:firstLine="672"/>
        <w:jc w:val="both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如果对本监督管理措施不服，可在收到本决定书之日起60日内向中国证券监督管理委员会提出行政复议申请，也可以在收到本决定书之日起6个月内向有管辖权的人民法院提起诉讼。复议与诉讼期间，上述监督管理措施不停止执行。</w:t>
      </w:r>
    </w:p>
    <w:p>
      <w:pPr>
        <w:widowControl w:val="0"/>
        <w:overflowPunct w:val="0"/>
        <w:snapToGrid w:val="0"/>
        <w:spacing w:after="0"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color w:val="000000"/>
          <w:kern w:val="2"/>
          <w:sz w:val="28"/>
          <w:szCs w:val="28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color w:val="000000"/>
          <w:kern w:val="2"/>
          <w:sz w:val="28"/>
          <w:szCs w:val="28"/>
          <w:lang w:eastAsia="zh-CN" w:bidi="ar-SA"/>
        </w:rPr>
      </w:pPr>
    </w:p>
    <w:p>
      <w:pPr>
        <w:widowControl w:val="0"/>
        <w:overflowPunct w:val="0"/>
        <w:adjustRightInd w:val="0"/>
        <w:snapToGrid w:val="0"/>
        <w:spacing w:after="0"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kern w:val="2"/>
          <w:sz w:val="32"/>
          <w:szCs w:val="24"/>
          <w:lang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24"/>
          <w:lang w:eastAsia="zh-CN" w:bidi="ar-SA"/>
        </w:rPr>
        <w:t>广东证监局</w:t>
      </w:r>
    </w:p>
    <w:p>
      <w:pPr>
        <w:widowControl w:val="0"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overflowPunct w:val="0"/>
        <w:adjustRightInd w:val="0"/>
        <w:snapToGrid w:val="0"/>
        <w:spacing w:beforeLines="0" w:after="0" w:afterLines="0" w:line="360" w:lineRule="auto"/>
        <w:jc w:val="center"/>
        <w:outlineLvl w:val="9"/>
        <w:rPr>
          <w:rFonts w:ascii="Calibri" w:hAnsi="Calibri" w:eastAsia="宋体" w:cs="Times New Roman"/>
          <w:kern w:val="2"/>
          <w:sz w:val="21"/>
          <w:szCs w:val="24"/>
          <w:lang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年</w:t>
      </w:r>
      <w:r>
        <w:rPr>
          <w:rFonts w:hint="default" w:ascii="仿宋_GB2312" w:hAnsi="Calibri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月</w:t>
      </w:r>
      <w:r>
        <w:rPr>
          <w:rFonts w:hint="default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val="en-US" w:eastAsia="zh-CN" w:bidi="ar-SA"/>
        </w:rPr>
        <w:t>15</w:t>
      </w:r>
      <w:r>
        <w:rPr>
          <w:rFonts w:hint="eastAsia" w:ascii="仿宋_GB2312" w:hAnsi="Times New Roman" w:eastAsia="仿宋_GB2312" w:cs="Times New Roman"/>
          <w:color w:val="000000"/>
          <w:spacing w:val="10"/>
          <w:kern w:val="2"/>
          <w:sz w:val="32"/>
          <w:szCs w:val="32"/>
          <w:lang w:eastAsia="zh-CN" w:bidi="ar-SA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sz w:val="32"/>
          <w:szCs w:val="24"/>
          <w:lang w:bidi="ar-SA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ind w:right="28"/>
        <w:jc w:val="left"/>
        <w:rPr>
          <w:rFonts w:ascii="黑体" w:hAnsi="Calibri" w:eastAsia="黑体" w:cs="Times New Roman"/>
          <w:spacing w:val="8"/>
          <w:sz w:val="21"/>
          <w:szCs w:val="21"/>
        </w:rPr>
      </w:pPr>
    </w:p>
    <w:p>
      <w:pPr>
        <w:snapToGrid w:val="0"/>
        <w:spacing w:line="360" w:lineRule="auto"/>
        <w:ind w:right="28"/>
        <w:jc w:val="left"/>
        <w:rPr>
          <w:rFonts w:ascii="黑体" w:hAnsi="Calibri" w:eastAsia="黑体" w:cs="Times New Roman"/>
          <w:spacing w:val="8"/>
          <w:sz w:val="21"/>
          <w:szCs w:val="21"/>
        </w:rPr>
      </w:pPr>
    </w:p>
    <w:p>
      <w:pPr>
        <w:pBdr>
          <w:top w:val="single" w:color="auto" w:sz="8" w:space="6"/>
        </w:pBdr>
        <w:adjustRightInd w:val="0"/>
        <w:snapToGrid w:val="0"/>
        <w:spacing w:after="109" w:afterLines="35"/>
        <w:ind w:firstLine="296" w:firstLineChars="100"/>
        <w:rPr>
          <w:rFonts w:hint="eastAsia" w:ascii="仿宋_GB2312" w:hAnsi="Calibri" w:eastAsia="仿宋_GB2312" w:cs="Times New Roman"/>
          <w:spacing w:val="0"/>
          <w:sz w:val="28"/>
          <w:szCs w:val="24"/>
          <w:lang w:val="en-US" w:eastAsia="zh-CN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抄送：</w:t>
      </w:r>
      <w:r>
        <w:rPr>
          <w:rFonts w:hint="eastAsia" w:ascii="仿宋_GB2312" w:hAnsi="Calibri" w:eastAsia="仿宋_GB2312" w:cs="Times New Roman"/>
          <w:spacing w:val="6"/>
          <w:sz w:val="28"/>
          <w:szCs w:val="24"/>
        </w:rPr>
        <w:t>证监会期货司、法治司；</w:t>
      </w:r>
      <w:r>
        <w:rPr>
          <w:rFonts w:hint="eastAsia" w:ascii="仿宋_GB2312" w:hAnsi="Calibri" w:eastAsia="仿宋_GB2312" w:cs="Times New Roman"/>
          <w:spacing w:val="6"/>
          <w:sz w:val="28"/>
          <w:szCs w:val="24"/>
          <w:lang w:eastAsia="zh-CN"/>
        </w:rPr>
        <w:t>深圳</w:t>
      </w:r>
      <w:r>
        <w:rPr>
          <w:rFonts w:hint="eastAsia" w:ascii="仿宋_GB2312" w:hAnsi="Calibri" w:eastAsia="仿宋_GB2312" w:cs="Times New Roman"/>
          <w:spacing w:val="6"/>
          <w:sz w:val="28"/>
          <w:szCs w:val="24"/>
        </w:rPr>
        <w:t>证监局</w:t>
      </w:r>
      <w:r>
        <w:rPr>
          <w:rFonts w:hint="eastAsia" w:ascii="仿宋_GB2312" w:hAnsi="Calibri" w:eastAsia="仿宋_GB2312" w:cs="Times New Roman"/>
          <w:spacing w:val="0"/>
          <w:sz w:val="28"/>
          <w:szCs w:val="24"/>
          <w:lang w:val="en-US" w:eastAsia="zh-CN"/>
        </w:rPr>
        <w:t>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ascii="仿宋_GB2312" w:hAnsi="Calibri" w:eastAsia="仿宋_GB2312" w:cs="Times New Roman"/>
          <w:spacing w:val="8"/>
          <w:sz w:val="28"/>
          <w:szCs w:val="24"/>
        </w:rPr>
      </w:pP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广东证监局办公室       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 xml:space="preserve">  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  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 xml:space="preserve"> 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 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/>
        </w:rPr>
        <w:t xml:space="preserve"> 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 xml:space="preserve">   202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年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月</w:t>
      </w:r>
      <w:r>
        <w:rPr>
          <w:rFonts w:hint="default" w:ascii="仿宋_GB2312" w:hAnsi="Calibri" w:eastAsia="仿宋_GB2312" w:cs="Times New Roman"/>
          <w:spacing w:val="8"/>
          <w:sz w:val="28"/>
          <w:szCs w:val="24"/>
          <w:lang w:val="en-US" w:eastAsia="zh-CN"/>
        </w:rPr>
        <w:t>15</w:t>
      </w:r>
      <w:r>
        <w:rPr>
          <w:rFonts w:hint="eastAsia" w:ascii="仿宋_GB2312" w:hAnsi="Calibri" w:eastAsia="仿宋_GB2312" w:cs="Times New Roman"/>
          <w:spacing w:val="8"/>
          <w:sz w:val="28"/>
          <w:szCs w:val="24"/>
        </w:rPr>
        <w:t>日印发</w:t>
      </w:r>
    </w:p>
    <w:bookmarkEnd w:id="2"/>
    <w:p>
      <w:pPr>
        <w:widowControl w:val="0"/>
        <w:pBdr>
          <w:top w:val="single" w:color="auto" w:sz="8" w:space="7"/>
        </w:pBdr>
        <w:overflowPunct w:val="0"/>
        <w:adjustRightInd w:val="0"/>
        <w:snapToGrid w:val="0"/>
        <w:spacing w:beforeLines="0" w:afterLines="0"/>
        <w:jc w:val="left"/>
        <w:rPr>
          <w:rFonts w:ascii="仿宋_GB2312" w:hAnsi="Calibri" w:eastAsia="仿宋_GB2312" w:cs="Times New Roman"/>
          <w:spacing w:val="8"/>
          <w:sz w:val="2"/>
          <w:szCs w:val="2"/>
        </w:rPr>
      </w:pPr>
    </w:p>
    <w:p>
      <w:pPr>
        <w:widowControl w:val="0"/>
        <w:pBdr>
          <w:top w:val="single" w:color="auto" w:sz="8" w:space="7"/>
        </w:pBdr>
        <w:overflowPunct w:val="0"/>
        <w:adjustRightInd w:val="0"/>
        <w:snapToGrid w:val="0"/>
        <w:spacing w:beforeLines="0" w:afterLines="0"/>
        <w:jc w:val="left"/>
        <w:rPr>
          <w:rFonts w:ascii="仿宋_GB2312" w:hAnsi="Calibri" w:eastAsia="仿宋_GB2312" w:cs="Times New Roman"/>
          <w:spacing w:val="8"/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auto"/>
      <w:rPr>
        <w:rFonts w:hint="eastAsia" w:ascii="宋体" w:hAnsi="宋体" w:eastAsia="宋体" w:cs="宋体"/>
        <w:sz w:val="28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gF26zFQIAABk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dit="readOnly" w:enforcement="0"/>
  <w:defaultTabStop w:val="420"/>
  <w:drawingGridHorizontalSpacing w:val="21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FEF1C"/>
    <w:rsid w:val="2B3DA173"/>
    <w:rsid w:val="3EBD2B0D"/>
    <w:rsid w:val="5BCFEF1C"/>
    <w:rsid w:val="6F972026"/>
    <w:rsid w:val="75F70F30"/>
    <w:rsid w:val="76FBDB02"/>
    <w:rsid w:val="771BD2E7"/>
    <w:rsid w:val="77D6DB6D"/>
    <w:rsid w:val="7FDB2F7C"/>
    <w:rsid w:val="7FF6868A"/>
    <w:rsid w:val="9B0AA5B6"/>
    <w:rsid w:val="BBAD7243"/>
    <w:rsid w:val="CFFF989D"/>
    <w:rsid w:val="F7351219"/>
    <w:rsid w:val="FDCC4373"/>
    <w:rsid w:val="FFEBE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/>
      <w:b/>
      <w:bCs/>
      <w:sz w:val="40"/>
      <w:szCs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NormalIndent"/>
    <w:basedOn w:val="1"/>
    <w:next w:val="1"/>
    <w:qFormat/>
    <w:uiPriority w:val="0"/>
    <w:pPr>
      <w:ind w:firstLine="420"/>
      <w:textAlignment w:val="baseline"/>
    </w:pPr>
    <w:rPr>
      <w:rFonts w:ascii="宋体" w:hAnsi="Calibri"/>
      <w:kern w:val="0"/>
      <w:sz w:val="21"/>
      <w:szCs w:val="24"/>
    </w:rPr>
  </w:style>
  <w:style w:type="paragraph" w:customStyle="1" w:styleId="8">
    <w:name w:val="p0"/>
    <w:basedOn w:val="1"/>
    <w:qFormat/>
    <w:uiPriority w:val="0"/>
    <w:pPr>
      <w:widowControl/>
    </w:pPr>
    <w:rPr>
      <w:rFonts w:hint="eastAsi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2026-08-28T16:35:00Z</dcterms:created>
  <dc:creator>吴畅</dc:creator>
  <cp:lastModifiedBy>于昊洋</cp:lastModifiedBy>
  <dcterms:modified xsi:type="dcterms:W3CDTF">2026-09-23T08:52:11Z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17871488B1E3919C6221B36AA9F94A76</vt:lpwstr>
  </property>
</Properties>
</file>