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jc w:val="center"/>
        <w:rPr>
          <w:rFonts w:hint="eastAsia" w:ascii="方正小标宋简体" w:hAnsi="方正小标宋简体" w:eastAsia="方正小标宋简体" w:cs="Times New Roman"/>
          <w:b/>
          <w:color w:val="FF0000"/>
          <w:w w:val="95"/>
          <w:kern w:val="0"/>
          <w:sz w:val="44"/>
          <w:szCs w:val="116"/>
        </w:rPr>
      </w:pPr>
      <w:bookmarkStart w:id="0" w:name="_Hlk141567855"/>
      <w:bookmarkEnd w:id="0"/>
      <w:bookmarkStart w:id="3" w:name="_GoBack"/>
      <w:bookmarkEnd w:id="3"/>
      <w:r>
        <w:rPr>
          <w:rFonts w:hint="eastAsia" w:ascii="方正小标宋简体" w:hAnsi="方正小标宋简体" w:eastAsia="方正小标宋简体" w:cs="黑体"/>
          <w:b/>
          <w:color w:val="FF0000"/>
          <w:w w:val="95"/>
          <w:sz w:val="44"/>
          <w:szCs w:val="72"/>
        </w:rPr>
        <w:t>中国证券监督管理委员会广东监管局</w:t>
      </w:r>
    </w:p>
    <w:p>
      <w:pPr>
        <w:jc w:val="center"/>
        <w:rPr>
          <w:rFonts w:hint="eastAsia" w:ascii="方正小标宋简体" w:hAnsi="方正小标宋简体" w:eastAsia="方正小标宋简体" w:cs="Times New Roman"/>
          <w:snapToGrid w:val="0"/>
          <w:spacing w:val="85"/>
          <w:w w:val="90"/>
          <w:sz w:val="72"/>
          <w:szCs w:val="72"/>
        </w:rPr>
      </w:pPr>
      <w:r>
        <w:rPr>
          <w:rFonts w:hint="eastAsia" w:ascii="方正小标宋简体" w:hAnsi="方正小标宋简体" w:eastAsia="方正小标宋简体" w:cs="Times New Roman"/>
          <w:b/>
          <w:bCs/>
          <w:snapToGrid w:val="0"/>
          <w:color w:val="FF0000"/>
          <w:spacing w:val="85"/>
          <w:w w:val="90"/>
          <w:sz w:val="72"/>
          <w:szCs w:val="72"/>
        </w:rPr>
        <w:t>行政监管措施决定书</w:t>
      </w:r>
    </w:p>
    <w:p>
      <w:pPr>
        <w:snapToGrid w:val="0"/>
        <w:jc w:val="center"/>
        <w:rPr>
          <w:rFonts w:hint="eastAsia" w:ascii="仿宋_GB2312" w:hAnsi="仿宋_GB2312" w:eastAsia="仿宋_GB2312" w:cs="宋体"/>
          <w:sz w:val="28"/>
          <w:szCs w:val="28"/>
        </w:rPr>
      </w:pPr>
    </w:p>
    <w:p>
      <w:pPr>
        <w:suppressAutoHyphens/>
        <w:bidi w:val="0"/>
        <w:adjustRightInd/>
        <w:snapToGrid w:val="0"/>
        <w:spacing w:before="156" w:beforeLines="50" w:line="300" w:lineRule="auto"/>
        <w:ind w:firstLine="0" w:firstLineChars="0"/>
        <w:jc w:val="center"/>
        <w:rPr>
          <w:rFonts w:ascii="黑体" w:hAnsi="Times New Roman" w:eastAsia="黑体" w:cs="Times New Roman"/>
          <w:color w:val="000000"/>
          <w:spacing w:val="12"/>
          <w:sz w:val="32"/>
          <w:szCs w:val="20"/>
        </w:rPr>
      </w:pPr>
      <w:bookmarkStart w:id="1" w:name="WH"/>
      <w:bookmarkEnd w:id="1"/>
      <w:r>
        <w:rPr>
          <w:rFonts w:hint="eastAsia" w:ascii="仿宋_GB2312" w:hAnsi="Times New Roman" w:eastAsia="仿宋_GB2312" w:cs="Times New Roman"/>
          <w:color w:val="000000"/>
          <w:spacing w:val="12"/>
          <w:sz w:val="28"/>
          <w:szCs w:val="20"/>
        </w:rPr>
        <w:t>〔20</w:t>
      </w:r>
      <w:r>
        <w:rPr>
          <w:rFonts w:hint="default" w:ascii="仿宋_GB2312" w:hAnsi="Times New Roman" w:eastAsia="仿宋_GB2312" w:cs="Times New Roman"/>
          <w:color w:val="000000"/>
          <w:spacing w:val="12"/>
          <w:sz w:val="28"/>
          <w:szCs w:val="20"/>
          <w:lang w:val="en-US"/>
        </w:rPr>
        <w:t>26</w:t>
      </w:r>
      <w:r>
        <w:rPr>
          <w:rFonts w:hint="eastAsia" w:ascii="仿宋_GB2312" w:hAnsi="Times New Roman" w:eastAsia="仿宋_GB2312" w:cs="Times New Roman"/>
          <w:color w:val="000000"/>
          <w:spacing w:val="12"/>
          <w:sz w:val="28"/>
          <w:szCs w:val="20"/>
        </w:rPr>
        <w:t>〕</w:t>
      </w:r>
      <w:r>
        <w:rPr>
          <w:rFonts w:hint="default" w:ascii="仿宋_GB2312" w:hAnsi="Times New Roman" w:eastAsia="仿宋_GB2312" w:cs="Times New Roman"/>
          <w:color w:val="000000"/>
          <w:spacing w:val="12"/>
          <w:sz w:val="28"/>
          <w:szCs w:val="20"/>
          <w:lang w:val="en-US"/>
        </w:rPr>
        <w:t>120</w:t>
      </w:r>
      <w:r>
        <w:rPr>
          <w:rFonts w:hint="eastAsia" w:ascii="仿宋_GB2312" w:hAnsi="Times New Roman" w:eastAsia="仿宋_GB2312" w:cs="Times New Roman"/>
          <w:color w:val="000000"/>
          <w:spacing w:val="12"/>
          <w:sz w:val="28"/>
          <w:szCs w:val="20"/>
        </w:rPr>
        <w:t>号</w:t>
      </w:r>
    </w:p>
    <w:p>
      <w:pPr>
        <w:snapToGrid w:val="0"/>
        <w:jc w:val="center"/>
        <w:rPr>
          <w:rFonts w:hint="eastAsia" w:ascii="仿宋_GB2312" w:hAnsi="仿宋_GB2312" w:eastAsia="仿宋_GB2312" w:cs="Times New Roman"/>
          <w:sz w:val="28"/>
          <w:szCs w:val="28"/>
        </w:rPr>
      </w:pPr>
      <w:r>
        <w:rPr>
          <w:rFonts w:ascii="Times New Roman" w:hAnsi="Times New Roman" w:cs="Times New Roman"/>
          <w:szCs w:val="20"/>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128905</wp:posOffset>
                </wp:positionV>
                <wp:extent cx="555180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551805" cy="635"/>
                        </a:xfrm>
                        <a:prstGeom prst="line">
                          <a:avLst/>
                        </a:prstGeom>
                        <a:ln w="12700"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6.35pt;margin-top:10.15pt;height:0.05pt;width:437.15pt;z-index:251659264;mso-width-relative:page;mso-height-relative:page;" filled="f" stroked="t" coordsize="21600,21600" o:gfxdata="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DML7WS1gAAAAgBAAAPAAAAAAAAAAEAIAAAADgAAABkcnMvZG93bnJldi54bWxQ&#10;SwECFAAUAAAACACHTuJAIhmvX+MBAACqAwAADgAAAAAAAAABACAAAAA7AQAAZHJzL2Uyb0RvYy54&#10;bWxQSwUGAAAAAAYABgBZAQAAkAUAAAAA&#10;">
                <v:fill on="f" focussize="0,0"/>
                <v:stroke weight="1pt" color="#FF0000" joinstyle="round"/>
                <v:imagedata o:title=""/>
                <o:lock v:ext="edit" aspectratio="f"/>
              </v:line>
            </w:pict>
          </mc:Fallback>
        </mc:AlternateContent>
      </w:r>
    </w:p>
    <w:p>
      <w:pPr>
        <w:jc w:val="center"/>
        <w:rPr>
          <w:rFonts w:hint="eastAsia" w:ascii="Times New Roman" w:hAnsi="Times New Roman" w:cs="Times New Roman"/>
          <w:sz w:val="28"/>
          <w:szCs w:val="28"/>
        </w:rPr>
      </w:pPr>
    </w:p>
    <w:p>
      <w:pPr>
        <w:overflowPunct w:val="0"/>
        <w:snapToGrid w:val="0"/>
        <w:spacing w:beforeLines="0" w:afterLines="0"/>
        <w:ind w:left="0" w:leftChars="0" w:right="0" w:rightChars="0" w:firstLine="0" w:firstLineChars="0"/>
        <w:jc w:val="center"/>
        <w:rPr>
          <w:rFonts w:hint="eastAsia" w:ascii="方正小标宋简体" w:hAnsi="方正小标宋简体" w:eastAsia="方正小标宋简体" w:cs="方正小标宋简体"/>
          <w:color w:val="000000"/>
          <w:sz w:val="44"/>
          <w:szCs w:val="24"/>
          <w:lang w:eastAsia="zh-CN"/>
        </w:rPr>
      </w:pPr>
      <w:bookmarkStart w:id="2" w:name="quanwen"/>
      <w:r>
        <w:rPr>
          <w:rFonts w:hint="eastAsia" w:ascii="方正小标宋简体" w:hAnsi="方正小标宋简体" w:eastAsia="方正小标宋简体" w:cs="方正小标宋简体"/>
          <w:color w:val="000000"/>
          <w:sz w:val="44"/>
          <w:szCs w:val="24"/>
          <w:lang w:eastAsia="zh-CN"/>
        </w:rPr>
        <w:t>关于对先锋期货股份有限公司广州分公司采取</w:t>
      </w:r>
    </w:p>
    <w:p>
      <w:pPr>
        <w:overflowPunct w:val="0"/>
        <w:snapToGrid w:val="0"/>
        <w:spacing w:beforeLines="0" w:afterLines="0"/>
        <w:ind w:left="0" w:leftChars="0" w:right="0" w:rightChars="0" w:firstLine="0" w:firstLineChars="0"/>
        <w:jc w:val="center"/>
        <w:rPr>
          <w:rFonts w:hint="eastAsia" w:ascii="方正小标宋简体" w:hAnsi="方正小标宋简体" w:eastAsia="方正小标宋简体" w:cs="方正小标宋简体"/>
          <w:color w:val="000000"/>
          <w:sz w:val="44"/>
          <w:szCs w:val="24"/>
          <w:lang w:eastAsia="zh-CN"/>
        </w:rPr>
      </w:pPr>
      <w:r>
        <w:rPr>
          <w:rFonts w:hint="eastAsia" w:ascii="方正小标宋简体" w:hAnsi="方正小标宋简体" w:eastAsia="方正小标宋简体" w:cs="方正小标宋简体"/>
          <w:color w:val="000000"/>
          <w:sz w:val="44"/>
          <w:szCs w:val="24"/>
          <w:lang w:eastAsia="zh-CN"/>
        </w:rPr>
        <w:t>出具警示函并暂停期货经纪业务新开户</w:t>
      </w:r>
    </w:p>
    <w:p>
      <w:pPr>
        <w:overflowPunct w:val="0"/>
        <w:snapToGrid w:val="0"/>
        <w:spacing w:beforeLines="0" w:afterLines="0"/>
        <w:ind w:left="0" w:leftChars="0" w:right="0" w:rightChars="0" w:firstLine="0" w:firstLineChars="0"/>
        <w:jc w:val="center"/>
        <w:rPr>
          <w:rFonts w:hint="default" w:ascii="方正小标宋简体" w:hAnsi="方正小标宋简体" w:eastAsia="方正小标宋简体" w:cs="方正小标宋简体"/>
          <w:sz w:val="44"/>
          <w:szCs w:val="24"/>
          <w:lang w:val="en" w:eastAsia="zh-CN"/>
        </w:rPr>
      </w:pPr>
      <w:r>
        <w:rPr>
          <w:rFonts w:hint="eastAsia" w:ascii="方正小标宋简体" w:hAnsi="方正小标宋简体" w:eastAsia="方正小标宋简体" w:cs="方正小标宋简体"/>
          <w:color w:val="000000"/>
          <w:sz w:val="44"/>
          <w:szCs w:val="24"/>
          <w:lang w:eastAsia="zh-CN"/>
        </w:rPr>
        <w:t>3个月行政监管措施</w:t>
      </w:r>
      <w:r>
        <w:rPr>
          <w:rFonts w:hint="eastAsia" w:ascii="方正小标宋简体" w:hAnsi="方正小标宋简体" w:eastAsia="方正小标宋简体" w:cs="方正小标宋简体"/>
          <w:color w:val="000000"/>
          <w:sz w:val="44"/>
          <w:szCs w:val="24"/>
          <w:lang w:val="en-US" w:eastAsia="zh-CN"/>
        </w:rPr>
        <w:t>的决定</w:t>
      </w:r>
    </w:p>
    <w:p>
      <w:pPr>
        <w:widowControl w:val="0"/>
        <w:overflowPunct w:val="0"/>
        <w:autoSpaceDN/>
        <w:snapToGrid w:val="0"/>
        <w:spacing w:beforeLines="0" w:afterLines="0" w:line="240" w:lineRule="auto"/>
        <w:jc w:val="both"/>
        <w:rPr>
          <w:rFonts w:hint="eastAsia" w:ascii="方正小标宋简体" w:hAnsi="方正小标宋简体" w:eastAsia="方正小标宋简体" w:cs="方正小标宋简体"/>
          <w:color w:val="00000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24" w:lineRule="auto"/>
        <w:ind w:left="0" w:leftChars="0" w:right="0" w:rightChars="0"/>
        <w:jc w:val="both"/>
        <w:textAlignment w:val="auto"/>
        <w:rPr>
          <w:rFonts w:hint="eastAsia" w:ascii="仿宋_GB2312" w:hAnsi="仿宋_GB2312" w:eastAsia="仿宋_GB2312" w:cs="Times New Roman"/>
          <w:color w:val="000000"/>
          <w:kern w:val="2"/>
          <w:sz w:val="32"/>
          <w:szCs w:val="32"/>
          <w:lang w:val="en-US" w:eastAsia="zh-CN" w:bidi="ar-SA"/>
        </w:rPr>
      </w:pPr>
      <w:r>
        <w:rPr>
          <w:rFonts w:hint="eastAsia" w:ascii="仿宋_GB2312" w:hAnsi="仿宋_GB2312" w:eastAsia="仿宋_GB2312" w:cs="Times New Roman"/>
          <w:color w:val="000000"/>
          <w:kern w:val="2"/>
          <w:sz w:val="32"/>
          <w:szCs w:val="32"/>
          <w:lang w:val="en-US" w:eastAsia="zh-CN" w:bidi="ar-SA"/>
        </w:rPr>
        <w:t>先锋期货股份有限公司广州分公司：</w:t>
      </w:r>
    </w:p>
    <w:p>
      <w:pPr>
        <w:keepNext w:val="0"/>
        <w:keepLines w:val="0"/>
        <w:pageBreakBefore w:val="0"/>
        <w:kinsoku/>
        <w:wordWrap/>
        <w:overflowPunct w:val="0"/>
        <w:topLinePunct w:val="0"/>
        <w:autoSpaceDE/>
        <w:bidi w:val="0"/>
        <w:adjustRightInd w:val="0"/>
        <w:snapToGrid w:val="0"/>
        <w:spacing w:before="0" w:beforeLines="0" w:after="0" w:afterLines="0" w:line="324" w:lineRule="auto"/>
        <w:ind w:left="0" w:leftChars="0" w:right="0" w:rightChars="0" w:firstLine="640"/>
        <w:jc w:val="both"/>
        <w:textAlignment w:val="auto"/>
        <w:outlineLvl w:val="0"/>
        <w:rPr>
          <w:rFonts w:hint="eastAsia" w:ascii="仿宋_GB2312" w:hAnsi="仿宋_GB2312" w:eastAsia="仿宋_GB2312" w:cs="仿宋_GB2312"/>
          <w:b w:val="0"/>
          <w:bCs w:val="0"/>
          <w:sz w:val="32"/>
          <w:szCs w:val="32"/>
          <w:lang w:eastAsia="zh-CN"/>
        </w:rPr>
      </w:pPr>
      <w:r>
        <w:rPr>
          <w:rFonts w:hint="eastAsia" w:ascii="仿宋_GB2312" w:hAnsi="仿宋_GB2312" w:eastAsia="仿宋_GB2312" w:cs="Times New Roman"/>
          <w:color w:val="000000"/>
          <w:kern w:val="0"/>
          <w:sz w:val="32"/>
          <w:szCs w:val="32"/>
        </w:rPr>
        <w:t>经查，你</w:t>
      </w:r>
      <w:r>
        <w:rPr>
          <w:rFonts w:hint="eastAsia" w:ascii="仿宋_GB2312" w:hAnsi="仿宋_GB2312" w:eastAsia="仿宋_GB2312" w:cs="Times New Roman"/>
          <w:color w:val="000000"/>
          <w:kern w:val="0"/>
          <w:sz w:val="32"/>
          <w:szCs w:val="32"/>
          <w:lang w:eastAsia="zh-CN"/>
        </w:rPr>
        <w:t>分公司落实从业人员管理整改要求不到位，</w:t>
      </w:r>
      <w:r>
        <w:rPr>
          <w:rFonts w:hint="eastAsia" w:ascii="仿宋_GB2312" w:hAnsi="宋体" w:eastAsia="仿宋_GB2312" w:cs="Times New Roman"/>
          <w:sz w:val="32"/>
          <w:szCs w:val="32"/>
          <w:lang w:eastAsia="zh-CN"/>
        </w:rPr>
        <w:t>反映出你分公司</w:t>
      </w:r>
      <w:r>
        <w:rPr>
          <w:rFonts w:hint="eastAsia" w:ascii="仿宋_GB2312" w:hAnsi="仿宋_GB2312" w:eastAsia="仿宋_GB2312" w:cs="Times New Roman"/>
          <w:b w:val="0"/>
          <w:bCs w:val="0"/>
          <w:color w:val="auto"/>
          <w:kern w:val="2"/>
          <w:sz w:val="32"/>
          <w:szCs w:val="24"/>
          <w:highlight w:val="none"/>
          <w:lang w:val="en-US" w:eastAsia="zh-CN" w:bidi="ar-SA"/>
        </w:rPr>
        <w:t>内部控制存在缺陷，廉洁从业管理等方面存在不足。</w:t>
      </w:r>
      <w:r>
        <w:rPr>
          <w:rFonts w:hint="eastAsia" w:ascii="仿宋_GB2312" w:hAnsi="仿宋_GB2312" w:eastAsia="仿宋_GB2312" w:cs="Times New Roman"/>
          <w:b w:val="0"/>
          <w:bCs w:val="0"/>
          <w:color w:val="000000"/>
          <w:kern w:val="0"/>
          <w:sz w:val="32"/>
          <w:szCs w:val="32"/>
          <w:lang w:eastAsia="zh-CN"/>
        </w:rPr>
        <w:t>上述行为违反了</w:t>
      </w:r>
      <w:r>
        <w:rPr>
          <w:rFonts w:hint="eastAsia" w:ascii="仿宋_GB2312" w:hAnsi="宋体" w:eastAsia="仿宋_GB2312" w:cs="Times New Roman"/>
          <w:sz w:val="32"/>
          <w:szCs w:val="32"/>
          <w:lang w:val="en" w:eastAsia="zh-CN"/>
        </w:rPr>
        <w:t>《期货公司监督管理办法》</w:t>
      </w:r>
      <w:r>
        <w:rPr>
          <w:rFonts w:hint="eastAsia" w:ascii="仿宋_GB2312" w:hAnsi="仿宋_GB2312" w:eastAsia="仿宋_GB2312" w:cs="Times New Roman"/>
          <w:color w:val="000000"/>
          <w:kern w:val="0"/>
          <w:sz w:val="32"/>
          <w:szCs w:val="32"/>
        </w:rPr>
        <w:t>（</w:t>
      </w:r>
      <w:r>
        <w:rPr>
          <w:rFonts w:hint="eastAsia" w:ascii="仿宋_GB2312" w:hAnsi="宋体" w:eastAsia="仿宋_GB2312" w:cs="Times New Roman"/>
          <w:sz w:val="32"/>
          <w:szCs w:val="32"/>
          <w:lang w:eastAsia="zh-CN"/>
        </w:rPr>
        <w:t>证监会令第155号</w:t>
      </w:r>
      <w:r>
        <w:rPr>
          <w:rFonts w:hint="eastAsia" w:ascii="仿宋_GB2312" w:hAnsi="仿宋_GB2312" w:eastAsia="仿宋_GB2312" w:cs="Times New Roman"/>
          <w:color w:val="000000"/>
          <w:kern w:val="0"/>
          <w:sz w:val="32"/>
          <w:szCs w:val="32"/>
        </w:rPr>
        <w:t>）</w:t>
      </w:r>
      <w:r>
        <w:rPr>
          <w:rFonts w:hint="eastAsia" w:ascii="仿宋_GB2312" w:hAnsi="仿宋_GB2312" w:eastAsia="仿宋_GB2312" w:cs="Times New Roman"/>
          <w:color w:val="000000"/>
          <w:kern w:val="0"/>
          <w:sz w:val="32"/>
          <w:szCs w:val="32"/>
          <w:lang w:val="en-US" w:eastAsia="zh-CN"/>
        </w:rPr>
        <w:t>第五十六条、</w:t>
      </w:r>
      <w:r>
        <w:rPr>
          <w:rFonts w:hint="eastAsia" w:ascii="仿宋_GB2312" w:hAnsi="仿宋_GB2312" w:eastAsia="仿宋_GB2312" w:cs="Times New Roman"/>
          <w:color w:val="auto"/>
          <w:kern w:val="2"/>
          <w:sz w:val="32"/>
          <w:szCs w:val="24"/>
          <w:highlight w:val="none"/>
          <w:lang w:val="en-US" w:eastAsia="zh-CN" w:bidi="ar-SA"/>
        </w:rPr>
        <w:t>《证券期货经营机构及其工作人员廉洁从业规定（2022年修正）》（证监会令第202号）第八条</w:t>
      </w:r>
      <w:r>
        <w:rPr>
          <w:rFonts w:hint="eastAsia" w:ascii="仿宋_GB2312" w:hAnsi="仿宋_GB2312" w:eastAsia="仿宋_GB2312" w:cs="Times New Roman"/>
          <w:color w:val="000000"/>
          <w:kern w:val="0"/>
          <w:sz w:val="32"/>
          <w:szCs w:val="32"/>
          <w:lang w:val="en-US" w:eastAsia="zh-CN"/>
        </w:rPr>
        <w:t>的规定。</w:t>
      </w:r>
    </w:p>
    <w:p>
      <w:pPr>
        <w:keepNext w:val="0"/>
        <w:keepLines w:val="0"/>
        <w:pageBreakBefore w:val="0"/>
        <w:kinsoku/>
        <w:wordWrap/>
        <w:overflowPunct w:val="0"/>
        <w:topLinePunct w:val="0"/>
        <w:autoSpaceDE/>
        <w:bidi w:val="0"/>
        <w:adjustRightInd w:val="0"/>
        <w:snapToGrid w:val="0"/>
        <w:spacing w:before="0" w:beforeLines="0" w:after="0" w:afterLines="0" w:line="324" w:lineRule="auto"/>
        <w:ind w:left="0" w:leftChars="0" w:right="0" w:rightChars="0" w:firstLine="640"/>
        <w:jc w:val="both"/>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2026年9月1日，我局向你分公司送达了《关于对先锋期货股份有限公司广州分公司出具警示函并暂停期货经纪业务新开户3个月行政监管措施的事先告知书》，你分公司未申请陈述、申辩。</w:t>
      </w:r>
    </w:p>
    <w:p>
      <w:pPr>
        <w:keepNext w:val="0"/>
        <w:keepLines w:val="0"/>
        <w:pageBreakBefore w:val="0"/>
        <w:kinsoku/>
        <w:wordWrap/>
        <w:overflowPunct w:val="0"/>
        <w:topLinePunct w:val="0"/>
        <w:autoSpaceDE/>
        <w:bidi w:val="0"/>
        <w:adjustRightInd w:val="0"/>
        <w:snapToGrid w:val="0"/>
        <w:spacing w:before="0" w:beforeLines="0" w:after="0" w:afterLines="0" w:line="324" w:lineRule="auto"/>
        <w:ind w:left="0" w:leftChars="0" w:right="0" w:rightChars="0" w:firstLine="640"/>
        <w:jc w:val="both"/>
        <w:textAlignment w:val="auto"/>
        <w:outlineLvl w:val="0"/>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val="0"/>
          <w:color w:val="000000"/>
          <w:kern w:val="0"/>
          <w:sz w:val="32"/>
          <w:szCs w:val="32"/>
          <w:lang w:eastAsia="zh-CN"/>
        </w:rPr>
        <w:t>依据</w:t>
      </w:r>
      <w:r>
        <w:rPr>
          <w:rFonts w:hint="eastAsia" w:ascii="仿宋_GB2312" w:hAnsi="宋体" w:eastAsia="仿宋_GB2312" w:cs="Times New Roman"/>
          <w:sz w:val="32"/>
          <w:szCs w:val="32"/>
          <w:lang w:val="en" w:eastAsia="zh-CN"/>
        </w:rPr>
        <w:t>《中华人民共和国期货和衍生品法》第七十三条第一款第一项、《期货公司监督管理办法》</w:t>
      </w:r>
      <w:r>
        <w:rPr>
          <w:rFonts w:hint="eastAsia" w:ascii="仿宋_GB2312" w:hAnsi="仿宋_GB2312" w:eastAsia="仿宋_GB2312" w:cs="Times New Roman"/>
          <w:color w:val="000000"/>
          <w:kern w:val="0"/>
          <w:sz w:val="32"/>
          <w:szCs w:val="32"/>
        </w:rPr>
        <w:t>（</w:t>
      </w:r>
      <w:r>
        <w:rPr>
          <w:rFonts w:hint="eastAsia" w:ascii="仿宋_GB2312" w:hAnsi="宋体" w:eastAsia="仿宋_GB2312" w:cs="Times New Roman"/>
          <w:sz w:val="32"/>
          <w:szCs w:val="32"/>
          <w:lang w:eastAsia="zh-CN"/>
        </w:rPr>
        <w:t>证监会令第155号</w:t>
      </w:r>
      <w:r>
        <w:rPr>
          <w:rFonts w:hint="eastAsia" w:ascii="仿宋_GB2312" w:hAnsi="仿宋_GB2312" w:eastAsia="仿宋_GB2312" w:cs="Times New Roman"/>
          <w:color w:val="000000"/>
          <w:kern w:val="0"/>
          <w:sz w:val="32"/>
          <w:szCs w:val="32"/>
        </w:rPr>
        <w:t>）</w:t>
      </w:r>
      <w:r>
        <w:rPr>
          <w:rFonts w:hint="eastAsia" w:ascii="仿宋_GB2312" w:hAnsi="宋体" w:eastAsia="仿宋_GB2312" w:cs="Times New Roman"/>
          <w:sz w:val="32"/>
          <w:szCs w:val="32"/>
          <w:lang w:val="en" w:eastAsia="zh-CN"/>
        </w:rPr>
        <w:t>第一百零九条</w:t>
      </w:r>
      <w:r>
        <w:rPr>
          <w:rFonts w:hint="eastAsia" w:ascii="仿宋_GB2312" w:hAnsi="仿宋_GB2312" w:eastAsia="仿宋_GB2312" w:cs="仿宋_GB2312"/>
          <w:b w:val="0"/>
          <w:color w:val="000000"/>
          <w:kern w:val="0"/>
          <w:sz w:val="32"/>
          <w:szCs w:val="32"/>
          <w:lang w:eastAsia="zh-CN"/>
        </w:rPr>
        <w:t>和</w:t>
      </w:r>
      <w:r>
        <w:rPr>
          <w:rFonts w:hint="eastAsia" w:ascii="仿宋_GB2312" w:hAnsi="仿宋_GB2312" w:eastAsia="仿宋_GB2312" w:cs="Times New Roman"/>
          <w:color w:val="auto"/>
          <w:kern w:val="2"/>
          <w:sz w:val="32"/>
          <w:szCs w:val="24"/>
          <w:highlight w:val="none"/>
          <w:lang w:val="en-US" w:eastAsia="zh-CN" w:bidi="ar-SA"/>
        </w:rPr>
        <w:t>《证券期货经营机构及其工作人员廉洁从业规定（2022年修正）》（证监会令第202号）第十八条</w:t>
      </w:r>
      <w:r>
        <w:rPr>
          <w:rFonts w:hint="eastAsia" w:ascii="仿宋_GB2312" w:hAnsi="宋体" w:eastAsia="仿宋_GB2312" w:cs="Times New Roman"/>
          <w:sz w:val="32"/>
          <w:szCs w:val="32"/>
          <w:lang w:val="en" w:eastAsia="zh-CN"/>
        </w:rPr>
        <w:t>的规定</w:t>
      </w:r>
      <w:r>
        <w:rPr>
          <w:rFonts w:hint="eastAsia" w:ascii="仿宋_GB2312" w:hAnsi="仿宋_GB2312" w:eastAsia="仿宋_GB2312" w:cs="仿宋_GB2312"/>
          <w:b w:val="0"/>
          <w:color w:val="000000"/>
          <w:kern w:val="0"/>
          <w:sz w:val="32"/>
          <w:szCs w:val="32"/>
          <w:lang w:eastAsia="zh-CN"/>
        </w:rPr>
        <w:t>，</w:t>
      </w:r>
      <w:r>
        <w:rPr>
          <w:rFonts w:hint="eastAsia" w:ascii="仿宋_GB2312" w:hAnsi="仿宋_GB2312" w:eastAsia="仿宋_GB2312" w:cs="仿宋_GB2312"/>
          <w:color w:val="000000"/>
          <w:kern w:val="0"/>
          <w:sz w:val="32"/>
          <w:szCs w:val="32"/>
        </w:rPr>
        <w:t>我局</w:t>
      </w:r>
      <w:r>
        <w:rPr>
          <w:rFonts w:hint="eastAsia" w:ascii="仿宋_GB2312" w:hAnsi="仿宋_GB2312" w:eastAsia="仿宋_GB2312" w:cs="仿宋_GB2312"/>
          <w:color w:val="000000"/>
          <w:kern w:val="0"/>
          <w:sz w:val="32"/>
          <w:szCs w:val="32"/>
          <w:lang w:eastAsia="zh-CN"/>
        </w:rPr>
        <w:t>拟</w:t>
      </w:r>
      <w:r>
        <w:rPr>
          <w:rFonts w:hint="eastAsia" w:ascii="仿宋_GB2312" w:hAnsi="仿宋_GB2312" w:eastAsia="仿宋_GB2312" w:cs="仿宋_GB2312"/>
          <w:kern w:val="0"/>
          <w:sz w:val="32"/>
          <w:szCs w:val="32"/>
        </w:rPr>
        <w:t>对你</w:t>
      </w:r>
      <w:r>
        <w:rPr>
          <w:rFonts w:hint="eastAsia" w:ascii="仿宋_GB2312" w:hAnsi="仿宋_GB2312" w:eastAsia="仿宋_GB2312" w:cs="仿宋_GB2312"/>
          <w:kern w:val="0"/>
          <w:sz w:val="32"/>
          <w:szCs w:val="32"/>
          <w:lang w:eastAsia="zh-CN"/>
        </w:rPr>
        <w:t>分</w:t>
      </w:r>
      <w:r>
        <w:rPr>
          <w:rFonts w:hint="eastAsia" w:ascii="仿宋_GB2312" w:hAnsi="仿宋_GB2312" w:eastAsia="仿宋_GB2312" w:cs="仿宋_GB2312"/>
          <w:kern w:val="0"/>
          <w:sz w:val="32"/>
          <w:szCs w:val="32"/>
        </w:rPr>
        <w:t>公司</w:t>
      </w:r>
      <w:r>
        <w:rPr>
          <w:rFonts w:hint="eastAsia" w:ascii="仿宋_GB2312" w:hAnsi="仿宋_GB2312" w:eastAsia="仿宋_GB2312" w:cs="仿宋_GB2312"/>
          <w:kern w:val="0"/>
          <w:sz w:val="32"/>
          <w:szCs w:val="32"/>
          <w:lang w:eastAsia="zh-CN"/>
        </w:rPr>
        <w:t>采取</w:t>
      </w:r>
      <w:r>
        <w:rPr>
          <w:rFonts w:hint="eastAsia" w:ascii="仿宋_GB2312" w:hAnsi="仿宋_GB2312" w:eastAsia="仿宋_GB2312" w:cs="Times New Roman"/>
          <w:color w:val="000000"/>
          <w:kern w:val="0"/>
          <w:sz w:val="32"/>
          <w:szCs w:val="32"/>
        </w:rPr>
        <w:t>出具警示函</w:t>
      </w:r>
      <w:r>
        <w:rPr>
          <w:rFonts w:hint="eastAsia" w:ascii="仿宋_GB2312" w:hAnsi="宋体" w:eastAsia="仿宋_GB2312" w:cs="Times New Roman"/>
          <w:sz w:val="32"/>
          <w:szCs w:val="32"/>
          <w:lang w:val="en" w:eastAsia="zh-CN"/>
        </w:rPr>
        <w:t>并暂停期货经纪业务新开户</w:t>
      </w:r>
      <w:r>
        <w:rPr>
          <w:rFonts w:hint="eastAsia" w:ascii="仿宋_GB2312" w:hAnsi="宋体" w:eastAsia="仿宋_GB2312" w:cs="Times New Roman"/>
          <w:sz w:val="32"/>
          <w:szCs w:val="32"/>
          <w:lang w:val="en-US" w:eastAsia="zh-CN"/>
        </w:rPr>
        <w:t>3</w:t>
      </w:r>
      <w:r>
        <w:rPr>
          <w:rFonts w:hint="eastAsia" w:ascii="仿宋_GB2312" w:hAnsi="宋体" w:eastAsia="仿宋_GB2312" w:cs="Times New Roman"/>
          <w:sz w:val="32"/>
          <w:szCs w:val="32"/>
          <w:lang w:val="en" w:eastAsia="zh-CN"/>
        </w:rPr>
        <w:t>个月的监督管理措施</w:t>
      </w:r>
      <w:r>
        <w:rPr>
          <w:rFonts w:hint="eastAsia" w:ascii="仿宋_GB2312" w:hAnsi="仿宋_GB2312" w:eastAsia="仿宋_GB2312" w:cs="Times New Roman"/>
          <w:color w:val="000000"/>
          <w:kern w:val="0"/>
          <w:sz w:val="32"/>
          <w:szCs w:val="32"/>
          <w:lang w:eastAsia="zh-CN"/>
        </w:rPr>
        <w:t>：</w:t>
      </w:r>
    </w:p>
    <w:p>
      <w:pPr>
        <w:keepNext w:val="0"/>
        <w:keepLines w:val="0"/>
        <w:pageBreakBefore w:val="0"/>
        <w:kinsoku/>
        <w:wordWrap/>
        <w:overflowPunct w:val="0"/>
        <w:topLinePunct w:val="0"/>
        <w:autoSpaceDE/>
        <w:bidi w:val="0"/>
        <w:adjustRightInd w:val="0"/>
        <w:snapToGrid w:val="0"/>
        <w:spacing w:before="0" w:beforeLines="0" w:after="0" w:afterLines="0" w:line="324" w:lineRule="auto"/>
        <w:ind w:left="0" w:leftChars="0"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一、</w:t>
      </w:r>
      <w:r>
        <w:rPr>
          <w:rFonts w:hint="eastAsia" w:ascii="仿宋_GB2312" w:hAnsi="仿宋_GB2312" w:eastAsia="仿宋_GB2312" w:cs="仿宋_GB2312"/>
          <w:color w:val="auto"/>
          <w:kern w:val="0"/>
          <w:sz w:val="32"/>
          <w:szCs w:val="32"/>
        </w:rPr>
        <w:t>责令你</w:t>
      </w:r>
      <w:r>
        <w:rPr>
          <w:rFonts w:hint="eastAsia" w:ascii="仿宋_GB2312" w:hAnsi="仿宋_GB2312" w:eastAsia="仿宋_GB2312" w:cs="仿宋_GB2312"/>
          <w:color w:val="auto"/>
          <w:kern w:val="0"/>
          <w:sz w:val="32"/>
          <w:szCs w:val="32"/>
          <w:lang w:eastAsia="zh-CN"/>
        </w:rPr>
        <w:t>分</w:t>
      </w:r>
      <w:r>
        <w:rPr>
          <w:rFonts w:hint="eastAsia" w:ascii="仿宋_GB2312" w:hAnsi="仿宋_GB2312" w:eastAsia="仿宋_GB2312" w:cs="仿宋_GB2312"/>
          <w:color w:val="auto"/>
          <w:kern w:val="0"/>
          <w:sz w:val="32"/>
          <w:szCs w:val="32"/>
        </w:rPr>
        <w:t>公司</w:t>
      </w:r>
      <w:r>
        <w:rPr>
          <w:rFonts w:hint="eastAsia" w:ascii="仿宋_GB2312" w:hAnsi="仿宋_GB2312" w:eastAsia="仿宋_GB2312" w:cs="仿宋_GB2312"/>
          <w:color w:val="auto"/>
          <w:kern w:val="0"/>
          <w:sz w:val="32"/>
          <w:szCs w:val="32"/>
          <w:lang w:eastAsia="zh-CN"/>
        </w:rPr>
        <w:t>自收到行政监管措施决定书之日起</w:t>
      </w:r>
      <w:r>
        <w:rPr>
          <w:rFonts w:hint="eastAsia" w:ascii="仿宋_GB2312" w:hAnsi="仿宋_GB2312" w:eastAsia="仿宋_GB2312" w:cs="仿宋_GB2312"/>
          <w:color w:val="auto"/>
          <w:kern w:val="0"/>
          <w:sz w:val="32"/>
          <w:szCs w:val="32"/>
          <w:lang w:val="en-US" w:eastAsia="zh-CN"/>
        </w:rPr>
        <w:t>30日内予以改正，并向我局提交整改报告。</w:t>
      </w:r>
    </w:p>
    <w:p>
      <w:pPr>
        <w:overflowPunct w:val="0"/>
        <w:snapToGrid w:val="0"/>
        <w:spacing w:beforeLines="0" w:afterLines="0" w:line="324" w:lineRule="auto"/>
        <w:ind w:left="0" w:leftChars="0" w:firstLine="640" w:firstLineChars="20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二、自收到行政</w:t>
      </w:r>
      <w:r>
        <w:rPr>
          <w:rFonts w:hint="eastAsia" w:ascii="仿宋_GB2312" w:hAnsi="仿宋_GB2312" w:eastAsia="仿宋_GB2312" w:cs="仿宋_GB2312"/>
          <w:color w:val="auto"/>
          <w:kern w:val="0"/>
          <w:sz w:val="32"/>
          <w:szCs w:val="32"/>
        </w:rPr>
        <w:t>监管措施决定</w:t>
      </w:r>
      <w:r>
        <w:rPr>
          <w:rFonts w:hint="eastAsia" w:ascii="仿宋_GB2312" w:hAnsi="仿宋_GB2312" w:eastAsia="仿宋_GB2312" w:cs="仿宋_GB2312"/>
          <w:color w:val="auto"/>
          <w:kern w:val="0"/>
          <w:sz w:val="32"/>
          <w:szCs w:val="32"/>
          <w:lang w:eastAsia="zh-CN"/>
        </w:rPr>
        <w:t>书</w:t>
      </w:r>
      <w:r>
        <w:rPr>
          <w:rFonts w:hint="eastAsia" w:ascii="仿宋_GB2312" w:hAnsi="仿宋_GB2312" w:eastAsia="仿宋_GB2312" w:cs="仿宋_GB2312"/>
          <w:color w:val="auto"/>
          <w:kern w:val="0"/>
          <w:sz w:val="32"/>
          <w:szCs w:val="32"/>
        </w:rPr>
        <w:t>之日起</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个月内，</w:t>
      </w:r>
      <w:r>
        <w:rPr>
          <w:rFonts w:hint="eastAsia" w:ascii="仿宋_GB2312" w:hAnsi="仿宋_GB2312" w:eastAsia="仿宋_GB2312" w:cs="仿宋_GB2312"/>
          <w:color w:val="auto"/>
          <w:kern w:val="0"/>
          <w:sz w:val="32"/>
          <w:szCs w:val="32"/>
          <w:lang w:eastAsia="zh-CN"/>
        </w:rPr>
        <w:t>暂停你分公司期货经纪业务新开户</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暂停期届满后，我局将视你分公司整改情况组织验收，验收通过前，不得新增开户。</w:t>
      </w:r>
    </w:p>
    <w:p>
      <w:pPr>
        <w:overflowPunct w:val="0"/>
        <w:snapToGrid w:val="0"/>
        <w:spacing w:beforeLines="0" w:afterLines="0" w:line="324" w:lineRule="auto"/>
        <w:ind w:left="0" w:leftChars="0" w:firstLine="640" w:firstLineChars="200"/>
        <w:rPr>
          <w:rFonts w:hint="eastAsia" w:ascii="仿宋_GB2312" w:hAnsi="仿宋_GB2312" w:eastAsia="仿宋_GB2312" w:cs="Times New Roman"/>
          <w:color w:val="000000"/>
          <w:kern w:val="0"/>
          <w:sz w:val="32"/>
          <w:szCs w:val="32"/>
        </w:rPr>
      </w:pPr>
      <w:r>
        <w:rPr>
          <w:rFonts w:hint="eastAsia" w:ascii="仿宋_GB2312" w:hAnsi="仿宋_GB2312" w:eastAsia="仿宋_GB2312" w:cs="仿宋_GB2312"/>
          <w:sz w:val="32"/>
          <w:szCs w:val="32"/>
          <w:lang w:val="en-US" w:eastAsia="zh-CN"/>
        </w:rPr>
        <w:t>如果对本监督管理措施不服，可以在收到本决定书之日起60日内向中国证券监督管理委员会提出行政复议申请；也可以在收到本决定书之日起6个月内向有管辖权的人民法院提起诉讼。复议与诉讼期间，上述监督管理措施不停止执行。</w:t>
      </w:r>
    </w:p>
    <w:p>
      <w:pPr>
        <w:widowControl w:val="0"/>
        <w:overflowPunct w:val="0"/>
        <w:snapToGrid w:val="0"/>
        <w:spacing w:line="360" w:lineRule="auto"/>
        <w:jc w:val="both"/>
        <w:rPr>
          <w:rFonts w:hint="eastAsia" w:ascii="仿宋_GB2312" w:hAnsi="仿宋_GB2312" w:eastAsia="仿宋_GB2312" w:cs="仿宋_GB2312"/>
          <w:color w:val="auto"/>
          <w:kern w:val="2"/>
          <w:sz w:val="18"/>
          <w:szCs w:val="18"/>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eastAsia="宋体" w:cs="宋体"/>
          <w:color w:val="000000"/>
          <w:sz w:val="18"/>
          <w:szCs w:val="18"/>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eastAsia="宋体" w:cs="宋体"/>
          <w:color w:val="000000"/>
          <w:sz w:val="18"/>
          <w:szCs w:val="18"/>
        </w:rPr>
      </w:pPr>
    </w:p>
    <w:p>
      <w:pPr>
        <w:overflowPunct w:val="0"/>
        <w:adjustRightInd w:val="0"/>
        <w:snapToGrid w:val="0"/>
        <w:spacing w:line="360" w:lineRule="auto"/>
        <w:ind w:right="1705"/>
        <w:jc w:val="right"/>
        <w:rPr>
          <w:rFonts w:hint="eastAsia" w:ascii="仿宋_GB2312" w:hAnsi="Times New Roman" w:eastAsia="仿宋_GB2312" w:cs="Times New Roman"/>
          <w:color w:val="000000"/>
          <w:sz w:val="32"/>
          <w:szCs w:val="24"/>
        </w:rPr>
      </w:pPr>
      <w:r>
        <w:rPr>
          <w:rFonts w:hint="eastAsia" w:ascii="仿宋_GB2312" w:hAnsi="Times New Roman" w:eastAsia="仿宋_GB2312" w:cs="Times New Roman"/>
          <w:color w:val="000000"/>
          <w:sz w:val="32"/>
          <w:szCs w:val="24"/>
        </w:rPr>
        <w:t>广东证监局</w:t>
      </w:r>
    </w:p>
    <w:p>
      <w:pPr>
        <w:numPr>
          <w:ilvl w:val="0"/>
          <w:numId w:val="0"/>
        </w:numPr>
        <w:pBdr>
          <w:top w:val="none" w:color="auto" w:sz="0" w:space="0"/>
          <w:bottom w:val="none" w:color="auto" w:sz="0" w:space="0"/>
        </w:pBdr>
        <w:overflowPunct w:val="0"/>
        <w:adjustRightInd w:val="0"/>
        <w:snapToGrid w:val="0"/>
        <w:spacing w:beforeLines="0" w:afterLines="0" w:line="360" w:lineRule="auto"/>
        <w:jc w:val="center"/>
        <w:outlineLvl w:val="9"/>
        <w:rPr>
          <w:rFonts w:ascii="Times New Roman" w:hAnsi="Times New Roman" w:eastAsia="宋体" w:cs="Times New Roman"/>
          <w:szCs w:val="20"/>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w:t>
      </w:r>
      <w:r>
        <w:rPr>
          <w:rFonts w:hint="default" w:ascii="仿宋_GB2312" w:hAnsi="Times New Roman" w:eastAsia="仿宋_GB2312" w:cs="Times New Roman"/>
          <w:color w:val="000000"/>
          <w:spacing w:val="10"/>
          <w:sz w:val="32"/>
          <w:szCs w:val="32"/>
          <w:lang w:val="en-US" w:eastAsia="zh-CN"/>
        </w:rPr>
        <w:t>6</w:t>
      </w:r>
      <w:r>
        <w:rPr>
          <w:rFonts w:hint="eastAsia" w:ascii="仿宋_GB2312" w:hAnsi="Times New Roman" w:eastAsia="仿宋_GB2312" w:cs="Times New Roman"/>
          <w:color w:val="000000"/>
          <w:spacing w:val="10"/>
          <w:sz w:val="32"/>
          <w:szCs w:val="32"/>
        </w:rPr>
        <w:t>年</w:t>
      </w:r>
      <w:r>
        <w:rPr>
          <w:rFonts w:hint="default" w:ascii="仿宋_GB2312" w:hAnsi="Calibri" w:eastAsia="仿宋_GB2312" w:cs="Times New Roman"/>
          <w:color w:val="000000"/>
          <w:spacing w:val="10"/>
          <w:sz w:val="32"/>
          <w:szCs w:val="32"/>
          <w:lang w:val="en-US" w:eastAsia="zh-CN"/>
        </w:rPr>
        <w:t>9</w:t>
      </w:r>
      <w:r>
        <w:rPr>
          <w:rFonts w:hint="eastAsia" w:ascii="仿宋_GB2312" w:hAnsi="Times New Roman" w:eastAsia="仿宋_GB2312" w:cs="Times New Roman"/>
          <w:color w:val="000000"/>
          <w:spacing w:val="10"/>
          <w:sz w:val="32"/>
          <w:szCs w:val="32"/>
        </w:rPr>
        <w:t>月</w:t>
      </w:r>
      <w:r>
        <w:rPr>
          <w:rFonts w:hint="eastAsia" w:ascii="仿宋_GB2312" w:hAnsi="Times New Roman" w:eastAsia="仿宋_GB2312" w:cs="Times New Roman"/>
          <w:color w:val="000000"/>
          <w:spacing w:val="10"/>
          <w:sz w:val="32"/>
          <w:szCs w:val="32"/>
          <w:lang w:val="en-US" w:eastAsia="zh-CN"/>
        </w:rPr>
        <w:t>1</w:t>
      </w:r>
      <w:r>
        <w:rPr>
          <w:rFonts w:hint="default" w:ascii="仿宋_GB2312" w:hAnsi="Times New Roman" w:eastAsia="仿宋_GB2312" w:cs="Times New Roman"/>
          <w:color w:val="000000"/>
          <w:spacing w:val="10"/>
          <w:sz w:val="32"/>
          <w:szCs w:val="32"/>
          <w:lang w:val="en-US" w:eastAsia="zh-CN"/>
        </w:rPr>
        <w:t>5</w:t>
      </w:r>
      <w:r>
        <w:rPr>
          <w:rFonts w:hint="eastAsia" w:ascii="仿宋_GB2312" w:hAnsi="Times New Roman" w:eastAsia="仿宋_GB2312" w:cs="Times New Roman"/>
          <w:color w:val="000000"/>
          <w:spacing w:val="10"/>
          <w:sz w:val="32"/>
          <w:szCs w:val="32"/>
        </w:rPr>
        <w:t>日</w:t>
      </w:r>
    </w:p>
    <w:p>
      <w:pPr>
        <w:rPr>
          <w:rFonts w:hint="eastAsia" w:ascii="Calibri" w:hAnsi="Calibri" w:eastAsia="宋体" w:cs="Times New Roman"/>
          <w:szCs w:val="24"/>
        </w:rPr>
      </w:pPr>
    </w:p>
    <w:p>
      <w:pPr>
        <w:keepNext w:val="0"/>
        <w:keepLines w:val="0"/>
        <w:pageBreakBefore w:val="0"/>
        <w:widowControl w:val="0"/>
        <w:pBdr>
          <w:top w:val="single" w:color="auto" w:sz="8" w:space="6"/>
        </w:pBdr>
        <w:kinsoku/>
        <w:wordWrap/>
        <w:overflowPunct/>
        <w:topLinePunct w:val="0"/>
        <w:autoSpaceDE/>
        <w:autoSpaceDN/>
        <w:bidi w:val="0"/>
        <w:adjustRightInd w:val="0"/>
        <w:snapToGrid w:val="0"/>
        <w:spacing w:after="109" w:afterLines="35" w:line="240" w:lineRule="auto"/>
        <w:ind w:firstLine="296" w:firstLineChars="100"/>
        <w:textAlignment w:val="auto"/>
        <w:rPr>
          <w:rFonts w:ascii="长城仿宋" w:hAnsi="Times New Roman" w:eastAsia="长城仿宋" w:cs="Times New Roman"/>
          <w:sz w:val="28"/>
          <w:szCs w:val="20"/>
        </w:rPr>
      </w:pPr>
      <w:r>
        <w:rPr>
          <w:rFonts w:hint="eastAsia" w:ascii="仿宋_GB2312" w:hAnsi="Times New Roman" w:eastAsia="仿宋_GB2312" w:cs="Times New Roman"/>
          <w:spacing w:val="8"/>
          <w:sz w:val="28"/>
          <w:szCs w:val="20"/>
        </w:rPr>
        <w:t>抄送：证监会期货司、法治司；深圳证监局。</w:t>
      </w:r>
    </w:p>
    <w:p>
      <w:pPr>
        <w:keepNext w:val="0"/>
        <w:keepLines w:val="0"/>
        <w:pageBreakBefore w:val="0"/>
        <w:widowControl w:val="0"/>
        <w:pBdr>
          <w:top w:val="single" w:color="auto" w:sz="4" w:space="6"/>
        </w:pBdr>
        <w:kinsoku/>
        <w:wordWrap/>
        <w:overflowPunct/>
        <w:topLinePunct w:val="0"/>
        <w:autoSpaceDE/>
        <w:autoSpaceDN/>
        <w:bidi w:val="0"/>
        <w:adjustRightInd w:val="0"/>
        <w:snapToGrid w:val="0"/>
        <w:spacing w:after="109" w:afterLines="35" w:line="240" w:lineRule="auto"/>
        <w:ind w:firstLine="296" w:firstLineChars="100"/>
        <w:jc w:val="left"/>
        <w:textAlignment w:val="auto"/>
        <w:rPr>
          <w:rFonts w:hint="eastAsia" w:ascii="仿宋_GB2312" w:hAnsi="Times New Roman" w:eastAsia="仿宋_GB2312" w:cs="Times New Roman"/>
          <w:spacing w:val="8"/>
          <w:sz w:val="28"/>
          <w:szCs w:val="20"/>
        </w:rPr>
      </w:pPr>
      <w:r>
        <w:rPr>
          <w:rFonts w:hint="eastAsia" w:ascii="仿宋_GB2312" w:hAnsi="Times New Roman" w:eastAsia="仿宋_GB2312" w:cs="Times New Roman"/>
          <w:spacing w:val="8"/>
          <w:sz w:val="28"/>
          <w:szCs w:val="20"/>
        </w:rPr>
        <w:t xml:space="preserve">广东证监局办公室             </w:t>
      </w:r>
      <w:r>
        <w:rPr>
          <w:rFonts w:hint="default" w:ascii="仿宋_GB2312" w:hAnsi="Times New Roman" w:eastAsia="仿宋_GB2312" w:cs="Times New Roman"/>
          <w:spacing w:val="8"/>
          <w:sz w:val="28"/>
          <w:szCs w:val="20"/>
          <w:lang w:val="en-US"/>
        </w:rPr>
        <w:t xml:space="preserve">     </w:t>
      </w:r>
      <w:r>
        <w:rPr>
          <w:rFonts w:hint="eastAsia" w:ascii="仿宋_GB2312" w:hAnsi="Times New Roman" w:eastAsia="仿宋_GB2312" w:cs="Times New Roman"/>
          <w:spacing w:val="8"/>
          <w:sz w:val="28"/>
          <w:szCs w:val="20"/>
        </w:rPr>
        <w:t xml:space="preserve"> </w:t>
      </w:r>
      <w:r>
        <w:rPr>
          <w:rFonts w:hint="default" w:ascii="仿宋_GB2312" w:hAnsi="Times New Roman" w:eastAsia="仿宋_GB2312" w:cs="Times New Roman"/>
          <w:spacing w:val="8"/>
          <w:sz w:val="28"/>
          <w:szCs w:val="20"/>
          <w:lang w:val="en" w:eastAsia="zh-CN"/>
        </w:rPr>
        <w:t>202</w:t>
      </w:r>
      <w:r>
        <w:rPr>
          <w:rFonts w:hint="eastAsia" w:ascii="仿宋_GB2312" w:hAnsi="Times New Roman" w:eastAsia="仿宋_GB2312" w:cs="Times New Roman"/>
          <w:spacing w:val="8"/>
          <w:sz w:val="28"/>
          <w:szCs w:val="20"/>
          <w:lang w:val="en-US" w:eastAsia="zh-CN"/>
        </w:rPr>
        <w:t>6</w:t>
      </w:r>
      <w:r>
        <w:rPr>
          <w:rFonts w:hint="eastAsia" w:ascii="仿宋_GB2312" w:hAnsi="Times New Roman" w:eastAsia="仿宋_GB2312" w:cs="Times New Roman"/>
          <w:spacing w:val="8"/>
          <w:sz w:val="28"/>
          <w:szCs w:val="20"/>
        </w:rPr>
        <w:t>年</w:t>
      </w:r>
      <w:r>
        <w:rPr>
          <w:rFonts w:hint="eastAsia" w:ascii="仿宋_GB2312" w:hAnsi="Times New Roman" w:eastAsia="仿宋_GB2312" w:cs="Times New Roman"/>
          <w:spacing w:val="8"/>
          <w:sz w:val="28"/>
          <w:szCs w:val="20"/>
          <w:lang w:val="en-US" w:eastAsia="zh-CN"/>
        </w:rPr>
        <w:t>9</w:t>
      </w:r>
      <w:r>
        <w:rPr>
          <w:rFonts w:hint="eastAsia" w:ascii="仿宋_GB2312" w:hAnsi="Times New Roman" w:eastAsia="仿宋_GB2312" w:cs="Times New Roman"/>
          <w:spacing w:val="8"/>
          <w:sz w:val="28"/>
          <w:szCs w:val="20"/>
        </w:rPr>
        <w:t>月</w:t>
      </w:r>
      <w:r>
        <w:rPr>
          <w:rFonts w:hint="default" w:ascii="仿宋_GB2312" w:hAnsi="Times New Roman" w:eastAsia="仿宋_GB2312" w:cs="Times New Roman"/>
          <w:spacing w:val="8"/>
          <w:sz w:val="28"/>
          <w:szCs w:val="20"/>
          <w:lang w:val="en-US" w:eastAsia="zh-CN"/>
        </w:rPr>
        <w:t>15</w:t>
      </w:r>
      <w:r>
        <w:rPr>
          <w:rFonts w:hint="eastAsia" w:ascii="仿宋_GB2312" w:hAnsi="Times New Roman" w:eastAsia="仿宋_GB2312" w:cs="Times New Roman"/>
          <w:spacing w:val="8"/>
          <w:sz w:val="28"/>
          <w:szCs w:val="20"/>
        </w:rPr>
        <w:t>日印发</w:t>
      </w:r>
    </w:p>
    <w:bookmarkEnd w:id="2"/>
    <w:p>
      <w:pPr>
        <w:keepNext w:val="0"/>
        <w:keepLines w:val="0"/>
        <w:pageBreakBefore w:val="0"/>
        <w:widowControl w:val="0"/>
        <w:pBdr>
          <w:top w:val="single" w:color="auto" w:sz="8" w:space="7"/>
        </w:pBdr>
        <w:kinsoku/>
        <w:wordWrap/>
        <w:overflowPunct/>
        <w:topLinePunct w:val="0"/>
        <w:autoSpaceDE/>
        <w:autoSpaceDN/>
        <w:bidi w:val="0"/>
        <w:adjustRightInd w:val="0"/>
        <w:snapToGrid w:val="0"/>
        <w:spacing w:beforeLines="0" w:afterLines="0" w:line="240" w:lineRule="auto"/>
        <w:ind w:firstLine="0"/>
        <w:jc w:val="left"/>
        <w:textAlignment w:val="auto"/>
        <w:rPr>
          <w:rFonts w:hint="eastAsia" w:ascii="仿宋_GB2312" w:hAnsi="Times New Roman" w:eastAsia="仿宋_GB2312" w:cs="Times New Roman"/>
          <w:spacing w:val="8"/>
          <w:sz w:val="2"/>
          <w:szCs w:val="2"/>
        </w:rPr>
      </w:pPr>
    </w:p>
    <w:sectPr>
      <w:footerReference r:id="rId3" w:type="default"/>
      <w:pgSz w:w="11906" w:h="16838"/>
      <w:pgMar w:top="2097" w:right="1474" w:bottom="1984" w:left="1587" w:header="851" w:footer="1587" w:gutter="0"/>
      <w:pgNumType w:fmt="numberInDash"/>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Web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长城仿宋">
    <w:altName w:val="方正仿宋_GBK"/>
    <w:panose1 w:val="02010609000101010101"/>
    <w:charset w:val="00"/>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dit="readOnly"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65FEFFB"/>
    <w:rsid w:val="65BAC157"/>
    <w:rsid w:val="67FF31DE"/>
    <w:rsid w:val="6CF70A35"/>
    <w:rsid w:val="7EF90BEF"/>
    <w:rsid w:val="7F7ABE87"/>
    <w:rsid w:val="7F9F928E"/>
    <w:rsid w:val="A67F9ED7"/>
    <w:rsid w:val="AEF9E8A9"/>
    <w:rsid w:val="D5DB7CB3"/>
    <w:rsid w:val="D65FEFFB"/>
    <w:rsid w:val="DEFFB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unhideWhenUsed/>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Indent"/>
    <w:basedOn w:val="1"/>
    <w:next w:val="1"/>
    <w:qFormat/>
    <w:uiPriority w:val="0"/>
    <w:pPr>
      <w:ind w:firstLine="420"/>
      <w:textAlignment w:val="baseline"/>
    </w:pPr>
    <w:rPr>
      <w:rFonts w:ascii="宋体" w:hAnsi="Calibri"/>
      <w:kern w:val="0"/>
      <w:sz w:val="21"/>
      <w:szCs w:val="24"/>
    </w:rPr>
  </w:style>
  <w:style w:type="paragraph" w:customStyle="1" w:styleId="7">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2026-09-10T14:03:00Z</dcterms:created>
  <dc:creator>吴畅</dc:creator>
  <cp:lastModifiedBy>于昊洋</cp:lastModifiedBy>
  <dcterms:modified xsi:type="dcterms:W3CDTF">2026-09-23T08:52:27Z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A05B47655C9375A8F01FB36AC55F893D</vt:lpwstr>
  </property>
</Properties>
</file>