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420"/>
        </w:tabs>
        <w:jc w:val="center"/>
        <w:rPr>
          <w:rFonts w:hint="eastAsia" w:ascii="方正小标宋简体" w:hAnsi="方正小标宋简体" w:eastAsia="方正小标宋简体" w:cs="Times New Roman"/>
          <w:b/>
          <w:color w:val="FF0000"/>
          <w:w w:val="95"/>
          <w:kern w:val="0"/>
          <w:sz w:val="44"/>
          <w:szCs w:val="116"/>
        </w:rPr>
      </w:pPr>
      <w:bookmarkStart w:id="3" w:name="_GoBack"/>
      <w:bookmarkEnd w:id="3"/>
      <w:bookmarkStart w:id="0" w:name="_Hlk141567855"/>
      <w:bookmarkEnd w:id="0"/>
      <w:r>
        <w:rPr>
          <w:rFonts w:hint="eastAsia" w:ascii="方正小标宋简体" w:hAnsi="方正小标宋简体" w:eastAsia="方正小标宋简体" w:cs="黑体"/>
          <w:b/>
          <w:color w:val="FF0000"/>
          <w:w w:val="95"/>
          <w:sz w:val="44"/>
          <w:szCs w:val="72"/>
        </w:rPr>
        <w:t>中国证券监督管理委员会广东监管局</w:t>
      </w:r>
    </w:p>
    <w:p>
      <w:pPr>
        <w:jc w:val="center"/>
        <w:rPr>
          <w:rFonts w:hint="eastAsia" w:ascii="方正小标宋简体" w:hAnsi="方正小标宋简体" w:eastAsia="方正小标宋简体" w:cs="Times New Roman"/>
          <w:snapToGrid w:val="0"/>
          <w:spacing w:val="85"/>
          <w:w w:val="90"/>
          <w:sz w:val="72"/>
          <w:szCs w:val="72"/>
        </w:rPr>
      </w:pPr>
      <w:r>
        <w:rPr>
          <w:rFonts w:hint="eastAsia" w:ascii="方正小标宋简体" w:hAnsi="方正小标宋简体" w:eastAsia="方正小标宋简体" w:cs="Times New Roman"/>
          <w:b/>
          <w:bCs/>
          <w:snapToGrid w:val="0"/>
          <w:color w:val="FF0000"/>
          <w:spacing w:val="85"/>
          <w:w w:val="90"/>
          <w:sz w:val="72"/>
          <w:szCs w:val="72"/>
        </w:rPr>
        <w:t>行政监管措施决定书</w:t>
      </w:r>
    </w:p>
    <w:p>
      <w:pPr>
        <w:snapToGrid w:val="0"/>
        <w:jc w:val="center"/>
        <w:rPr>
          <w:rFonts w:hint="eastAsia" w:ascii="仿宋_GB2312" w:hAnsi="仿宋_GB2312" w:eastAsia="仿宋_GB2312" w:cs="宋体"/>
          <w:sz w:val="28"/>
          <w:szCs w:val="28"/>
        </w:rPr>
      </w:pPr>
    </w:p>
    <w:p>
      <w:pPr>
        <w:suppressAutoHyphens/>
        <w:bidi w:val="0"/>
        <w:adjustRightInd/>
        <w:snapToGrid w:val="0"/>
        <w:spacing w:before="156" w:beforeLines="50" w:line="300" w:lineRule="auto"/>
        <w:ind w:firstLine="0" w:firstLineChars="0"/>
        <w:jc w:val="center"/>
        <w:rPr>
          <w:rFonts w:ascii="黑体" w:hAnsi="Times New Roman" w:eastAsia="黑体" w:cs="Times New Roman"/>
          <w:color w:val="000000"/>
          <w:spacing w:val="12"/>
          <w:sz w:val="32"/>
          <w:szCs w:val="20"/>
        </w:rPr>
      </w:pPr>
      <w:bookmarkStart w:id="1" w:name="WH"/>
      <w:bookmarkEnd w:id="1"/>
      <w:r>
        <w:rPr>
          <w:rFonts w:hint="eastAsia" w:ascii="仿宋_GB2312" w:hAnsi="Times New Roman" w:eastAsia="仿宋_GB2312" w:cs="Times New Roman"/>
          <w:color w:val="000000"/>
          <w:spacing w:val="12"/>
          <w:sz w:val="28"/>
          <w:szCs w:val="20"/>
        </w:rPr>
        <w:t>〔20</w:t>
      </w:r>
      <w:r>
        <w:rPr>
          <w:rFonts w:hint="default" w:ascii="仿宋_GB2312" w:hAnsi="Times New Roman" w:eastAsia="仿宋_GB2312" w:cs="Times New Roman"/>
          <w:color w:val="000000"/>
          <w:spacing w:val="12"/>
          <w:sz w:val="28"/>
          <w:szCs w:val="20"/>
          <w:lang w:val="en-US"/>
        </w:rPr>
        <w:t>26</w:t>
      </w:r>
      <w:r>
        <w:rPr>
          <w:rFonts w:hint="eastAsia" w:ascii="仿宋_GB2312" w:hAnsi="Times New Roman" w:eastAsia="仿宋_GB2312" w:cs="Times New Roman"/>
          <w:color w:val="000000"/>
          <w:spacing w:val="12"/>
          <w:sz w:val="28"/>
          <w:szCs w:val="20"/>
        </w:rPr>
        <w:t>〕</w:t>
      </w:r>
      <w:r>
        <w:rPr>
          <w:rFonts w:hint="default" w:ascii="仿宋_GB2312" w:hAnsi="Times New Roman" w:eastAsia="仿宋_GB2312" w:cs="Times New Roman"/>
          <w:color w:val="000000"/>
          <w:spacing w:val="12"/>
          <w:sz w:val="28"/>
          <w:szCs w:val="20"/>
          <w:lang w:val="en-US"/>
        </w:rPr>
        <w:t>119</w:t>
      </w:r>
      <w:r>
        <w:rPr>
          <w:rFonts w:hint="eastAsia" w:ascii="仿宋_GB2312" w:hAnsi="Times New Roman" w:eastAsia="仿宋_GB2312" w:cs="Times New Roman"/>
          <w:color w:val="000000"/>
          <w:spacing w:val="12"/>
          <w:sz w:val="28"/>
          <w:szCs w:val="20"/>
        </w:rPr>
        <w:t>号</w:t>
      </w:r>
    </w:p>
    <w:p>
      <w:pPr>
        <w:snapToGrid w:val="0"/>
        <w:jc w:val="center"/>
        <w:rPr>
          <w:rFonts w:hint="eastAsia" w:ascii="仿宋_GB2312" w:hAnsi="仿宋_GB2312" w:eastAsia="仿宋_GB2312" w:cs="Times New Roman"/>
          <w:sz w:val="28"/>
          <w:szCs w:val="28"/>
        </w:rPr>
      </w:pPr>
      <w:r>
        <w:rPr>
          <w:rFonts w:ascii="Times New Roman" w:hAnsi="Times New Roman" w:cs="Times New Roman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80645</wp:posOffset>
                </wp:positionH>
                <wp:positionV relativeFrom="paragraph">
                  <wp:posOffset>128905</wp:posOffset>
                </wp:positionV>
                <wp:extent cx="5551805" cy="635"/>
                <wp:effectExtent l="0" t="0" r="0" b="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51805" cy="635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6.35pt;margin-top:10.15pt;height:0.05pt;width:437.15pt;z-index:251659264;mso-width-relative:page;mso-height-relative:page;" filled="f" stroked="t" coordsize="21600,21600" o:gfxdata="UEsFBgAAAAAAAAAAAAAAAAAAAAAAAFBLAwQKAAAAAACHTuJAAAAAAAAAAAAAAAAABAAAAGRycy9Q&#10;SwMEFAAAAAgAh07iQMwvtZLWAAAACAEAAA8AAABkcnMvZG93bnJldi54bWxNj8FOwzAQRO9I/IO1&#10;SNyo3VCREOJUCAlOcGgpB25OvMSB2I5sNwl/z/ZEj7Mzmn1TbRc7sAlD7L2TsF4JYOhar3vXSTi8&#10;P98UwGJSTqvBO5TwixG29eVFpUrtZ7fDaZ86RiUulkqCSWksOY+tQaviyo/oyPvywapEMnRcBzVT&#10;uR14JsQdt6p39MGoEZ8Mtj/7o5Wwef1oxjmYz8PuZcnvcZmnt+9HKa+v1uIBWMIl/YfhhE/oUBNT&#10;449ORzaQznJKSsjELTDyiyKnbc3psAFeV/x8QP0HUEsDBBQAAAAIAIdO4kAV8uZj/QEAAPUDAAAO&#10;AAAAZHJzL2Uyb0RvYy54bWytU82O0zAQviPxDpbvNGlRllXUdA9bygVBJeABXNtJLPlPHrdpX4IX&#10;QOIGJ47ceRt2H4OxE8qyXHogB2fsGX+e75uZ5c3RaHKQAZSzDZ3PSkqk5U4o2zX0w/vNs2tKIDIr&#10;mHZWNvQkgd6snj5ZDr6WC9c7LWQgCGKhHnxD+xh9XRTAe2kYzJyXFp2tC4ZF3IauEIENiG50sSjL&#10;q2JwQfjguATA0/XopBNiuATQta3icu343kgbR9QgNYtICXrlga5ytm0reXzbtiAj0Q1FpjGv+Aja&#10;u7QWqyWru8B8r/iUArskhUecDFMWHz1DrVlkZB/UP1BG8eDAtXHGnSlGIlkRZDEvH2nzrmdeZi4o&#10;Nfiz6PD/YPmbwzYQJbATKLHMYMHvPn3/+fHL/Y/PuN59+0rmSaTBQ42xt3Ybph34bUiMj20w6Y9c&#10;yDELezoLK4+RcDysqmp+XVaUcPRdPa8SYvHnqg8QX0lnSDIaqpVNrFnNDq8hjqG/Q9KxtmTAfBcv&#10;SqwiZ9iDLdYeTeORB9guXwanldgordMVCN3uVgdyYNgHm02J35TDX2HplTWDfozLrhTG6l4y8dIK&#10;Ek8eFbI4GDTlYKSgREuco2TlyMiUviQS6WuboGXu0oloknkUNlk7J05Ynb0PqutRmFyJInmwG7KC&#10;U+emdnu4R/vhtK5+A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FAAAAAgAh07iQIoUZjzRAAAA&#10;lAEAAAsAAAAAAAAAAQAgAAAAiAMAAF9yZWxzLy5yZWxzUEsBAhQAFAAAAAgAh07iQMwvtZLWAAAA&#10;CAEAAA8AAAAAAAAAAQAgAAAAOAAAAGRycy9kb3ducmV2LnhtbFBLAQIUABQAAAAIAIdO4kAV8uZj&#10;/QEAAPUDAAAOAAAAAAAAAAEAIAAAADsBAABkcnMvZTJvRG9jLnhtbFBLAQIUAAoAAAAAAIdO4kAA&#10;AAAAAAAAAAAAAAAEAAAAAAAAAAAAEAAAABYAAABkcnMvUEsBAhQACgAAAAAAh07iQAAAAAAAAAAA&#10;AAAAAAYAAAAAAAAAAAAQAAAAZAMAAF9yZWxzL1BLBQYAAAAABgAGAFkBAACqBQAAAAA=&#10;">
                <v:fill on="f" focussize="0,0"/>
                <v:stroke weight="1pt" color="#FF0000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jc w:val="center"/>
        <w:rPr>
          <w:rFonts w:hint="eastAsia" w:ascii="Times New Roman" w:hAnsi="Times New Roman" w:cs="Times New Roman"/>
          <w:sz w:val="28"/>
          <w:szCs w:val="28"/>
        </w:rPr>
      </w:pPr>
    </w:p>
    <w:p>
      <w:pPr>
        <w:widowControl w:val="0"/>
        <w:pBdr>
          <w:bottom w:val="none" w:color="auto" w:sz="0" w:space="0"/>
        </w:pBdr>
        <w:tabs>
          <w:tab w:val="left" w:pos="420"/>
        </w:tabs>
        <w:overflowPunct w:val="0"/>
        <w:adjustRightInd w:val="0"/>
        <w:snapToGrid w:val="0"/>
        <w:spacing w:afterLines="0" w:line="240" w:lineRule="auto"/>
        <w:jc w:val="center"/>
        <w:rPr>
          <w:rFonts w:hint="default" w:ascii="Times New Roman" w:hAnsi="Times New Roman" w:eastAsia="方正小标宋简体" w:cs="Times New Roman"/>
          <w:spacing w:val="-11"/>
          <w:kern w:val="0"/>
          <w:sz w:val="44"/>
          <w:szCs w:val="18"/>
          <w:lang w:val="en-US" w:eastAsia="zh-CN" w:bidi="ar-SA"/>
        </w:rPr>
      </w:pPr>
      <w:bookmarkStart w:id="2" w:name="quanwen"/>
      <w:r>
        <w:rPr>
          <w:rFonts w:hint="default" w:ascii="Times New Roman" w:hAnsi="Times New Roman" w:eastAsia="方正小标宋简体" w:cs="Times New Roman"/>
          <w:spacing w:val="-11"/>
          <w:kern w:val="0"/>
          <w:sz w:val="44"/>
          <w:szCs w:val="18"/>
          <w:lang w:val="en-US" w:eastAsia="zh-CN" w:bidi="ar-SA"/>
        </w:rPr>
        <w:t>关于对岭南生态文旅股份有限公司采取责令改正</w:t>
      </w:r>
    </w:p>
    <w:p>
      <w:pPr>
        <w:widowControl w:val="0"/>
        <w:pBdr>
          <w:bottom w:val="none" w:color="auto" w:sz="0" w:space="0"/>
        </w:pBdr>
        <w:tabs>
          <w:tab w:val="left" w:pos="420"/>
        </w:tabs>
        <w:overflowPunct w:val="0"/>
        <w:adjustRightInd w:val="0"/>
        <w:snapToGrid w:val="0"/>
        <w:spacing w:afterLines="0" w:line="240" w:lineRule="auto"/>
        <w:jc w:val="center"/>
        <w:rPr>
          <w:rFonts w:hint="default" w:ascii="Times New Roman" w:hAnsi="Times New Roman" w:eastAsia="方正小标宋简体" w:cs="Times New Roman"/>
          <w:spacing w:val="-11"/>
          <w:kern w:val="0"/>
          <w:sz w:val="44"/>
          <w:szCs w:val="18"/>
          <w:lang w:val="en-US" w:eastAsia="zh-CN" w:bidi="ar-SA"/>
        </w:rPr>
      </w:pPr>
      <w:r>
        <w:rPr>
          <w:rFonts w:hint="default" w:ascii="Times New Roman" w:hAnsi="Times New Roman" w:eastAsia="方正小标宋简体" w:cs="Times New Roman"/>
          <w:spacing w:val="-11"/>
          <w:kern w:val="0"/>
          <w:sz w:val="44"/>
          <w:szCs w:val="18"/>
          <w:lang w:val="en-US" w:eastAsia="zh-CN" w:bidi="ar-SA"/>
        </w:rPr>
        <w:t>措施并对陈健波、尹洪卫、张平采取</w:t>
      </w:r>
    </w:p>
    <w:p>
      <w:pPr>
        <w:widowControl w:val="0"/>
        <w:pBdr>
          <w:bottom w:val="none" w:color="auto" w:sz="0" w:space="0"/>
        </w:pBdr>
        <w:tabs>
          <w:tab w:val="left" w:pos="420"/>
        </w:tabs>
        <w:overflowPunct w:val="0"/>
        <w:adjustRightInd w:val="0"/>
        <w:snapToGrid w:val="0"/>
        <w:spacing w:afterLines="0" w:line="240" w:lineRule="auto"/>
        <w:jc w:val="center"/>
        <w:rPr>
          <w:rFonts w:hint="default" w:ascii="Times New Roman" w:hAnsi="Times New Roman" w:eastAsia="方正小标宋简体" w:cs="Times New Roman"/>
          <w:spacing w:val="8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小标宋简体" w:cs="Times New Roman"/>
          <w:spacing w:val="-11"/>
          <w:kern w:val="0"/>
          <w:sz w:val="44"/>
          <w:szCs w:val="18"/>
          <w:lang w:val="en-US" w:eastAsia="zh-CN" w:bidi="ar-SA"/>
        </w:rPr>
        <w:t>出具警示函措施的决定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Lines="0" w:afterLines="0" w:line="336" w:lineRule="auto"/>
        <w:rPr>
          <w:rFonts w:hint="default" w:ascii="Times New Roman" w:hAnsi="Times New Roman" w:eastAsia="仿宋_GB2312" w:cs="Times New Roman"/>
          <w:spacing w:val="0"/>
          <w:kern w:val="0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Lines="0" w:afterLines="0" w:line="348" w:lineRule="auto"/>
        <w:rPr>
          <w:rFonts w:hint="eastAsia" w:ascii="仿宋_GB2312" w:hAnsi="仿宋_GB2312" w:eastAsia="仿宋_GB2312" w:cs="仿宋_GB2312"/>
          <w:spacing w:val="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kern w:val="0"/>
          <w:sz w:val="32"/>
          <w:szCs w:val="32"/>
          <w:lang w:val="en-US" w:eastAsia="zh-CN"/>
        </w:rPr>
        <w:t>岭南生态文旅股份有限公司、陈健波、尹洪卫、张平：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="0" w:beforeLines="0" w:after="0" w:afterLines="0" w:line="348" w:lineRule="auto"/>
        <w:ind w:left="0" w:leftChars="0" w:right="0" w:firstLine="64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经查，岭南生态文旅股份有限公司(以下简称</w:t>
      </w:r>
      <w:r>
        <w:rPr>
          <w:rFonts w:hint="eastAsia" w:ascii="仿宋_GB2312" w:hAnsi="仿宋_GB2312" w:eastAsia="仿宋_GB2312" w:cs="仿宋_GB2312"/>
          <w:snapToGrid w:val="0"/>
          <w:kern w:val="0"/>
          <w:sz w:val="32"/>
          <w:szCs w:val="32"/>
          <w:lang w:val="en-US" w:eastAsia="zh-CN"/>
        </w:rPr>
        <w:t>*ST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岭南或公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司）存在以下违规行为：</w:t>
      </w:r>
    </w:p>
    <w:p>
      <w:pPr>
        <w:keepNext w:val="0"/>
        <w:keepLines w:val="0"/>
        <w:pageBreakBefore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48" w:lineRule="auto"/>
        <w:ind w:firstLine="640" w:firstLineChars="200"/>
        <w:outlineLvl w:val="9"/>
        <w:rPr>
          <w:rFonts w:hint="eastAsia" w:ascii="仿宋_GB2312" w:hAnsi="仿宋_GB2312" w:eastAsia="仿宋_GB2312" w:cs="仿宋_GB2312"/>
          <w:snapToGrid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napToGrid w:val="0"/>
          <w:kern w:val="0"/>
          <w:sz w:val="32"/>
          <w:szCs w:val="32"/>
          <w:lang w:val="en-US" w:eastAsia="zh-CN"/>
        </w:rPr>
        <w:t>一、对外担保未履行董事会、股东会审议程序，未及时对外披露。</w:t>
      </w:r>
      <w:r>
        <w:rPr>
          <w:rFonts w:hint="eastAsia" w:ascii="仿宋_GB2312" w:hAnsi="仿宋_GB2312" w:eastAsia="仿宋_GB2312" w:cs="仿宋_GB2312"/>
          <w:snapToGrid w:val="0"/>
          <w:kern w:val="0"/>
          <w:sz w:val="32"/>
          <w:szCs w:val="32"/>
          <w:lang w:val="en-US" w:eastAsia="zh-CN"/>
        </w:rPr>
        <w:t>2023年9月</w:t>
      </w:r>
      <w:r>
        <w:rPr>
          <w:rFonts w:hint="default" w:ascii="仿宋_GB2312" w:hAnsi="仿宋_GB2312" w:eastAsia="仿宋_GB2312" w:cs="仿宋_GB2312"/>
          <w:snapToGrid w:val="0"/>
          <w:kern w:val="0"/>
          <w:sz w:val="32"/>
          <w:szCs w:val="32"/>
          <w:lang w:val="en-US" w:eastAsia="zh-CN"/>
        </w:rPr>
        <w:t>,</w:t>
      </w:r>
      <w:r>
        <w:rPr>
          <w:rFonts w:hint="eastAsia" w:ascii="仿宋_GB2312" w:hAnsi="仿宋_GB2312" w:eastAsia="仿宋_GB2312" w:cs="仿宋_GB2312"/>
          <w:snapToGrid w:val="0"/>
          <w:kern w:val="0"/>
          <w:sz w:val="32"/>
          <w:szCs w:val="32"/>
          <w:lang w:val="en-US" w:eastAsia="zh-CN"/>
        </w:rPr>
        <w:t>*ST岭南全资子公司淮北市岭南生态园林建设有限公司（以下简称淮北岭南）与广州</w:t>
      </w:r>
      <w:r>
        <w:rPr>
          <w:rFonts w:hint="eastAsia" w:ascii="仿宋_GB2312" w:hAnsi="仿宋_GB2312" w:eastAsia="仿宋_GB2312" w:cs="仿宋_GB2312"/>
          <w:snapToGrid w:val="0"/>
          <w:kern w:val="0"/>
          <w:sz w:val="32"/>
          <w:szCs w:val="32"/>
          <w:highlight w:val="none"/>
          <w:lang w:val="en-US" w:eastAsia="zh-CN"/>
        </w:rPr>
        <w:t>信诚商业保理有限公司签署保理融资合同，*ST岭南、东莞市岭南苗木有限公司、尹洪卫为淮北岭南提供担保。该担保未经董事会、股东会审议，公司未履行信息披露义务，违反了《上市公司监管指引第8号——上市公司资金往来、对外担保的监管要求》（证监会公告〔2022〕26号）第七条、第九条第一款第一项、第二项和第十二条、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《上市公司信息披露管理办法》（2021年修订，证监会令第182号）第三条第一款的规定。</w:t>
      </w:r>
    </w:p>
    <w:p>
      <w:pPr>
        <w:widowControl/>
        <w:numPr>
          <w:ilvl w:val="0"/>
          <w:numId w:val="0"/>
        </w:numPr>
        <w:adjustRightInd w:val="0"/>
        <w:snapToGrid w:val="0"/>
        <w:spacing w:before="0" w:beforeLines="0" w:afterLines="0" w:line="348" w:lineRule="auto"/>
        <w:ind w:firstLine="640" w:firstLineChars="0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highlight w:val="none"/>
          <w:lang w:val="en-US" w:eastAsia="zh-CN"/>
        </w:rPr>
        <w:t>二、重大诉讼、仲裁未及时披露。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截至2024年3月，公司及全资、控股子公司连续12个月发生的诉讼、仲裁事项累计涉案金额已超过公司最近一期净资产的10%，达到信息披露标准，公司未予及时披露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，违反了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《上市公司信息披露管理办法》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第三条第一款、第二十二条第二款第一项的规定。</w:t>
      </w:r>
    </w:p>
    <w:p>
      <w:pPr>
        <w:widowControl/>
        <w:numPr>
          <w:ilvl w:val="0"/>
          <w:numId w:val="0"/>
        </w:numPr>
        <w:adjustRightInd w:val="0"/>
        <w:snapToGrid w:val="0"/>
        <w:spacing w:before="0" w:beforeLines="0" w:afterLines="0" w:line="348" w:lineRule="auto"/>
        <w:ind w:firstLine="640" w:firstLineChars="0"/>
        <w:outlineLvl w:val="9"/>
        <w:rPr>
          <w:rFonts w:hint="eastAsia" w:ascii="仿宋_GB2312" w:hAnsi="仿宋_GB2312" w:eastAsia="仿宋_GB2312" w:cs="仿宋_GB2312"/>
          <w:spacing w:val="0"/>
          <w:kern w:val="0"/>
          <w:sz w:val="32"/>
          <w:szCs w:val="24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公司时任</w:t>
      </w:r>
      <w:r>
        <w:rPr>
          <w:rFonts w:hint="eastAsia" w:ascii="仿宋_GB2312" w:hAnsi="仿宋_GB2312" w:eastAsia="仿宋_GB2312" w:cs="仿宋_GB2312"/>
          <w:spacing w:val="0"/>
          <w:kern w:val="0"/>
          <w:sz w:val="32"/>
          <w:szCs w:val="24"/>
          <w:highlight w:val="none"/>
          <w:lang w:eastAsia="zh-CN"/>
        </w:rPr>
        <w:t>董事长</w:t>
      </w:r>
      <w:r>
        <w:rPr>
          <w:rFonts w:hint="eastAsia" w:ascii="仿宋_GB2312" w:hAnsi="仿宋_GB2312" w:eastAsia="仿宋_GB2312" w:cs="仿宋_GB2312"/>
          <w:spacing w:val="0"/>
          <w:kern w:val="0"/>
          <w:sz w:val="32"/>
          <w:szCs w:val="32"/>
          <w:highlight w:val="none"/>
          <w:lang w:val="en-US" w:eastAsia="zh-CN"/>
        </w:rPr>
        <w:t>陈健波、总裁尹洪卫</w:t>
      </w:r>
      <w:r>
        <w:rPr>
          <w:rFonts w:hint="eastAsia" w:ascii="仿宋_GB2312" w:hAnsi="仿宋_GB2312" w:eastAsia="仿宋_GB2312" w:cs="仿宋_GB2312"/>
          <w:spacing w:val="0"/>
          <w:kern w:val="0"/>
          <w:sz w:val="32"/>
          <w:szCs w:val="24"/>
          <w:highlight w:val="none"/>
          <w:lang w:eastAsia="zh-CN"/>
        </w:rPr>
        <w:t>、董事会秘书</w:t>
      </w:r>
      <w:r>
        <w:rPr>
          <w:rFonts w:hint="eastAsia" w:ascii="仿宋_GB2312" w:hAnsi="仿宋_GB2312" w:eastAsia="仿宋_GB2312" w:cs="仿宋_GB2312"/>
          <w:spacing w:val="0"/>
          <w:kern w:val="0"/>
          <w:sz w:val="32"/>
          <w:szCs w:val="32"/>
          <w:highlight w:val="none"/>
          <w:lang w:val="en-US" w:eastAsia="zh-CN"/>
        </w:rPr>
        <w:t>张平</w:t>
      </w:r>
      <w:r>
        <w:rPr>
          <w:rFonts w:hint="eastAsia" w:ascii="仿宋_GB2312" w:hAnsi="仿宋_GB2312" w:eastAsia="仿宋_GB2312" w:cs="仿宋_GB2312"/>
          <w:spacing w:val="0"/>
          <w:kern w:val="0"/>
          <w:sz w:val="32"/>
          <w:szCs w:val="24"/>
          <w:highlight w:val="none"/>
          <w:lang w:eastAsia="zh-CN"/>
        </w:rPr>
        <w:t>未按照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《上市公司信息披露管理办法》第四条的规定</w:t>
      </w:r>
      <w:r>
        <w:rPr>
          <w:rFonts w:hint="eastAsia" w:ascii="仿宋_GB2312" w:hAnsi="仿宋_GB2312" w:eastAsia="仿宋_GB2312" w:cs="仿宋_GB2312"/>
          <w:spacing w:val="0"/>
          <w:kern w:val="0"/>
          <w:sz w:val="32"/>
          <w:szCs w:val="24"/>
          <w:highlight w:val="none"/>
          <w:lang w:eastAsia="zh-CN"/>
        </w:rPr>
        <w:t>履行勤勉尽责义务，对公司上述违规行为负有主要责任。</w:t>
      </w:r>
    </w:p>
    <w:p>
      <w:pPr>
        <w:widowControl w:val="0"/>
        <w:adjustRightInd w:val="0"/>
        <w:snapToGrid w:val="0"/>
        <w:spacing w:before="0" w:beforeLines="0" w:afterLines="0" w:line="348" w:lineRule="auto"/>
        <w:ind w:firstLine="640" w:firstLineChars="200"/>
        <w:rPr>
          <w:rFonts w:hint="eastAsia" w:ascii="仿宋_GB2312" w:hAnsi="仿宋_GB2312" w:eastAsia="仿宋_GB2312" w:cs="仿宋_GB2312"/>
          <w:spacing w:val="0"/>
          <w:kern w:val="0"/>
          <w:sz w:val="32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根据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21"/>
          <w:highlight w:val="none"/>
          <w:lang w:val="en-US" w:eastAsia="zh-CN" w:bidi="ar-SA"/>
        </w:rPr>
        <w:t>《上市公司信息披露管理办法》</w:t>
      </w:r>
      <w:r>
        <w:rPr>
          <w:rFonts w:hint="eastAsia" w:ascii="仿宋_GB2312" w:hAnsi="仿宋_GB2312" w:eastAsia="仿宋_GB2312" w:cs="仿宋_GB2312"/>
          <w:spacing w:val="0"/>
          <w:kern w:val="0"/>
          <w:sz w:val="32"/>
          <w:szCs w:val="21"/>
          <w:highlight w:val="none"/>
          <w:lang w:val="en-US" w:eastAsia="zh-CN" w:bidi="ar-SA"/>
        </w:rPr>
        <w:t>第五十二条第一项、第三项的规定，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我局决定对</w:t>
      </w:r>
      <w:r>
        <w:rPr>
          <w:rFonts w:hint="eastAsia" w:ascii="仿宋_GB2312" w:hAnsi="仿宋_GB2312" w:eastAsia="仿宋_GB2312" w:cs="仿宋_GB2312"/>
          <w:spacing w:val="0"/>
          <w:kern w:val="0"/>
          <w:sz w:val="32"/>
          <w:szCs w:val="32"/>
          <w:highlight w:val="none"/>
          <w:lang w:val="en-US" w:eastAsia="zh-CN"/>
        </w:rPr>
        <w:t>岭南生态文旅股份有限公司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 w:bidi="ar-SA"/>
        </w:rPr>
        <w:t>采取责令改正的行政监管措施</w:t>
      </w:r>
      <w:r>
        <w:rPr>
          <w:rFonts w:hint="eastAsia" w:ascii="仿宋_GB2312" w:hAnsi="仿宋_GB2312" w:eastAsia="仿宋_GB2312" w:cs="仿宋_GB2312"/>
          <w:spacing w:val="0"/>
          <w:kern w:val="0"/>
          <w:sz w:val="32"/>
          <w:szCs w:val="32"/>
          <w:highlight w:val="none"/>
          <w:lang w:val="en-US" w:eastAsia="zh-CN"/>
        </w:rPr>
        <w:t>，对陈健波、尹洪卫、张平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采取出具警示函的行政监管措施。</w:t>
      </w:r>
      <w:r>
        <w:rPr>
          <w:rFonts w:hint="eastAsia" w:ascii="仿宋_GB2312" w:hAnsi="仿宋_GB2312" w:eastAsia="仿宋_GB2312" w:cs="仿宋_GB2312"/>
          <w:color w:val="000000"/>
          <w:spacing w:val="0"/>
          <w:kern w:val="0"/>
          <w:sz w:val="32"/>
          <w:szCs w:val="32"/>
          <w:highlight w:val="none"/>
          <w:lang w:val="en-US" w:eastAsia="zh-CN" w:bidi="ar-SA"/>
        </w:rPr>
        <w:t>你们应对上述问题认真自查和切实整改，认真吸取教训，</w:t>
      </w:r>
      <w:r>
        <w:rPr>
          <w:rFonts w:hint="eastAsia" w:ascii="仿宋_GB2312" w:hAnsi="仿宋_GB2312" w:eastAsia="仿宋_GB2312" w:cs="仿宋_GB2312"/>
          <w:color w:val="000000"/>
          <w:spacing w:val="0"/>
          <w:kern w:val="0"/>
          <w:sz w:val="32"/>
          <w:szCs w:val="32"/>
          <w:highlight w:val="none"/>
          <w:lang w:eastAsia="zh-CN" w:bidi="ar-SA"/>
        </w:rPr>
        <w:t>加强证券法律法规的学习，切实增强法治意识、规范意识，杜绝此类违规行为再次发生。公司应</w:t>
      </w:r>
      <w:r>
        <w:rPr>
          <w:rFonts w:hint="eastAsia" w:ascii="仿宋_GB2312" w:hAnsi="仿宋_GB2312" w:eastAsia="仿宋_GB2312" w:cs="仿宋_GB2312"/>
          <w:color w:val="000000"/>
          <w:spacing w:val="0"/>
          <w:kern w:val="0"/>
          <w:sz w:val="32"/>
          <w:szCs w:val="32"/>
          <w:highlight w:val="none"/>
          <w:lang w:val="en-US" w:eastAsia="zh-CN" w:bidi="ar-SA"/>
        </w:rPr>
        <w:t>于收到本行政监管措施决定书</w:t>
      </w:r>
      <w:r>
        <w:rPr>
          <w:rFonts w:hint="eastAsia" w:ascii="仿宋_GB2312" w:hAnsi="仿宋_GB2312" w:eastAsia="仿宋_GB2312" w:cs="仿宋_GB2312"/>
          <w:color w:val="000000"/>
          <w:spacing w:val="0"/>
          <w:kern w:val="0"/>
          <w:sz w:val="32"/>
          <w:szCs w:val="32"/>
          <w:highlight w:val="none"/>
          <w:lang w:eastAsia="zh-CN" w:bidi="ar-SA"/>
        </w:rPr>
        <w:t>之日起</w:t>
      </w:r>
      <w:r>
        <w:rPr>
          <w:rFonts w:hint="eastAsia" w:ascii="仿宋_GB2312" w:hAnsi="仿宋_GB2312" w:eastAsia="仿宋_GB2312" w:cs="仿宋_GB2312"/>
          <w:color w:val="000000"/>
          <w:spacing w:val="0"/>
          <w:kern w:val="0"/>
          <w:sz w:val="32"/>
          <w:szCs w:val="32"/>
          <w:highlight w:val="none"/>
          <w:lang w:val="en-US" w:eastAsia="zh-CN" w:bidi="ar-SA"/>
        </w:rPr>
        <w:t>30日内向我局报送整改情况报告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，并抄报深圳证券交易所</w:t>
      </w:r>
      <w:r>
        <w:rPr>
          <w:rFonts w:hint="eastAsia" w:ascii="仿宋_GB2312" w:hAnsi="仿宋_GB2312" w:eastAsia="仿宋_GB2312" w:cs="仿宋_GB2312"/>
          <w:color w:val="000000"/>
          <w:spacing w:val="0"/>
          <w:kern w:val="0"/>
          <w:sz w:val="32"/>
          <w:szCs w:val="32"/>
          <w:highlight w:val="none"/>
          <w:lang w:val="en-US" w:eastAsia="zh-CN" w:bidi="ar-SA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0" w:beforeLines="0" w:after="0" w:afterLines="0" w:line="348" w:lineRule="auto"/>
        <w:ind w:left="0" w:leftChars="0" w:right="0" w:firstLine="64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kern w:val="0"/>
          <w:sz w:val="32"/>
          <w:szCs w:val="32"/>
          <w:highlight w:val="none"/>
        </w:rPr>
        <w:t>如果对本监督管理措施不服，可以在收到本决定书之日起60日内向中国证券监督管</w:t>
      </w:r>
      <w:r>
        <w:rPr>
          <w:rFonts w:hint="eastAsia" w:ascii="仿宋_GB2312" w:hAnsi="仿宋_GB2312" w:eastAsia="仿宋_GB2312" w:cs="仿宋_GB2312"/>
          <w:color w:val="000000"/>
          <w:spacing w:val="0"/>
          <w:kern w:val="0"/>
          <w:sz w:val="32"/>
          <w:szCs w:val="32"/>
        </w:rPr>
        <w:t>理委员会提出行政复议申请</w:t>
      </w:r>
      <w:r>
        <w:rPr>
          <w:rFonts w:hint="eastAsia" w:ascii="仿宋_GB2312" w:hAnsi="仿宋_GB2312" w:eastAsia="仿宋_GB2312" w:cs="仿宋_GB2312"/>
          <w:color w:val="000000"/>
          <w:spacing w:val="0"/>
          <w:kern w:val="0"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spacing w:val="0"/>
          <w:kern w:val="0"/>
          <w:sz w:val="32"/>
          <w:szCs w:val="32"/>
        </w:rPr>
        <w:t>也可以在收到本决定书之日起6个月内向有管辖权的人民法院提起诉讼。复议与诉讼期间，上述监督管理措施不停止执行。</w:t>
      </w:r>
    </w:p>
    <w:p>
      <w:pPr>
        <w:widowControl w:val="0"/>
        <w:overflowPunct w:val="0"/>
        <w:snapToGrid w:val="0"/>
        <w:spacing w:line="360" w:lineRule="auto"/>
        <w:jc w:val="both"/>
        <w:rPr>
          <w:rFonts w:hint="eastAsia" w:ascii="仿宋_GB2312" w:hAnsi="仿宋_GB2312" w:eastAsia="仿宋_GB2312" w:cs="仿宋_GB2312"/>
          <w:color w:val="auto"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rPr>
          <w:rFonts w:ascii="宋体" w:hAnsi="宋体" w:eastAsia="宋体" w:cs="宋体"/>
          <w:color w:val="000000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rPr>
          <w:rFonts w:ascii="宋体" w:hAnsi="宋体" w:eastAsia="宋体" w:cs="宋体"/>
          <w:color w:val="000000"/>
          <w:sz w:val="28"/>
          <w:szCs w:val="28"/>
        </w:rPr>
      </w:pPr>
    </w:p>
    <w:p>
      <w:pPr>
        <w:overflowPunct w:val="0"/>
        <w:adjustRightInd w:val="0"/>
        <w:snapToGrid w:val="0"/>
        <w:spacing w:line="360" w:lineRule="auto"/>
        <w:ind w:right="1705"/>
        <w:jc w:val="right"/>
        <w:rPr>
          <w:rFonts w:hint="eastAsia" w:ascii="仿宋_GB2312" w:hAnsi="Times New Roman" w:eastAsia="仿宋_GB2312" w:cs="Times New Roman"/>
          <w:color w:val="000000"/>
          <w:sz w:val="32"/>
          <w:szCs w:val="24"/>
        </w:rPr>
      </w:pPr>
      <w:r>
        <w:rPr>
          <w:rFonts w:hint="eastAsia" w:ascii="仿宋_GB2312" w:hAnsi="Times New Roman" w:eastAsia="仿宋_GB2312" w:cs="Times New Roman"/>
          <w:color w:val="000000"/>
          <w:sz w:val="32"/>
          <w:szCs w:val="24"/>
        </w:rPr>
        <w:t>广东证监局</w:t>
      </w:r>
    </w:p>
    <w:p>
      <w:pPr>
        <w:numPr>
          <w:ilvl w:val="0"/>
          <w:numId w:val="0"/>
        </w:numPr>
        <w:pBdr>
          <w:top w:val="none" w:color="auto" w:sz="0" w:space="0"/>
          <w:bottom w:val="none" w:color="auto" w:sz="0" w:space="0"/>
        </w:pBdr>
        <w:overflowPunct w:val="0"/>
        <w:adjustRightInd w:val="0"/>
        <w:snapToGrid w:val="0"/>
        <w:spacing w:beforeLines="0" w:afterLines="0" w:line="360" w:lineRule="auto"/>
        <w:jc w:val="center"/>
        <w:outlineLvl w:val="9"/>
        <w:rPr>
          <w:rFonts w:ascii="Times New Roman" w:hAnsi="Times New Roman" w:eastAsia="宋体" w:cs="Times New Roman"/>
          <w:szCs w:val="20"/>
        </w:rPr>
      </w:pPr>
      <w:r>
        <w:rPr>
          <w:rFonts w:hint="eastAsia" w:ascii="仿宋_GB2312" w:hAnsi="Times New Roman" w:eastAsia="仿宋_GB2312" w:cs="Times New Roman"/>
          <w:color w:val="000000"/>
          <w:spacing w:val="10"/>
          <w:sz w:val="28"/>
          <w:szCs w:val="28"/>
          <w:lang w:val="en-US" w:eastAsia="zh-CN"/>
        </w:rPr>
        <w:t xml:space="preserve">   </w:t>
      </w:r>
      <w:r>
        <w:rPr>
          <w:rFonts w:hint="eastAsia" w:ascii="仿宋_GB2312" w:hAnsi="Times New Roman" w:eastAsia="仿宋_GB2312" w:cs="Times New Roman"/>
          <w:color w:val="000000"/>
          <w:spacing w:val="10"/>
          <w:sz w:val="32"/>
          <w:szCs w:val="32"/>
          <w:lang w:val="en-US" w:eastAsia="zh-CN"/>
        </w:rPr>
        <w:t xml:space="preserve">         </w:t>
      </w:r>
      <w:r>
        <w:rPr>
          <w:rFonts w:hint="default" w:ascii="仿宋_GB2312" w:hAnsi="Times New Roman" w:eastAsia="仿宋_GB2312" w:cs="Times New Roman"/>
          <w:color w:val="000000"/>
          <w:spacing w:val="10"/>
          <w:sz w:val="32"/>
          <w:szCs w:val="32"/>
          <w:lang w:val="en-US" w:eastAsia="zh-CN"/>
        </w:rPr>
        <w:t xml:space="preserve">     </w:t>
      </w:r>
      <w:r>
        <w:rPr>
          <w:rFonts w:hint="eastAsia" w:ascii="仿宋_GB2312" w:hAnsi="Times New Roman" w:eastAsia="仿宋_GB2312" w:cs="Times New Roman"/>
          <w:color w:val="000000"/>
          <w:spacing w:val="10"/>
          <w:sz w:val="32"/>
          <w:szCs w:val="32"/>
          <w:lang w:val="en-US" w:eastAsia="zh-CN"/>
        </w:rPr>
        <w:t xml:space="preserve">     </w:t>
      </w:r>
      <w:r>
        <w:rPr>
          <w:rFonts w:hint="eastAsia" w:ascii="仿宋_GB2312" w:hAnsi="Times New Roman" w:eastAsia="仿宋_GB2312" w:cs="Times New Roman"/>
          <w:color w:val="000000"/>
          <w:spacing w:val="10"/>
          <w:sz w:val="32"/>
          <w:szCs w:val="32"/>
          <w:lang w:eastAsia="zh-CN"/>
        </w:rPr>
        <w:t>2</w:t>
      </w:r>
      <w:r>
        <w:rPr>
          <w:rFonts w:hint="eastAsia" w:ascii="仿宋_GB2312" w:hAnsi="Times New Roman" w:eastAsia="仿宋_GB2312" w:cs="Times New Roman"/>
          <w:color w:val="000000"/>
          <w:spacing w:val="10"/>
          <w:sz w:val="32"/>
          <w:szCs w:val="32"/>
          <w:lang w:val="en-US" w:eastAsia="zh-CN"/>
        </w:rPr>
        <w:t>02</w:t>
      </w:r>
      <w:r>
        <w:rPr>
          <w:rFonts w:hint="default" w:ascii="仿宋_GB2312" w:hAnsi="Times New Roman" w:eastAsia="仿宋_GB2312" w:cs="Times New Roman"/>
          <w:color w:val="000000"/>
          <w:spacing w:val="10"/>
          <w:sz w:val="32"/>
          <w:szCs w:val="32"/>
          <w:lang w:val="en-US" w:eastAsia="zh-CN"/>
        </w:rPr>
        <w:t>6</w:t>
      </w:r>
      <w:r>
        <w:rPr>
          <w:rFonts w:hint="eastAsia" w:ascii="仿宋_GB2312" w:hAnsi="Times New Roman" w:eastAsia="仿宋_GB2312" w:cs="Times New Roman"/>
          <w:color w:val="000000"/>
          <w:spacing w:val="10"/>
          <w:sz w:val="32"/>
          <w:szCs w:val="32"/>
        </w:rPr>
        <w:t>年</w:t>
      </w:r>
      <w:r>
        <w:rPr>
          <w:rFonts w:hint="default" w:ascii="仿宋_GB2312" w:hAnsi="Calibri" w:eastAsia="仿宋_GB2312" w:cs="Times New Roman"/>
          <w:color w:val="000000"/>
          <w:spacing w:val="10"/>
          <w:sz w:val="32"/>
          <w:szCs w:val="32"/>
          <w:lang w:val="en-US" w:eastAsia="zh-CN"/>
        </w:rPr>
        <w:t>9</w:t>
      </w:r>
      <w:r>
        <w:rPr>
          <w:rFonts w:hint="eastAsia" w:ascii="仿宋_GB2312" w:hAnsi="Times New Roman" w:eastAsia="仿宋_GB2312" w:cs="Times New Roman"/>
          <w:color w:val="000000"/>
          <w:spacing w:val="10"/>
          <w:sz w:val="32"/>
          <w:szCs w:val="32"/>
        </w:rPr>
        <w:t>月</w:t>
      </w:r>
      <w:r>
        <w:rPr>
          <w:rFonts w:hint="eastAsia" w:ascii="仿宋_GB2312" w:hAnsi="Times New Roman" w:eastAsia="仿宋_GB2312" w:cs="Times New Roman"/>
          <w:color w:val="000000"/>
          <w:spacing w:val="10"/>
          <w:sz w:val="32"/>
          <w:szCs w:val="32"/>
          <w:lang w:val="en-US" w:eastAsia="zh-CN"/>
        </w:rPr>
        <w:t>1</w:t>
      </w:r>
      <w:r>
        <w:rPr>
          <w:rFonts w:hint="default" w:ascii="仿宋_GB2312" w:hAnsi="Times New Roman" w:eastAsia="仿宋_GB2312" w:cs="Times New Roman"/>
          <w:color w:val="000000"/>
          <w:spacing w:val="10"/>
          <w:sz w:val="32"/>
          <w:szCs w:val="32"/>
          <w:lang w:val="en-US" w:eastAsia="zh-CN"/>
        </w:rPr>
        <w:t>5</w:t>
      </w:r>
      <w:r>
        <w:rPr>
          <w:rFonts w:hint="eastAsia" w:ascii="仿宋_GB2312" w:hAnsi="Times New Roman" w:eastAsia="仿宋_GB2312" w:cs="Times New Roman"/>
          <w:color w:val="000000"/>
          <w:spacing w:val="10"/>
          <w:sz w:val="32"/>
          <w:szCs w:val="32"/>
        </w:rPr>
        <w:t>日</w:t>
      </w:r>
    </w:p>
    <w:p>
      <w:pPr>
        <w:snapToGrid w:val="0"/>
        <w:spacing w:beforeLines="0" w:afterLines="0" w:line="360" w:lineRule="auto"/>
        <w:ind w:right="0"/>
        <w:jc w:val="left"/>
        <w:rPr>
          <w:rFonts w:hint="eastAsia" w:ascii="宋体" w:hAnsi="宋体" w:eastAsia="宋体" w:cs="宋体"/>
          <w:spacing w:val="8"/>
          <w:sz w:val="32"/>
          <w:szCs w:val="32"/>
        </w:rPr>
      </w:pPr>
    </w:p>
    <w:p>
      <w:pPr>
        <w:snapToGrid w:val="0"/>
        <w:spacing w:beforeLines="0" w:afterLines="0" w:line="360" w:lineRule="auto"/>
        <w:ind w:right="0"/>
        <w:jc w:val="left"/>
        <w:rPr>
          <w:rFonts w:hint="eastAsia" w:ascii="宋体" w:hAnsi="宋体" w:eastAsia="宋体" w:cs="宋体"/>
          <w:spacing w:val="8"/>
          <w:sz w:val="32"/>
          <w:szCs w:val="32"/>
        </w:rPr>
      </w:pPr>
    </w:p>
    <w:p>
      <w:pPr>
        <w:snapToGrid w:val="0"/>
        <w:spacing w:beforeLines="0" w:afterLines="0" w:line="360" w:lineRule="auto"/>
        <w:ind w:right="0"/>
        <w:jc w:val="left"/>
        <w:rPr>
          <w:rFonts w:hint="eastAsia" w:ascii="宋体" w:hAnsi="宋体" w:eastAsia="宋体" w:cs="宋体"/>
          <w:spacing w:val="8"/>
          <w:sz w:val="32"/>
          <w:szCs w:val="32"/>
        </w:rPr>
      </w:pPr>
    </w:p>
    <w:p>
      <w:pPr>
        <w:snapToGrid w:val="0"/>
        <w:spacing w:beforeLines="0" w:afterLines="0" w:line="360" w:lineRule="auto"/>
        <w:ind w:right="0"/>
        <w:jc w:val="left"/>
        <w:rPr>
          <w:rFonts w:hint="eastAsia" w:ascii="宋体" w:hAnsi="宋体" w:eastAsia="宋体" w:cs="宋体"/>
          <w:spacing w:val="8"/>
          <w:sz w:val="32"/>
          <w:szCs w:val="32"/>
        </w:rPr>
      </w:pPr>
    </w:p>
    <w:p>
      <w:pPr>
        <w:snapToGrid w:val="0"/>
        <w:spacing w:beforeLines="0" w:afterLines="0" w:line="360" w:lineRule="auto"/>
        <w:ind w:right="0"/>
        <w:jc w:val="left"/>
        <w:rPr>
          <w:rFonts w:hint="eastAsia" w:ascii="宋体" w:hAnsi="宋体" w:eastAsia="宋体" w:cs="宋体"/>
          <w:spacing w:val="8"/>
          <w:sz w:val="32"/>
          <w:szCs w:val="32"/>
        </w:rPr>
      </w:pPr>
    </w:p>
    <w:p>
      <w:pPr>
        <w:snapToGrid w:val="0"/>
        <w:spacing w:beforeLines="0" w:afterLines="0" w:line="360" w:lineRule="auto"/>
        <w:ind w:right="0"/>
        <w:jc w:val="left"/>
        <w:rPr>
          <w:rFonts w:hint="eastAsia" w:ascii="宋体" w:hAnsi="宋体" w:eastAsia="宋体" w:cs="宋体"/>
          <w:spacing w:val="8"/>
          <w:sz w:val="32"/>
          <w:szCs w:val="32"/>
        </w:rPr>
      </w:pPr>
    </w:p>
    <w:p>
      <w:pPr>
        <w:snapToGrid w:val="0"/>
        <w:spacing w:beforeLines="0" w:afterLines="0" w:line="360" w:lineRule="auto"/>
        <w:ind w:right="0"/>
        <w:jc w:val="left"/>
        <w:rPr>
          <w:rFonts w:hint="eastAsia" w:ascii="宋体" w:hAnsi="宋体" w:eastAsia="宋体" w:cs="宋体"/>
          <w:spacing w:val="8"/>
          <w:sz w:val="32"/>
          <w:szCs w:val="32"/>
        </w:rPr>
      </w:pPr>
    </w:p>
    <w:p>
      <w:pPr>
        <w:snapToGrid w:val="0"/>
        <w:spacing w:beforeLines="0" w:afterLines="0" w:line="360" w:lineRule="auto"/>
        <w:ind w:right="0"/>
        <w:jc w:val="left"/>
        <w:rPr>
          <w:rFonts w:hint="eastAsia" w:ascii="宋体" w:hAnsi="宋体" w:eastAsia="宋体" w:cs="宋体"/>
          <w:spacing w:val="8"/>
          <w:sz w:val="32"/>
          <w:szCs w:val="32"/>
        </w:rPr>
      </w:pPr>
    </w:p>
    <w:p>
      <w:pPr>
        <w:snapToGrid w:val="0"/>
        <w:spacing w:beforeLines="0" w:afterLines="0" w:line="360" w:lineRule="auto"/>
        <w:ind w:right="0"/>
        <w:jc w:val="left"/>
        <w:rPr>
          <w:rFonts w:hint="eastAsia" w:ascii="宋体" w:hAnsi="宋体" w:eastAsia="宋体" w:cs="宋体"/>
          <w:spacing w:val="8"/>
          <w:sz w:val="32"/>
          <w:szCs w:val="32"/>
        </w:rPr>
      </w:pPr>
    </w:p>
    <w:p>
      <w:pPr>
        <w:snapToGrid w:val="0"/>
        <w:spacing w:beforeLines="0" w:afterLines="0" w:line="360" w:lineRule="auto"/>
        <w:ind w:right="0"/>
        <w:jc w:val="left"/>
        <w:rPr>
          <w:rFonts w:hint="eastAsia" w:ascii="宋体" w:hAnsi="宋体" w:eastAsia="宋体" w:cs="宋体"/>
          <w:spacing w:val="8"/>
          <w:sz w:val="32"/>
          <w:szCs w:val="32"/>
        </w:rPr>
      </w:pPr>
    </w:p>
    <w:p>
      <w:pPr>
        <w:snapToGrid w:val="0"/>
        <w:spacing w:beforeLines="0" w:afterLines="0" w:line="360" w:lineRule="auto"/>
        <w:ind w:right="0"/>
        <w:jc w:val="left"/>
        <w:rPr>
          <w:rFonts w:hint="eastAsia" w:ascii="宋体" w:hAnsi="宋体" w:eastAsia="宋体" w:cs="宋体"/>
          <w:spacing w:val="8"/>
          <w:sz w:val="32"/>
          <w:szCs w:val="32"/>
        </w:rPr>
      </w:pPr>
    </w:p>
    <w:p>
      <w:pPr>
        <w:snapToGrid w:val="0"/>
        <w:spacing w:beforeLines="0" w:afterLines="0" w:line="360" w:lineRule="auto"/>
        <w:ind w:right="0"/>
        <w:jc w:val="left"/>
        <w:rPr>
          <w:rFonts w:hint="eastAsia" w:ascii="宋体" w:hAnsi="宋体" w:eastAsia="宋体" w:cs="宋体"/>
          <w:spacing w:val="8"/>
          <w:sz w:val="32"/>
          <w:szCs w:val="32"/>
        </w:rPr>
      </w:pPr>
    </w:p>
    <w:p>
      <w:pPr>
        <w:snapToGrid w:val="0"/>
        <w:spacing w:beforeLines="0" w:afterLines="0" w:line="360" w:lineRule="auto"/>
        <w:ind w:right="0"/>
        <w:jc w:val="left"/>
        <w:rPr>
          <w:rFonts w:hint="eastAsia" w:ascii="宋体" w:hAnsi="宋体" w:eastAsia="宋体" w:cs="宋体"/>
          <w:spacing w:val="8"/>
          <w:sz w:val="32"/>
          <w:szCs w:val="32"/>
        </w:rPr>
      </w:pPr>
    </w:p>
    <w:p>
      <w:pPr>
        <w:snapToGrid w:val="0"/>
        <w:spacing w:beforeLines="0" w:afterLines="0" w:line="360" w:lineRule="auto"/>
        <w:ind w:right="0"/>
        <w:jc w:val="left"/>
        <w:rPr>
          <w:rFonts w:hint="eastAsia" w:ascii="宋体" w:hAnsi="宋体" w:eastAsia="宋体" w:cs="宋体"/>
          <w:spacing w:val="8"/>
          <w:sz w:val="32"/>
          <w:szCs w:val="32"/>
        </w:rPr>
      </w:pPr>
    </w:p>
    <w:p>
      <w:pPr>
        <w:snapToGrid w:val="0"/>
        <w:spacing w:beforeLines="0" w:afterLines="0" w:line="360" w:lineRule="auto"/>
        <w:ind w:right="0"/>
        <w:jc w:val="left"/>
        <w:rPr>
          <w:rFonts w:hint="eastAsia" w:ascii="宋体" w:hAnsi="宋体" w:eastAsia="宋体" w:cs="宋体"/>
          <w:spacing w:val="8"/>
          <w:sz w:val="32"/>
          <w:szCs w:val="32"/>
        </w:rPr>
      </w:pPr>
    </w:p>
    <w:p>
      <w:pPr>
        <w:snapToGrid w:val="0"/>
        <w:spacing w:beforeLines="0" w:afterLines="0" w:line="360" w:lineRule="auto"/>
        <w:ind w:right="0"/>
        <w:jc w:val="left"/>
        <w:rPr>
          <w:rFonts w:hint="eastAsia" w:ascii="宋体" w:hAnsi="宋体" w:eastAsia="宋体" w:cs="宋体"/>
          <w:spacing w:val="8"/>
          <w:sz w:val="32"/>
          <w:szCs w:val="32"/>
        </w:rPr>
      </w:pPr>
    </w:p>
    <w:p>
      <w:pPr>
        <w:snapToGrid w:val="0"/>
        <w:spacing w:beforeLines="0" w:afterLines="0" w:line="360" w:lineRule="auto"/>
        <w:ind w:right="0"/>
        <w:jc w:val="left"/>
        <w:rPr>
          <w:rFonts w:hint="eastAsia" w:ascii="宋体" w:hAnsi="宋体" w:eastAsia="宋体" w:cs="宋体"/>
          <w:spacing w:val="8"/>
          <w:sz w:val="32"/>
          <w:szCs w:val="32"/>
        </w:rPr>
      </w:pPr>
    </w:p>
    <w:p>
      <w:pPr>
        <w:snapToGrid w:val="0"/>
        <w:spacing w:beforeLines="0" w:afterLines="0" w:line="360" w:lineRule="auto"/>
        <w:ind w:right="0"/>
        <w:jc w:val="left"/>
        <w:rPr>
          <w:rFonts w:hint="eastAsia" w:ascii="宋体" w:hAnsi="宋体" w:eastAsia="宋体" w:cs="宋体"/>
          <w:spacing w:val="8"/>
          <w:sz w:val="32"/>
          <w:szCs w:val="32"/>
        </w:rPr>
      </w:pPr>
    </w:p>
    <w:p>
      <w:pPr>
        <w:snapToGrid w:val="0"/>
        <w:spacing w:beforeLines="0" w:afterLines="0" w:line="360" w:lineRule="auto"/>
        <w:ind w:right="0"/>
        <w:jc w:val="left"/>
        <w:rPr>
          <w:rFonts w:hint="eastAsia" w:ascii="宋体" w:hAnsi="宋体" w:eastAsia="宋体" w:cs="宋体"/>
          <w:spacing w:val="8"/>
          <w:sz w:val="32"/>
          <w:szCs w:val="32"/>
        </w:rPr>
      </w:pPr>
    </w:p>
    <w:p>
      <w:pPr>
        <w:snapToGrid w:val="0"/>
        <w:spacing w:beforeLines="0" w:afterLines="0" w:line="360" w:lineRule="auto"/>
        <w:ind w:right="0"/>
        <w:jc w:val="left"/>
        <w:rPr>
          <w:rFonts w:hint="eastAsia" w:ascii="宋体" w:hAnsi="宋体" w:eastAsia="宋体" w:cs="宋体"/>
          <w:spacing w:val="8"/>
          <w:sz w:val="32"/>
          <w:szCs w:val="32"/>
        </w:rPr>
      </w:pPr>
    </w:p>
    <w:p>
      <w:pPr>
        <w:snapToGrid w:val="0"/>
        <w:spacing w:beforeLines="0" w:afterLines="0" w:line="360" w:lineRule="auto"/>
        <w:ind w:right="0"/>
        <w:jc w:val="left"/>
        <w:rPr>
          <w:rFonts w:hint="eastAsia" w:ascii="宋体" w:hAnsi="宋体" w:eastAsia="宋体" w:cs="宋体"/>
          <w:spacing w:val="8"/>
          <w:sz w:val="32"/>
          <w:szCs w:val="32"/>
        </w:rPr>
      </w:pPr>
    </w:p>
    <w:p>
      <w:pPr>
        <w:snapToGrid w:val="0"/>
        <w:spacing w:beforeLines="0" w:afterLines="0" w:line="360" w:lineRule="auto"/>
        <w:ind w:right="0"/>
        <w:jc w:val="left"/>
        <w:rPr>
          <w:rFonts w:hint="eastAsia" w:ascii="宋体" w:hAnsi="宋体" w:eastAsia="宋体" w:cs="宋体"/>
          <w:spacing w:val="8"/>
          <w:sz w:val="32"/>
          <w:szCs w:val="32"/>
        </w:rPr>
      </w:pPr>
    </w:p>
    <w:p>
      <w:pPr>
        <w:snapToGrid w:val="0"/>
        <w:spacing w:beforeLines="0" w:afterLines="0" w:line="360" w:lineRule="auto"/>
        <w:ind w:right="0"/>
        <w:jc w:val="left"/>
        <w:rPr>
          <w:rFonts w:hint="eastAsia" w:ascii="宋体" w:hAnsi="宋体" w:eastAsia="宋体" w:cs="宋体"/>
          <w:spacing w:val="8"/>
          <w:sz w:val="32"/>
          <w:szCs w:val="32"/>
        </w:rPr>
      </w:pPr>
    </w:p>
    <w:p>
      <w:pPr>
        <w:snapToGrid w:val="0"/>
        <w:spacing w:beforeLines="0" w:afterLines="0" w:line="360" w:lineRule="auto"/>
        <w:ind w:right="0"/>
        <w:jc w:val="left"/>
        <w:rPr>
          <w:rFonts w:hint="eastAsia" w:ascii="宋体" w:hAnsi="宋体" w:eastAsia="宋体" w:cs="宋体"/>
          <w:spacing w:val="8"/>
          <w:sz w:val="32"/>
          <w:szCs w:val="32"/>
        </w:rPr>
      </w:pPr>
    </w:p>
    <w:p>
      <w:pPr>
        <w:snapToGrid w:val="0"/>
        <w:spacing w:beforeLines="0" w:afterLines="0" w:line="360" w:lineRule="auto"/>
        <w:ind w:right="0"/>
        <w:jc w:val="left"/>
        <w:rPr>
          <w:rFonts w:hint="eastAsia" w:ascii="宋体" w:hAnsi="宋体" w:eastAsia="宋体" w:cs="宋体"/>
          <w:spacing w:val="8"/>
          <w:sz w:val="32"/>
          <w:szCs w:val="32"/>
        </w:rPr>
      </w:pPr>
    </w:p>
    <w:p>
      <w:pPr>
        <w:snapToGrid w:val="0"/>
        <w:spacing w:beforeLines="0" w:afterLines="0" w:line="360" w:lineRule="auto"/>
        <w:ind w:right="0"/>
        <w:jc w:val="left"/>
        <w:rPr>
          <w:rFonts w:hint="eastAsia" w:ascii="宋体" w:hAnsi="宋体" w:eastAsia="宋体" w:cs="宋体"/>
          <w:spacing w:val="8"/>
          <w:sz w:val="32"/>
          <w:szCs w:val="32"/>
        </w:rPr>
      </w:pPr>
    </w:p>
    <w:p>
      <w:pPr>
        <w:snapToGrid w:val="0"/>
        <w:spacing w:beforeLines="0" w:afterLines="0" w:line="360" w:lineRule="auto"/>
        <w:ind w:right="0"/>
        <w:jc w:val="left"/>
        <w:rPr>
          <w:rFonts w:hint="eastAsia" w:ascii="宋体" w:hAnsi="宋体" w:eastAsia="宋体" w:cs="宋体"/>
          <w:spacing w:val="8"/>
          <w:sz w:val="32"/>
          <w:szCs w:val="32"/>
        </w:rPr>
      </w:pPr>
    </w:p>
    <w:p>
      <w:pPr>
        <w:snapToGrid w:val="0"/>
        <w:spacing w:beforeLines="0" w:afterLines="0" w:line="360" w:lineRule="auto"/>
        <w:ind w:right="0"/>
        <w:jc w:val="left"/>
        <w:rPr>
          <w:rFonts w:hint="eastAsia" w:ascii="宋体" w:hAnsi="宋体" w:eastAsia="宋体" w:cs="宋体"/>
          <w:spacing w:val="8"/>
          <w:sz w:val="32"/>
          <w:szCs w:val="32"/>
        </w:rPr>
      </w:pPr>
    </w:p>
    <w:p>
      <w:pPr>
        <w:snapToGrid w:val="0"/>
        <w:spacing w:beforeLines="0" w:afterLines="0" w:line="360" w:lineRule="auto"/>
        <w:ind w:right="0"/>
        <w:jc w:val="left"/>
        <w:rPr>
          <w:rFonts w:hint="eastAsia" w:ascii="宋体" w:hAnsi="宋体" w:eastAsia="宋体" w:cs="宋体"/>
          <w:spacing w:val="8"/>
          <w:sz w:val="32"/>
          <w:szCs w:val="32"/>
        </w:rPr>
      </w:pPr>
    </w:p>
    <w:p>
      <w:pPr>
        <w:snapToGrid w:val="0"/>
        <w:spacing w:beforeLines="0" w:afterLines="0" w:line="360" w:lineRule="auto"/>
        <w:ind w:right="0"/>
        <w:jc w:val="left"/>
        <w:rPr>
          <w:rFonts w:hint="eastAsia" w:ascii="宋体" w:hAnsi="宋体" w:eastAsia="宋体" w:cs="宋体"/>
          <w:spacing w:val="8"/>
          <w:sz w:val="32"/>
          <w:szCs w:val="32"/>
        </w:rPr>
      </w:pPr>
    </w:p>
    <w:p>
      <w:pPr>
        <w:snapToGrid w:val="0"/>
        <w:spacing w:beforeLines="0" w:afterLines="0" w:line="360" w:lineRule="auto"/>
        <w:ind w:right="0"/>
        <w:jc w:val="left"/>
        <w:rPr>
          <w:rFonts w:hint="eastAsia" w:ascii="宋体" w:hAnsi="宋体" w:eastAsia="宋体" w:cs="宋体"/>
          <w:spacing w:val="8"/>
          <w:sz w:val="24"/>
          <w:szCs w:val="24"/>
        </w:rPr>
      </w:pPr>
    </w:p>
    <w:p>
      <w:pPr>
        <w:widowControl w:val="0"/>
        <w:snapToGrid w:val="0"/>
        <w:spacing w:beforeLines="0" w:afterLines="0" w:line="360" w:lineRule="auto"/>
        <w:ind w:firstLine="0"/>
        <w:jc w:val="both"/>
        <w:textAlignment w:val="baseline"/>
        <w:rPr>
          <w:rFonts w:hint="eastAsia" w:ascii="宋体" w:hAnsi="宋体" w:eastAsia="宋体" w:cs="宋体"/>
          <w:kern w:val="0"/>
          <w:sz w:val="24"/>
          <w:szCs w:val="24"/>
          <w:lang w:val="en-US" w:eastAsia="zh-CN" w:bidi="ar-SA"/>
        </w:rPr>
      </w:pPr>
    </w:p>
    <w:p>
      <w:pPr>
        <w:pBdr>
          <w:top w:val="single" w:color="auto" w:sz="8" w:space="6"/>
        </w:pBdr>
        <w:adjustRightInd w:val="0"/>
        <w:snapToGrid w:val="0"/>
        <w:spacing w:after="109" w:afterLines="35"/>
        <w:ind w:firstLine="302" w:firstLineChars="100"/>
        <w:rPr>
          <w:rFonts w:hint="default" w:ascii="Times New Roman" w:hAnsi="Times New Roman" w:eastAsia="仿宋_GB2312" w:cs="Times New Roman"/>
          <w:spacing w:val="11"/>
          <w:sz w:val="28"/>
          <w:szCs w:val="20"/>
          <w:lang w:val="en-US" w:eastAsia="zh-CN"/>
        </w:rPr>
      </w:pPr>
      <w:r>
        <w:rPr>
          <w:rFonts w:hint="default" w:ascii="Times New Roman" w:hAnsi="Times New Roman" w:eastAsia="仿宋_GB2312" w:cs="Times New Roman"/>
          <w:spacing w:val="11"/>
          <w:sz w:val="28"/>
          <w:szCs w:val="20"/>
        </w:rPr>
        <w:t>抄送：</w:t>
      </w:r>
      <w:r>
        <w:rPr>
          <w:rFonts w:hint="default" w:ascii="Times New Roman" w:hAnsi="Times New Roman" w:eastAsia="仿宋_GB2312" w:cs="Times New Roman"/>
          <w:spacing w:val="11"/>
          <w:sz w:val="28"/>
          <w:szCs w:val="20"/>
          <w:lang w:eastAsia="zh-CN"/>
        </w:rPr>
        <w:t>证监</w:t>
      </w:r>
      <w:r>
        <w:rPr>
          <w:rFonts w:hint="default" w:ascii="Times New Roman" w:hAnsi="Times New Roman" w:eastAsia="仿宋_GB2312" w:cs="Times New Roman"/>
          <w:spacing w:val="11"/>
          <w:sz w:val="28"/>
          <w:szCs w:val="20"/>
        </w:rPr>
        <w:t>会</w:t>
      </w:r>
      <w:r>
        <w:rPr>
          <w:rFonts w:hint="eastAsia" w:ascii="Times New Roman" w:hAnsi="Times New Roman" w:eastAsia="仿宋_GB2312" w:cs="Times New Roman"/>
          <w:spacing w:val="11"/>
          <w:sz w:val="28"/>
          <w:szCs w:val="20"/>
          <w:lang w:eastAsia="zh-CN"/>
        </w:rPr>
        <w:t>上市司、</w:t>
      </w:r>
      <w:r>
        <w:rPr>
          <w:rFonts w:hint="default" w:ascii="Times New Roman" w:hAnsi="Times New Roman" w:eastAsia="仿宋_GB2312" w:cs="Times New Roman"/>
          <w:spacing w:val="11"/>
          <w:sz w:val="28"/>
          <w:szCs w:val="20"/>
        </w:rPr>
        <w:t>法治司；深圳证券交易所</w:t>
      </w:r>
      <w:r>
        <w:rPr>
          <w:rFonts w:hint="default" w:ascii="Times New Roman" w:hAnsi="Times New Roman" w:eastAsia="仿宋_GB2312" w:cs="Times New Roman"/>
          <w:spacing w:val="11"/>
          <w:sz w:val="28"/>
          <w:szCs w:val="20"/>
          <w:lang w:eastAsia="zh-CN"/>
        </w:rPr>
        <w:t>。</w:t>
      </w:r>
    </w:p>
    <w:p>
      <w:pPr>
        <w:pBdr>
          <w:top w:val="single" w:color="auto" w:sz="4" w:space="6"/>
        </w:pBdr>
        <w:adjustRightInd w:val="0"/>
        <w:snapToGrid w:val="0"/>
        <w:spacing w:after="109" w:afterLines="35"/>
        <w:ind w:firstLine="318"/>
        <w:jc w:val="left"/>
        <w:rPr>
          <w:rFonts w:hint="eastAsia" w:ascii="仿宋_GB2312" w:hAnsi="仿宋_GB2312" w:eastAsia="仿宋_GB2312" w:cs="仿宋_GB2312"/>
          <w:spacing w:val="8"/>
          <w:sz w:val="28"/>
          <w:szCs w:val="20"/>
        </w:rPr>
      </w:pPr>
      <w:r>
        <w:rPr>
          <w:rFonts w:hint="eastAsia" w:ascii="仿宋_GB2312" w:hAnsi="仿宋_GB2312" w:eastAsia="仿宋_GB2312" w:cs="仿宋_GB2312"/>
          <w:spacing w:val="8"/>
          <w:sz w:val="28"/>
          <w:szCs w:val="20"/>
        </w:rPr>
        <w:t xml:space="preserve">广东证监局办公室         </w:t>
      </w:r>
      <w:r>
        <w:rPr>
          <w:rFonts w:hint="eastAsia" w:ascii="仿宋_GB2312" w:hAnsi="仿宋_GB2312" w:eastAsia="仿宋_GB2312" w:cs="仿宋_GB2312"/>
          <w:spacing w:val="8"/>
          <w:sz w:val="28"/>
          <w:szCs w:val="20"/>
          <w:lang w:val="en-US"/>
        </w:rPr>
        <w:t xml:space="preserve"> </w:t>
      </w:r>
      <w:r>
        <w:rPr>
          <w:rFonts w:hint="eastAsia" w:ascii="仿宋_GB2312" w:hAnsi="仿宋_GB2312" w:eastAsia="仿宋_GB2312" w:cs="仿宋_GB2312"/>
          <w:spacing w:val="8"/>
          <w:sz w:val="28"/>
          <w:szCs w:val="20"/>
        </w:rPr>
        <w:t xml:space="preserve"> </w:t>
      </w:r>
      <w:r>
        <w:rPr>
          <w:rFonts w:hint="eastAsia" w:ascii="仿宋_GB2312" w:hAnsi="仿宋_GB2312" w:eastAsia="仿宋_GB2312" w:cs="仿宋_GB2312"/>
          <w:spacing w:val="8"/>
          <w:sz w:val="28"/>
          <w:szCs w:val="20"/>
          <w:lang w:val="en"/>
        </w:rPr>
        <w:t xml:space="preserve"> </w:t>
      </w:r>
      <w:r>
        <w:rPr>
          <w:rFonts w:hint="eastAsia" w:ascii="仿宋_GB2312" w:hAnsi="仿宋_GB2312" w:eastAsia="仿宋_GB2312" w:cs="仿宋_GB2312"/>
          <w:spacing w:val="8"/>
          <w:sz w:val="28"/>
          <w:szCs w:val="20"/>
        </w:rPr>
        <w:t xml:space="preserve">   </w:t>
      </w:r>
      <w:r>
        <w:rPr>
          <w:rFonts w:hint="eastAsia" w:ascii="仿宋_GB2312" w:hAnsi="仿宋_GB2312" w:eastAsia="仿宋_GB2312" w:cs="仿宋_GB2312"/>
          <w:spacing w:val="8"/>
          <w:sz w:val="28"/>
          <w:szCs w:val="20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8"/>
          <w:sz w:val="28"/>
          <w:szCs w:val="20"/>
          <w:lang w:val="en"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8"/>
          <w:sz w:val="28"/>
          <w:szCs w:val="20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8"/>
          <w:sz w:val="28"/>
          <w:szCs w:val="20"/>
        </w:rPr>
        <w:t xml:space="preserve"> </w:t>
      </w:r>
      <w:r>
        <w:rPr>
          <w:rFonts w:hint="eastAsia" w:ascii="仿宋_GB2312" w:hAnsi="仿宋_GB2312" w:eastAsia="仿宋_GB2312" w:cs="仿宋_GB2312"/>
          <w:spacing w:val="8"/>
          <w:sz w:val="28"/>
          <w:szCs w:val="20"/>
          <w:lang w:eastAsia="zh-CN"/>
        </w:rPr>
        <w:t>20</w:t>
      </w:r>
      <w:r>
        <w:rPr>
          <w:rFonts w:hint="eastAsia" w:ascii="仿宋_GB2312" w:hAnsi="仿宋_GB2312" w:eastAsia="仿宋_GB2312" w:cs="仿宋_GB2312"/>
          <w:spacing w:val="8"/>
          <w:sz w:val="28"/>
          <w:szCs w:val="20"/>
          <w:lang w:val="en-US" w:eastAsia="zh-CN"/>
        </w:rPr>
        <w:t>26</w:t>
      </w:r>
      <w:r>
        <w:rPr>
          <w:rFonts w:hint="eastAsia" w:ascii="仿宋_GB2312" w:hAnsi="仿宋_GB2312" w:eastAsia="仿宋_GB2312" w:cs="仿宋_GB2312"/>
          <w:spacing w:val="8"/>
          <w:sz w:val="28"/>
          <w:szCs w:val="20"/>
        </w:rPr>
        <w:t>年</w:t>
      </w:r>
      <w:r>
        <w:rPr>
          <w:rFonts w:hint="eastAsia" w:ascii="仿宋_GB2312" w:hAnsi="仿宋_GB2312" w:eastAsia="仿宋_GB2312" w:cs="仿宋_GB2312"/>
          <w:spacing w:val="8"/>
          <w:sz w:val="28"/>
          <w:szCs w:val="20"/>
          <w:lang w:val="en-US"/>
        </w:rPr>
        <w:t>9</w:t>
      </w:r>
      <w:r>
        <w:rPr>
          <w:rFonts w:hint="eastAsia" w:ascii="仿宋_GB2312" w:hAnsi="仿宋_GB2312" w:eastAsia="仿宋_GB2312" w:cs="仿宋_GB2312"/>
          <w:spacing w:val="8"/>
          <w:sz w:val="28"/>
          <w:szCs w:val="20"/>
        </w:rPr>
        <w:t>月</w:t>
      </w:r>
      <w:r>
        <w:rPr>
          <w:rFonts w:hint="eastAsia" w:ascii="仿宋_GB2312" w:hAnsi="仿宋_GB2312" w:eastAsia="仿宋_GB2312" w:cs="仿宋_GB2312"/>
          <w:spacing w:val="8"/>
          <w:sz w:val="28"/>
          <w:szCs w:val="20"/>
          <w:lang w:val="en-US"/>
        </w:rPr>
        <w:t>1</w:t>
      </w:r>
      <w:r>
        <w:rPr>
          <w:rFonts w:hint="default" w:ascii="仿宋_GB2312" w:hAnsi="仿宋_GB2312" w:eastAsia="仿宋_GB2312" w:cs="仿宋_GB2312"/>
          <w:spacing w:val="8"/>
          <w:sz w:val="28"/>
          <w:szCs w:val="20"/>
          <w:lang w:val="en-US"/>
        </w:rPr>
        <w:t>5</w:t>
      </w:r>
      <w:r>
        <w:rPr>
          <w:rFonts w:hint="eastAsia" w:ascii="仿宋_GB2312" w:hAnsi="仿宋_GB2312" w:eastAsia="仿宋_GB2312" w:cs="仿宋_GB2312"/>
          <w:spacing w:val="8"/>
          <w:sz w:val="28"/>
          <w:szCs w:val="20"/>
        </w:rPr>
        <w:t>日印发</w:t>
      </w:r>
    </w:p>
    <w:bookmarkEnd w:id="2"/>
    <w:p>
      <w:pPr>
        <w:pBdr>
          <w:top w:val="single" w:color="auto" w:sz="8" w:space="7"/>
        </w:pBdr>
        <w:overflowPunct w:val="0"/>
        <w:adjustRightInd w:val="0"/>
        <w:snapToGrid w:val="0"/>
        <w:spacing w:beforeLines="0" w:after="0" w:afterLines="0"/>
        <w:ind w:firstLine="0"/>
        <w:jc w:val="left"/>
        <w:rPr>
          <w:rFonts w:hint="default" w:ascii="Times New Roman" w:hAnsi="Times New Roman" w:eastAsia="仿宋_GB2312" w:cs="Times New Roman"/>
          <w:spacing w:val="8"/>
          <w:sz w:val="2"/>
          <w:szCs w:val="2"/>
        </w:rPr>
      </w:pPr>
    </w:p>
    <w:sectPr>
      <w:footerReference r:id="rId3" w:type="default"/>
      <w:pgSz w:w="11906" w:h="16838"/>
      <w:pgMar w:top="2097" w:right="1474" w:bottom="1984" w:left="1587" w:header="851" w:footer="1587" w:gutter="0"/>
      <w:pgNumType w:fmt="numberInDash"/>
      <w:cols w:space="0" w:num="1"/>
      <w:rtlGutter w:val="0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CAGKDB+CESI_FS_GB18030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240" w:lineRule="auto"/>
      <w:rPr>
        <w:rFonts w:hint="eastAsia" w:ascii="宋体" w:hAnsi="宋体" w:eastAsia="宋体" w:cs="宋体"/>
        <w:sz w:val="28"/>
        <w:lang w:val="en-US"/>
      </w:rPr>
    </w:pPr>
    <w:r>
      <w:rPr>
        <w:rFonts w:hint="eastAsia" w:ascii="宋体" w:hAnsi="宋体" w:eastAsia="宋体" w:cs="宋体"/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align>top</wp:align>
              </wp:positionV>
              <wp:extent cx="1828800" cy="1828800"/>
              <wp:effectExtent l="4445" t="4445" r="14605" b="14605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rFonts w:hint="eastAsia" w:ascii="宋体" w:hAnsi="宋体" w:eastAsia="宋体" w:cs="宋体"/>
                              <w:sz w:val="28"/>
                              <w:lang w:val="en-US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lang w:val="en-US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height:144pt;width:144pt;mso-position-horizontal:outside;mso-position-horizontal-relative:margin;mso-position-vertical:top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FYYw/KwIAAFUEAAAOAAAAZHJz&#10;L2Uyb0RvYy54bWytVM2O0zAQviPxDpbvNG0Rq6pquipbFSFV7EoFcXYdp4nkP9luk/IA8AacuHDn&#10;ufocfHaSLlo47IGLM/aMv/H3zUwWt62S5CScr43O6WQ0pkRobopaH3L66ePm1YwSH5gumDRa5PQs&#10;PL1dvnyxaOxcTE1lZCEcAYj288bmtArBzrPM80oo5kfGCg1naZxiAVt3yArHGqArmU3H45usMa6w&#10;znDhPU7XnZP2iO45gKYsay7Whh+V0KFDdUKyAEq+qq2ny/TashQ83JelF4HInIJpSCuSwN7HNVsu&#10;2PzgmK1q3j+BPecJTzgpVmskvUKtWWDk6Oq/oFTNnfGmDCNuVNYRSYqAxWT8RJtdxaxIXCC1t1fR&#10;/f+D5R9OD47URU6nlGimUPDL92+XH78uP7+SaZSnsX6OqJ1FXGjfmhZNM5x7HEbWbelU/IIPgR/i&#10;nq/iijYQHi/NprPZGC4O37ABfvZ43Tof3gmjSDRy6lC9JCo7bX3oQoeQmE2bTS1lqqDUpMnpzes3&#10;43Th6gG41MgRSXSPjVZo923PbG+KM4g503WGt3xTI/mW+fDAHFoBD8awhHsspTRIYnqLksq4L/86&#10;j/GoELyUNGitnGpMEiXyvUblABgGww3GfjD0Ud0Z9OoEQ2h5MnHBBTmYpTPqMyZoFXPAxTRHppyG&#10;wbwLXXtjArlYrVIQes2ysNU7yyN0FM/b1TFAwKRrFKVTotcK3ZYq009GbOc/9ynq8W+w/A1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BQAAAAIAIdO4kCKFGY80QAAAJQBAAALAAAAAAAAAAEAIAAA&#10;ALADAABfcmVscy8ucmVsc1BLAQIUABQAAAAIAIdO4kCzSVju0AAAAAUBAAAPAAAAAAAAAAEAIAAA&#10;ADgAAABkcnMvZG93bnJldi54bWxQSwECFAAUAAAACACHTuJABWGMPysCAABVBAAADgAAAAAAAAAB&#10;ACAAAAA1AQAAZHJzL2Uyb0RvYy54bWxQSwECFAAKAAAAAACHTuJAAAAAAAAAAAAAAAAABAAAAAAA&#10;AAAAABAAAAAWAAAAZHJzL1BLAQIUAAoAAAAAAIdO4kAAAAAAAAAAAAAAAAAGAAAAAAAAAAAAEAAA&#10;AIwDAABfcmVscy9QSwUGAAAAAAYABgBZAQAA0g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rPr>
                        <w:rFonts w:hint="eastAsia" w:ascii="宋体" w:hAnsi="宋体" w:eastAsia="宋体" w:cs="宋体"/>
                        <w:sz w:val="28"/>
                        <w:lang w:val="en-US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lang w:val="en-US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lang w:val="en-US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lang w:val="en-US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lang w:val="en-US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dit="readOnly" w:enforcement="0"/>
  <w:defaultTabStop w:val="420"/>
  <w:drawingGridHorizontalSpacing w:val="210"/>
  <w:drawingGridVerticalSpacing w:val="159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E7C3BFF"/>
    <w:rsid w:val="3DE7319B"/>
    <w:rsid w:val="3FFE3DF7"/>
    <w:rsid w:val="5D723B2D"/>
    <w:rsid w:val="75D6BDDC"/>
    <w:rsid w:val="75FF968A"/>
    <w:rsid w:val="7D5FA58B"/>
    <w:rsid w:val="7E9FD348"/>
    <w:rsid w:val="7F7B0834"/>
    <w:rsid w:val="7FBF9076"/>
    <w:rsid w:val="7FFBF899"/>
    <w:rsid w:val="AF78B197"/>
    <w:rsid w:val="B9EDD2D4"/>
    <w:rsid w:val="BEFEAEAD"/>
    <w:rsid w:val="BF57AB34"/>
    <w:rsid w:val="DF7F1255"/>
    <w:rsid w:val="DFBF908D"/>
    <w:rsid w:val="DFF7ECD2"/>
    <w:rsid w:val="E8FFD0EF"/>
    <w:rsid w:val="EED55FDB"/>
    <w:rsid w:val="EF7D8F75"/>
    <w:rsid w:val="EF7E2889"/>
    <w:rsid w:val="F5DBDBA1"/>
    <w:rsid w:val="F7F7F07E"/>
    <w:rsid w:val="F9EB2A17"/>
    <w:rsid w:val="FBA72A6C"/>
    <w:rsid w:val="FE7C3BFF"/>
    <w:rsid w:val="FF85AB30"/>
    <w:rsid w:val="FFF9D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NormalIndent"/>
    <w:basedOn w:val="1"/>
    <w:next w:val="1"/>
    <w:qFormat/>
    <w:uiPriority w:val="0"/>
    <w:pPr>
      <w:spacing w:line="240" w:lineRule="auto"/>
      <w:ind w:firstLine="420"/>
      <w:jc w:val="both"/>
      <w:textAlignment w:val="baseline"/>
    </w:pPr>
    <w:rPr>
      <w:rFonts w:ascii="宋体" w:hAnsi="Calibri"/>
      <w:kern w:val="0"/>
      <w:sz w:val="21"/>
      <w:szCs w:val="24"/>
      <w:lang w:val="en-US" w:eastAsia="zh-CN" w:bidi="ar-SA"/>
    </w:rPr>
  </w:style>
  <w:style w:type="paragraph" w:customStyle="1" w:styleId="7">
    <w:name w:val="p0"/>
    <w:basedOn w:val="1"/>
    <w:qFormat/>
    <w:uiPriority w:val="0"/>
    <w:pPr>
      <w:widowControl/>
    </w:pPr>
    <w:rPr>
      <w:rFonts w:hint="eastAsi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Office_11.8.2.11764_F1E327BC-269C-435d-A152-05C5408002CA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2026-05-05T01:30:00Z</dcterms:created>
  <dc:creator>李沛霖</dc:creator>
  <cp:lastModifiedBy>李沛霖</cp:lastModifiedBy>
  <dcterms:modified xsi:type="dcterms:W3CDTF">2026-09-18T14:56:01Z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2052-11.8.2.11764</vt:lpwstr>
  </property>
  <property fmtid="{D5CDD505-2E9C-101B-9397-08002B2CF9AE}" pid="3" name="ICV">
    <vt:lpwstr>6D631CCD087C91E06CE0AC6AC5C69374</vt:lpwstr>
  </property>
</Properties>
</file>