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20"/>
        </w:tabs>
        <w:jc w:val="center"/>
        <w:rPr>
          <w:rFonts w:hint="eastAsia" w:ascii="方正小标宋简体" w:hAnsi="方正小标宋简体" w:eastAsia="方正小标宋简体"/>
          <w:b/>
          <w:color w:val="FF0000"/>
          <w:w w:val="95"/>
          <w:kern w:val="0"/>
          <w:sz w:val="44"/>
          <w:szCs w:val="116"/>
        </w:rPr>
      </w:pPr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>
      <w:pPr>
        <w:jc w:val="center"/>
        <w:rPr>
          <w:rFonts w:hint="eastAsia" w:ascii="方正小标宋简体" w:hAnsi="方正小标宋简体" w:eastAsia="方正小标宋简体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>
      <w:pPr>
        <w:snapToGrid w:val="0"/>
        <w:spacing w:before="156" w:beforeLines="50" w:line="300" w:lineRule="auto"/>
        <w:jc w:val="center"/>
        <w:rPr>
          <w:rFonts w:ascii="黑体" w:hAnsi="Times New Roman" w:eastAsia="黑体" w:cs="Times New Roman"/>
          <w:color w:val="000000"/>
          <w:spacing w:val="12"/>
          <w:sz w:val="32"/>
        </w:rPr>
      </w:pPr>
      <w:bookmarkStart w:id="1" w:name="_GoBack"/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〔20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lang w:val="en-US" w:eastAsia="zh-CN"/>
        </w:rPr>
        <w:t>2</w:t>
      </w:r>
      <w:r>
        <w:rPr>
          <w:rFonts w:hint="default" w:ascii="仿宋_GB2312" w:eastAsia="仿宋_GB2312" w:cs="Times New Roman"/>
          <w:color w:val="000000"/>
          <w:spacing w:val="12"/>
          <w:sz w:val="28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lang w:val="en-US"/>
        </w:rPr>
        <w:t>125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</w:rPr>
        <w:t>号</w:t>
      </w:r>
      <w:bookmarkEnd w:id="1"/>
    </w:p>
    <w:p>
      <w:pPr>
        <w:snapToGrid w:val="0"/>
        <w:jc w:val="center"/>
        <w:rPr>
          <w:rFonts w:hint="eastAsia" w:ascii="仿宋_GB2312" w:hAnsi="仿宋_GB2312" w:eastAsia="仿宋_GB2312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128905</wp:posOffset>
                </wp:positionV>
                <wp:extent cx="555180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10.15pt;height:0.05pt;width:437.15pt;z-index:251659264;mso-width-relative:page;mso-height-relative:page;" filled="f" stroked="t" coordsize="21600,21600" o:gfxdata="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FgAAAGRycy9QSwEC&#10;FAAUAAAACACHTuJAzC+1ktYAAAAIAQAADwAAAAAAAAABACAAAAA4AAAAZHJzL2Rvd25yZXYueG1s&#10;UEsBAhQAFAAAAAgAh07iQCiR+N7kAQAAqgMAAA4AAAAAAAAAAQAgAAAAOwEAAGRycy9lMm9Eb2Mu&#10;eG1sUEsFBgAAAAAGAAYAWQEAAJEF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rFonts w:hint="eastAsia"/>
          <w:sz w:val="28"/>
          <w:szCs w:val="28"/>
        </w:rPr>
      </w:pPr>
    </w:p>
    <w:p>
      <w:pPr>
        <w:pStyle w:val="4"/>
        <w:widowControl/>
        <w:pBdr>
          <w:bottom w:val="none" w:color="auto" w:sz="0" w:space="0"/>
        </w:pBdr>
        <w:adjustRightInd w:val="0"/>
        <w:snapToGrid w:val="0"/>
        <w:spacing w:afterLines="0" w:line="240" w:lineRule="auto"/>
        <w:jc w:val="center"/>
        <w:rPr>
          <w:rFonts w:hint="eastAsia" w:ascii="方正小标宋简体" w:hAnsi="方正小标宋简体" w:eastAsia="方正小标宋简体"/>
          <w:kern w:val="0"/>
          <w:sz w:val="44"/>
          <w:lang w:eastAsia="zh-CN"/>
        </w:rPr>
      </w:pPr>
      <w:bookmarkStart w:id="0" w:name="quanwen"/>
      <w:r>
        <w:rPr>
          <w:rFonts w:hint="eastAsia" w:ascii="方正小标宋简体" w:hAnsi="方正小标宋简体" w:eastAsia="方正小标宋简体"/>
          <w:kern w:val="0"/>
          <w:sz w:val="44"/>
        </w:rPr>
        <w:t>关</w:t>
      </w:r>
      <w:r>
        <w:rPr>
          <w:rFonts w:hint="eastAsia" w:ascii="方正小标宋简体" w:hAnsi="方正小标宋简体" w:eastAsia="方正小标宋简体"/>
          <w:b w:val="0"/>
          <w:bCs w:val="0"/>
          <w:kern w:val="0"/>
          <w:sz w:val="44"/>
        </w:rPr>
        <w:t>于</w:t>
      </w:r>
      <w:r>
        <w:rPr>
          <w:rFonts w:hint="eastAsia" w:ascii="方正小标宋简体" w:hAnsi="方正小标宋简体" w:eastAsia="方正小标宋简体"/>
          <w:kern w:val="0"/>
          <w:sz w:val="44"/>
        </w:rPr>
        <w:t>对</w:t>
      </w:r>
      <w:r>
        <w:rPr>
          <w:rFonts w:hint="eastAsia" w:ascii="方正小标宋简体" w:hAnsi="方正小标宋简体" w:eastAsia="方正小标宋简体" w:cs="方正小标宋简体"/>
          <w:sz w:val="44"/>
          <w:lang w:eastAsia="zh-CN"/>
        </w:rPr>
        <w:t>中达安股份</w:t>
      </w:r>
      <w:r>
        <w:rPr>
          <w:rFonts w:hint="eastAsia" w:ascii="方正小标宋简体" w:hAnsi="方正小标宋简体" w:eastAsia="方正小标宋简体"/>
          <w:kern w:val="0"/>
          <w:sz w:val="44"/>
          <w:lang w:val="en-US" w:eastAsia="zh-CN"/>
        </w:rPr>
        <w:t>有限公司、</w:t>
      </w:r>
      <w:r>
        <w:rPr>
          <w:rFonts w:hint="eastAsia" w:ascii="方正小标宋简体" w:hAnsi="方正小标宋简体" w:eastAsia="方正小标宋简体"/>
          <w:kern w:val="0"/>
          <w:sz w:val="44"/>
          <w:lang w:eastAsia="zh-CN"/>
        </w:rPr>
        <w:t>张萌、</w:t>
      </w:r>
    </w:p>
    <w:p>
      <w:pPr>
        <w:pStyle w:val="4"/>
        <w:widowControl/>
        <w:pBdr>
          <w:bottom w:val="none" w:color="auto" w:sz="0" w:space="0"/>
        </w:pBdr>
        <w:adjustRightInd w:val="0"/>
        <w:snapToGrid w:val="0"/>
        <w:spacing w:afterLines="0" w:line="240" w:lineRule="auto"/>
        <w:jc w:val="center"/>
        <w:rPr>
          <w:rFonts w:hint="eastAsia" w:ascii="方正小标宋简体" w:hAnsi="方正小标宋简体" w:eastAsia="方正小标宋简体"/>
          <w:kern w:val="0"/>
          <w:sz w:val="44"/>
        </w:rPr>
      </w:pPr>
      <w:r>
        <w:rPr>
          <w:rFonts w:hint="eastAsia" w:ascii="方正小标宋简体" w:hAnsi="方正小标宋简体" w:eastAsia="方正小标宋简体"/>
          <w:kern w:val="0"/>
          <w:sz w:val="44"/>
          <w:lang w:eastAsia="zh-CN"/>
        </w:rPr>
        <w:t>吴君晔、陈天宝、杨萍、张龙</w:t>
      </w:r>
      <w:r>
        <w:rPr>
          <w:rFonts w:hint="eastAsia" w:ascii="方正小标宋简体" w:hAnsi="方正小标宋简体" w:eastAsia="方正小标宋简体"/>
          <w:kern w:val="0"/>
          <w:sz w:val="44"/>
        </w:rPr>
        <w:t>采取</w:t>
      </w:r>
    </w:p>
    <w:p>
      <w:pPr>
        <w:pStyle w:val="4"/>
        <w:widowControl/>
        <w:pBdr>
          <w:bottom w:val="none" w:color="auto" w:sz="0" w:space="0"/>
        </w:pBdr>
        <w:adjustRightInd w:val="0"/>
        <w:snapToGrid w:val="0"/>
        <w:spacing w:afterLines="0" w:line="240" w:lineRule="auto"/>
        <w:jc w:val="center"/>
        <w:rPr>
          <w:rFonts w:hint="default" w:ascii="方正小标宋简体" w:hAnsi="方正小标宋简体" w:eastAsia="方正小标宋简体"/>
          <w:kern w:val="0"/>
          <w:sz w:val="44"/>
        </w:rPr>
      </w:pPr>
      <w:r>
        <w:rPr>
          <w:rFonts w:hint="eastAsia" w:ascii="方正小标宋简体" w:hAnsi="方正小标宋简体" w:eastAsia="方正小标宋简体"/>
          <w:b w:val="0"/>
          <w:bCs w:val="0"/>
          <w:kern w:val="0"/>
          <w:sz w:val="44"/>
        </w:rPr>
        <w:t>出具</w:t>
      </w:r>
      <w:r>
        <w:rPr>
          <w:rFonts w:hint="eastAsia" w:ascii="方正小标宋简体" w:hAnsi="方正小标宋简体" w:eastAsia="方正小标宋简体"/>
          <w:kern w:val="0"/>
          <w:sz w:val="44"/>
        </w:rPr>
        <w:t>警示函措施的决定</w:t>
      </w:r>
    </w:p>
    <w:p>
      <w:pPr>
        <w:adjustRightInd w:val="0"/>
        <w:snapToGrid w:val="0"/>
        <w:spacing w:afterLines="0" w:line="240" w:lineRule="auto"/>
        <w:rPr>
          <w:rFonts w:hint="eastAsia" w:ascii="方正小标宋简体" w:hAnsi="方正小标宋简体" w:eastAsia="方正小标宋简体" w:cs="方正小标宋简体"/>
          <w:spacing w:val="8"/>
          <w:kern w:val="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</w:pP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lang w:val="en-US" w:eastAsia="zh-CN"/>
        </w:rPr>
        <w:t>中达安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  <w:t>股份有限公司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lang w:val="en-US" w:eastAsia="zh-CN"/>
        </w:rPr>
        <w:t>、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  <w:t>张萌、吴君晔、陈天宝、杨萍、张龙：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rPr>
          <w:rFonts w:hint="eastAsia" w:ascii="仿宋_GB2312" w:hAnsi="仿宋_GB2312" w:eastAsia="仿宋_GB2312" w:cs="Times New Roman"/>
          <w:kern w:val="0"/>
          <w:sz w:val="32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  <w:t>根据《上市公司现场检查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lang w:val="en-US" w:eastAsia="zh-CN"/>
        </w:rPr>
        <w:t>规则</w:t>
      </w:r>
      <w:r>
        <w:rPr>
          <w:rFonts w:hint="eastAsia" w:ascii="仿宋_GB2312" w:hAnsi="仿宋_GB2312" w:eastAsia="仿宋_GB2312" w:cs="Times New Roman"/>
          <w:kern w:val="0"/>
          <w:sz w:val="32"/>
          <w:szCs w:val="20"/>
          <w:lang w:val="en-US" w:eastAsia="zh-CN"/>
        </w:rPr>
        <w:t>》（证监会公告〔2022〕21号）等规定，我局对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lang w:val="en-US" w:eastAsia="zh-CN"/>
        </w:rPr>
        <w:t>中达安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  <w:t>股份有限公司</w:t>
      </w:r>
      <w:r>
        <w:rPr>
          <w:rFonts w:hint="eastAsia" w:ascii="仿宋_GB2312" w:hAnsi="仿宋_GB2312" w:eastAsia="仿宋_GB2312" w:cs="宋体"/>
          <w:snapToGrid w:val="0"/>
          <w:color w:val="auto"/>
          <w:spacing w:val="8"/>
          <w:kern w:val="0"/>
          <w:sz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/>
          <w:b w:val="0"/>
          <w:bCs w:val="0"/>
          <w:color w:val="auto"/>
          <w:sz w:val="32"/>
          <w:highlight w:val="none"/>
          <w:lang w:val="en-US" w:eastAsia="zh-CN"/>
        </w:rPr>
        <w:t>以下简称中达安</w:t>
      </w:r>
      <w:r>
        <w:rPr>
          <w:rFonts w:hint="eastAsia" w:ascii="仿宋_GB2312" w:hAnsi="Times New Roman" w:eastAsia="仿宋_GB2312" w:cs="黑体"/>
          <w:spacing w:val="-6"/>
          <w:kern w:val="2"/>
          <w:sz w:val="32"/>
          <w:szCs w:val="32"/>
          <w:highlight w:val="none"/>
          <w:lang w:val="en-US" w:eastAsia="zh-CN" w:bidi="ar-SA"/>
        </w:rPr>
        <w:t>或公司</w:t>
      </w:r>
      <w:r>
        <w:rPr>
          <w:rFonts w:hint="eastAsia" w:ascii="仿宋_GB2312" w:hAnsi="仿宋_GB2312" w:eastAsia="仿宋_GB2312" w:cs="宋体"/>
          <w:snapToGrid w:val="0"/>
          <w:color w:val="auto"/>
          <w:spacing w:val="8"/>
          <w:kern w:val="0"/>
          <w:sz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Times New Roman"/>
          <w:kern w:val="0"/>
          <w:sz w:val="32"/>
          <w:szCs w:val="20"/>
          <w:lang w:val="en-US" w:eastAsia="zh-CN"/>
        </w:rPr>
        <w:t>进行了现场检查，发现公司存在以下问题：</w:t>
      </w:r>
    </w:p>
    <w:p>
      <w:pPr>
        <w:pStyle w:val="2"/>
        <w:widowControl w:val="0"/>
        <w:wordWrap/>
        <w:overflowPunct w:val="0"/>
        <w:adjustRightInd w:val="0"/>
        <w:snapToGrid w:val="0"/>
        <w:spacing w:beforeLines="0" w:afterLines="0" w:line="336" w:lineRule="auto"/>
        <w:ind w:left="0" w:leftChars="0" w:firstLine="640" w:firstLineChars="200"/>
        <w:jc w:val="both"/>
        <w:outlineLvl w:val="0"/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highlight w:val="none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  <w:t>财务核算不准确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公司控股子公司广东顺水工程建设监理有限公司（以下简称广东顺水）计算坏账准备有误，2022年多计提坏账准备322.32万元，2023年少计提坏账准备267.74万元，中达安持有广东顺水67%的股权，导致中达安披露的2022年年报少确认归母净利润183.56万元、2023年年报多确认归母净利润152.48万元，分别占当期披露的归母净利润的1.02%、36.69%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以上情形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不符合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《上市公司信息披露管理办法》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i w:val="0"/>
          <w:caps w:val="0"/>
          <w:color w:val="auto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</w:rPr>
        <w:t>证监会令第182号，下同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第三条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第一款的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规定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  <w:t>二、公司信息披露不准确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2" w:firstLineChars="200"/>
        <w:jc w:val="both"/>
        <w:textAlignment w:val="baseline"/>
        <w:outlineLvl w:val="9"/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/>
          <w:bCs w:val="0"/>
          <w:kern w:val="0"/>
          <w:sz w:val="32"/>
          <w:szCs w:val="32"/>
          <w:highlight w:val="none"/>
          <w:lang w:val="en-US" w:eastAsia="zh-CN" w:bidi="ar-SA"/>
        </w:rPr>
        <w:t>（一）公司业绩预告披露不准确。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2024年1月3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0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日，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中达安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披露《2023年度业绩预告》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预计2023年1月1日至12月31日实现归母净利润为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盈利750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万元至1,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1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00万元;实现</w:t>
      </w:r>
      <w:r>
        <w:rPr>
          <w:rFonts w:hint="default" w:ascii="仿宋_GB2312" w:eastAsia="仿宋_GB2312" w:cs="仿宋_GB2312"/>
          <w:color w:val="auto"/>
          <w:kern w:val="2"/>
          <w:sz w:val="32"/>
          <w:szCs w:val="32"/>
          <w:highlight w:val="none"/>
          <w:lang w:val="en" w:eastAsia="zh-CN" w:bidi="ar"/>
        </w:rPr>
        <w:t>扣非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" w:eastAsia="zh-CN" w:bidi="ar"/>
        </w:rPr>
        <w:t>后归母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净利润为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-13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0万元至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-2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50万元。4月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23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日，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中达安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披露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了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《2023年度业绩预告更正公告》。4月2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9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日，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中达安披露了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2023年年度报告，2023年公司经审计归母净利润为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415.64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万元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，</w:t>
      </w:r>
      <w:r>
        <w:rPr>
          <w:rFonts w:hint="default" w:ascii="仿宋_GB2312" w:eastAsia="仿宋_GB2312" w:cs="仿宋_GB2312"/>
          <w:color w:val="auto"/>
          <w:kern w:val="2"/>
          <w:sz w:val="32"/>
          <w:szCs w:val="32"/>
          <w:highlight w:val="none"/>
          <w:lang w:val="en" w:eastAsia="zh-CN" w:bidi="ar"/>
        </w:rPr>
        <w:t>扣非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净利润为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-621.41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万元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 w:firstLineChars="200"/>
        <w:jc w:val="both"/>
        <w:textAlignment w:val="baseline"/>
        <w:outlineLvl w:val="9"/>
        <w:rPr>
          <w:rFonts w:hint="eastAsia" w:ascii="仿宋_GB2312" w:hAnsi="仿宋_GB2312" w:eastAsia="仿宋_GB2312" w:cs="仿宋_GB2312"/>
          <w:b/>
          <w:bCs w:val="0"/>
          <w:color w:val="auto"/>
          <w:kern w:val="0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公司业绩预告与实际情况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差异较大，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0"/>
          <w:highlight w:val="none"/>
          <w:lang w:val="en-US" w:eastAsia="zh-CN"/>
        </w:rPr>
        <w:t>信息披露不准确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以上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情形违反了《上市公司信息披露管理办法》第三条第一款的规定。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2" w:firstLineChars="200"/>
        <w:textAlignment w:val="auto"/>
        <w:outlineLvl w:val="2"/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b/>
          <w:bCs w:val="0"/>
          <w:kern w:val="0"/>
          <w:sz w:val="32"/>
          <w:szCs w:val="32"/>
          <w:highlight w:val="none"/>
          <w:lang w:val="en-US" w:eastAsia="zh-CN" w:bidi="ar-SA"/>
        </w:rPr>
        <w:t>（二）公司未按规定审议及披露关联交易。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2023年度，中达安接受关联方提供服务的交易金额1,102.59万元未及时履行审议及披露程序。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以上情形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违反了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《上市公司信息披露管理办法》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</w:rPr>
        <w:t>第三条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highlight w:val="none"/>
          <w:lang w:eastAsia="zh-CN"/>
        </w:rPr>
        <w:t>第一款和</w:t>
      </w:r>
      <w:r>
        <w:rPr>
          <w:rFonts w:hint="eastAsia" w:ascii="仿宋_GB2312" w:eastAsia="仿宋_GB2312" w:cs="仿宋_GB2312"/>
          <w:color w:val="auto"/>
          <w:kern w:val="2"/>
          <w:sz w:val="32"/>
          <w:szCs w:val="32"/>
          <w:lang w:val="en-US" w:eastAsia="zh-CN" w:bidi="ar"/>
        </w:rPr>
        <w:t>第四十一条的相关规定。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rPr>
          <w:rFonts w:hint="default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  <w:t>张萌作为公司董事长，吴君晔作为公司时任总裁，陈天宝作为公司总裁，杨萍作为公司财务总监，张龙作为公司董事会秘书，未按照</w:t>
      </w:r>
      <w:r>
        <w:rPr>
          <w:rFonts w:hint="eastAsia" w:ascii="仿宋_GB2312" w:hAnsi="仿宋_GB2312" w:eastAsia="仿宋_GB2312" w:cs="黑体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上市公司信息披露管理办法》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第四条的</w:t>
      </w:r>
      <w:r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  <w:t>规定履行勤勉尽责义务，对公司上述全部违规行为负有主要责任。其中，张萌、杨萍和张龙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对公司上述所有违规行为均负有主要责任；吴君晔对上述第一项2022年年报披露违规行为负有主要责任，陈天宝对上述第一项2023年年报披露违规行为和上述第二项、第三项违规行为负有主要责任。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right="0" w:firstLine="640" w:firstLineChars="200"/>
        <w:jc w:val="both"/>
        <w:textAlignment w:val="auto"/>
        <w:outlineLvl w:val="9"/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  <w:t>根据</w:t>
      </w:r>
      <w:r>
        <w:rPr>
          <w:rFonts w:hint="eastAsia" w:ascii="仿宋_GB2312" w:hAnsi="仿宋_GB2312" w:eastAsia="仿宋_GB2312" w:cs="黑体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上市公司信息披露管理办法》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第</w:t>
      </w:r>
      <w:r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  <w:t>五十二条的规定，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我局决定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-SA"/>
        </w:rPr>
        <w:t>对</w:t>
      </w:r>
      <w:r>
        <w:rPr>
          <w:rFonts w:hint="eastAsia" w:ascii="仿宋_GB2312" w:hAnsi="Calibri" w:eastAsia="仿宋_GB2312" w:cs="仿宋_GB2312"/>
          <w:color w:val="auto"/>
          <w:kern w:val="2"/>
          <w:sz w:val="32"/>
          <w:szCs w:val="32"/>
          <w:highlight w:val="none"/>
          <w:lang w:val="en-US" w:eastAsia="zh-CN" w:bidi="ar"/>
        </w:rPr>
        <w:t>中达安、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lang w:val="en-US" w:eastAsia="zh-CN"/>
        </w:rPr>
        <w:t>张萌、吴君晔、陈天宝、杨萍、张龙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highlight w:val="none"/>
          <w:u w:val="none"/>
          <w:lang w:val="en-US" w:eastAsia="zh-CN" w:bidi="ar-SA"/>
        </w:rPr>
        <w:t>采取出具警示函的行政监管措施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。你们应认真吸取教训，切实提升依法合规履职意识，加强对证券法律法规的学习，杜绝此类问题再次发生</w:t>
      </w:r>
      <w:r>
        <w:rPr>
          <w:rFonts w:hint="eastAsia" w:ascii="仿宋_GB2312" w:hAnsi="仿宋" w:eastAsia="仿宋_GB2312"/>
          <w:color w:val="000000"/>
          <w:spacing w:val="0"/>
          <w:sz w:val="32"/>
          <w:szCs w:val="30"/>
          <w:highlight w:val="none"/>
          <w:lang w:val="en-US" w:eastAsia="zh-CN"/>
        </w:rPr>
        <w:t>。同时公司应对相关责任人员进行内部问责，于收到本决定书30日内向我局报送公司整改报告、内部问责情况报告，并抄报深圳证券交易所。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firstLine="640" w:firstLineChars="0"/>
        <w:jc w:val="both"/>
        <w:textAlignment w:val="auto"/>
        <w:outlineLvl w:val="9"/>
        <w:rPr>
          <w:rFonts w:hint="eastAsia" w:eastAsia="仿宋_GB2312"/>
          <w:spacing w:val="10"/>
          <w:sz w:val="32"/>
        </w:rPr>
      </w:pP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000000"/>
          <w:spacing w:val="0"/>
          <w:sz w:val="32"/>
        </w:rPr>
        <w:t>也可以在收到本决定书之日起6个月内向有管辖权的人民法院提起诉讼。复议与诉讼期间，上述监督管理措施不停止执行。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jc w:val="center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024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default" w:ascii="仿宋_GB2312" w:cs="Times New Roman"/>
          <w:color w:val="000000"/>
          <w:spacing w:val="10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9"/>
        <w:snapToGrid w:val="0"/>
        <w:spacing w:line="360" w:lineRule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keepNext w:val="0"/>
        <w:keepLines w:val="0"/>
        <w:widowControl/>
        <w:suppressLineNumbers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hint="eastAsia" w:ascii="仿宋_GB2312" w:eastAsia="仿宋_GB2312"/>
          <w:spacing w:val="8"/>
          <w:sz w:val="28"/>
          <w:lang w:val="en-US" w:eastAsia="zh-CN"/>
        </w:rPr>
      </w:pPr>
      <w:r>
        <w:rPr>
          <w:rFonts w:hint="eastAsia" w:ascii="仿宋_GB2312" w:eastAsia="仿宋_GB2312"/>
          <w:spacing w:val="8"/>
          <w:sz w:val="28"/>
        </w:rPr>
        <w:t>抄送：证监会上市司</w:t>
      </w:r>
      <w:r>
        <w:rPr>
          <w:rFonts w:hint="eastAsia" w:ascii="仿宋_GB2312" w:eastAsia="仿宋_GB2312"/>
          <w:spacing w:val="8"/>
          <w:sz w:val="28"/>
          <w:lang w:eastAsia="zh-CN"/>
        </w:rPr>
        <w:t>、</w:t>
      </w:r>
      <w:r>
        <w:rPr>
          <w:rFonts w:hint="eastAsia" w:ascii="仿宋_GB2312" w:eastAsia="仿宋_GB2312"/>
          <w:spacing w:val="8"/>
          <w:sz w:val="28"/>
        </w:rPr>
        <w:t>法治司；深圳证券交易所</w:t>
      </w:r>
      <w:r>
        <w:rPr>
          <w:rFonts w:hint="eastAsia" w:ascii="仿宋_GB2312" w:eastAsia="仿宋_GB2312"/>
          <w:spacing w:val="8"/>
          <w:sz w:val="28"/>
          <w:lang w:eastAsia="zh-CN"/>
        </w:rPr>
        <w:t>。</w:t>
      </w:r>
    </w:p>
    <w:p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eastAsia="仿宋_GB2312"/>
          <w:spacing w:val="8"/>
          <w:sz w:val="28"/>
        </w:rPr>
      </w:pPr>
      <w:r>
        <w:rPr>
          <w:rFonts w:hint="eastAsia" w:ascii="仿宋_GB2312" w:eastAsia="仿宋_GB2312"/>
          <w:spacing w:val="8"/>
          <w:sz w:val="28"/>
        </w:rPr>
        <w:t xml:space="preserve">广东证监局办公室           </w:t>
      </w:r>
      <w:r>
        <w:rPr>
          <w:rFonts w:hint="default" w:ascii="仿宋_GB2312" w:eastAsia="仿宋_GB2312"/>
          <w:spacing w:val="8"/>
          <w:sz w:val="28"/>
          <w:lang w:val="en-US"/>
        </w:rPr>
        <w:t xml:space="preserve"> </w:t>
      </w:r>
      <w:r>
        <w:rPr>
          <w:rFonts w:hint="eastAsia" w:ascii="仿宋_GB2312" w:eastAsia="仿宋_GB2312"/>
          <w:spacing w:val="8"/>
          <w:sz w:val="28"/>
        </w:rPr>
        <w:t xml:space="preserve">  </w:t>
      </w:r>
      <w:r>
        <w:rPr>
          <w:rFonts w:hint="default" w:ascii="仿宋_GB2312" w:eastAsia="仿宋_GB2312"/>
          <w:spacing w:val="8"/>
          <w:sz w:val="28"/>
          <w:lang w:val="en-US"/>
        </w:rPr>
        <w:t xml:space="preserve">     </w:t>
      </w:r>
      <w:r>
        <w:rPr>
          <w:rFonts w:hint="eastAsia" w:ascii="仿宋_GB2312" w:eastAsia="仿宋_GB2312"/>
          <w:spacing w:val="8"/>
          <w:sz w:val="28"/>
        </w:rPr>
        <w:t xml:space="preserve"> </w:t>
      </w:r>
      <w:r>
        <w:rPr>
          <w:rFonts w:hint="default" w:ascii="仿宋_GB2312" w:eastAsia="仿宋_GB2312"/>
          <w:spacing w:val="8"/>
          <w:sz w:val="28"/>
          <w:lang w:val="en" w:eastAsia="zh-CN"/>
        </w:rPr>
        <w:t>202</w:t>
      </w:r>
      <w:r>
        <w:rPr>
          <w:rFonts w:hint="eastAsia" w:ascii="仿宋_GB2312" w:eastAsia="仿宋_GB2312"/>
          <w:spacing w:val="8"/>
          <w:sz w:val="28"/>
          <w:lang w:val="en-US" w:eastAsia="zh-CN"/>
        </w:rPr>
        <w:t>4</w:t>
      </w:r>
      <w:r>
        <w:rPr>
          <w:rFonts w:hint="eastAsia" w:ascii="仿宋_GB2312" w:eastAsia="仿宋_GB2312"/>
          <w:spacing w:val="8"/>
          <w:sz w:val="28"/>
        </w:rPr>
        <w:t>年</w:t>
      </w:r>
      <w:r>
        <w:rPr>
          <w:rFonts w:hint="default" w:ascii="仿宋_GB2312" w:eastAsia="仿宋_GB2312"/>
          <w:spacing w:val="8"/>
          <w:sz w:val="28"/>
          <w:lang w:val="en-US"/>
        </w:rPr>
        <w:t>8</w:t>
      </w:r>
      <w:r>
        <w:rPr>
          <w:rFonts w:hint="eastAsia" w:ascii="仿宋_GB2312" w:eastAsia="仿宋_GB2312"/>
          <w:spacing w:val="8"/>
          <w:sz w:val="28"/>
        </w:rPr>
        <w:t>月</w:t>
      </w:r>
      <w:r>
        <w:rPr>
          <w:rFonts w:hint="default" w:ascii="仿宋_GB2312" w:eastAsia="仿宋_GB2312"/>
          <w:spacing w:val="8"/>
          <w:sz w:val="28"/>
          <w:lang w:val="en-US"/>
        </w:rPr>
        <w:t>7</w:t>
      </w:r>
      <w:r>
        <w:rPr>
          <w:rFonts w:hint="eastAsia" w:ascii="仿宋_GB2312" w:eastAsia="仿宋_GB2312"/>
          <w:spacing w:val="8"/>
          <w:sz w:val="28"/>
        </w:rPr>
        <w:t>日印发</w:t>
      </w:r>
    </w:p>
    <w:p>
      <w:pPr>
        <w:pBdr>
          <w:top w:val="single" w:color="auto" w:sz="8" w:space="7"/>
        </w:pBdr>
        <w:overflowPunct w:val="0"/>
        <w:adjustRightInd w:val="0"/>
        <w:snapToGrid w:val="0"/>
        <w:spacing w:beforeLines="0" w:after="0" w:afterLines="0"/>
        <w:ind w:firstLine="0"/>
        <w:jc w:val="left"/>
        <w:rPr>
          <w:rFonts w:hint="eastAsia" w:ascii="仿宋_GB2312" w:eastAsia="仿宋_GB2312"/>
          <w:spacing w:val="8"/>
          <w:sz w:val="2"/>
          <w:szCs w:val="2"/>
        </w:rPr>
      </w:pPr>
    </w:p>
    <w:bookmarkEnd w:id="0"/>
    <w:p>
      <w:pPr>
        <w:overflowPunct w:val="0"/>
        <w:snapToGrid w:val="0"/>
        <w:spacing w:beforeLines="0" w:afterLines="0" w:line="240" w:lineRule="auto"/>
        <w:rPr>
          <w:sz w:val="2"/>
          <w:szCs w:val="2"/>
        </w:rPr>
      </w:pPr>
    </w:p>
    <w:sectPr>
      <w:footerReference r:id="rId3" w:type="default"/>
      <w:pgSz w:w="11906" w:h="16838"/>
      <w:pgMar w:top="2097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OqXm5zwAAAAUBAAAPAAAAAAAAAAEAIAAAADgAAABkcnMvZG93bnJl&#10;di54bWxQSwECFAAUAAAACACHTuJAQpVxR7cBAABgAwAADgAAAAAAAAABACAAAAA0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67E95E"/>
    <w:rsid w:val="35BB9CB1"/>
    <w:rsid w:val="37FBB8AC"/>
    <w:rsid w:val="39352038"/>
    <w:rsid w:val="3D5F2CAF"/>
    <w:rsid w:val="66EFFAED"/>
    <w:rsid w:val="76EA7345"/>
    <w:rsid w:val="77FF77E9"/>
    <w:rsid w:val="7B67E95E"/>
    <w:rsid w:val="7DF75E87"/>
    <w:rsid w:val="93FB1B06"/>
    <w:rsid w:val="9BFD6AFE"/>
    <w:rsid w:val="B9EDDF21"/>
    <w:rsid w:val="BFFF8DBC"/>
    <w:rsid w:val="C7DF45E9"/>
    <w:rsid w:val="D9BB4C4B"/>
    <w:rsid w:val="DFFD18FE"/>
    <w:rsid w:val="F3C5291F"/>
    <w:rsid w:val="F5DDAA29"/>
    <w:rsid w:val="F7FDE690"/>
    <w:rsid w:val="FB9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7">
    <w:name w:val="page number"/>
    <w:basedOn w:val="6"/>
    <w:qFormat/>
    <w:uiPriority w:val="0"/>
  </w:style>
  <w:style w:type="paragraph" w:styleId="8">
    <w:name w:val="List Paragraph"/>
    <w:basedOn w:val="1"/>
    <w:qFormat/>
    <w:uiPriority w:val="0"/>
    <w:pPr>
      <w:ind w:firstLine="420" w:firstLineChars="200"/>
    </w:pPr>
    <w:rPr>
      <w:rFonts w:ascii="Cambria" w:hAnsi="Cambria" w:eastAsia="宋体" w:cs="Times New Roman"/>
      <w:sz w:val="24"/>
      <w:szCs w:val="24"/>
    </w:rPr>
  </w:style>
  <w:style w:type="paragraph" w:customStyle="1" w:styleId="9">
    <w:name w:val="p0"/>
    <w:basedOn w:val="1"/>
    <w:qFormat/>
    <w:uiPriority w:val="0"/>
    <w:pPr>
      <w:widowControl/>
    </w:pPr>
    <w:rPr>
      <w:rFonts w:hint="eastAsia"/>
    </w:rPr>
  </w:style>
  <w:style w:type="paragraph" w:customStyle="1" w:styleId="10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2024-07-27T17:53:00Z</dcterms:created>
  <dc:creator>张聪会</dc:creator>
  <cp:lastModifiedBy>张聪会</cp:lastModifiedBy>
  <dcterms:modified xsi:type="dcterms:W3CDTF">2024-08-16T17:48:26Z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8B8DB6CB3FF7D021B7479F6699A09BD0</vt:lpwstr>
  </property>
</Properties>
</file>