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20"/>
        </w:tabs>
        <w:jc w:val="center"/>
        <w:rPr>
          <w:rFonts w:hint="eastAsia" w:ascii="方正小标宋简体" w:hAnsi="方正小标宋简体" w:eastAsia="方正小标宋简体"/>
          <w:b/>
          <w:color w:val="FF0000"/>
          <w:w w:val="95"/>
          <w:kern w:val="0"/>
          <w:sz w:val="44"/>
          <w:szCs w:val="116"/>
        </w:rPr>
      </w:pPr>
      <w:r>
        <w:rPr>
          <w:rFonts w:hint="eastAsia" w:ascii="方正小标宋简体" w:hAnsi="方正小标宋简体" w:eastAsia="方正小标宋简体" w:cs="黑体"/>
          <w:b/>
          <w:color w:val="FF0000"/>
          <w:w w:val="95"/>
          <w:sz w:val="44"/>
          <w:szCs w:val="72"/>
        </w:rPr>
        <w:t>中国证券监督管理委员会广东监管局</w:t>
      </w:r>
    </w:p>
    <w:p>
      <w:pPr>
        <w:jc w:val="center"/>
        <w:rPr>
          <w:rFonts w:hint="eastAsia" w:ascii="方正小标宋简体" w:hAnsi="方正小标宋简体" w:eastAsia="方正小标宋简体"/>
          <w:snapToGrid w:val="0"/>
          <w:spacing w:val="85"/>
          <w:w w:val="90"/>
          <w:sz w:val="72"/>
          <w:szCs w:val="72"/>
        </w:rPr>
      </w:pPr>
      <w:r>
        <w:rPr>
          <w:rFonts w:hint="eastAsia" w:ascii="方正小标宋简体" w:hAnsi="方正小标宋简体" w:eastAsia="方正小标宋简体"/>
          <w:b/>
          <w:bCs/>
          <w:snapToGrid w:val="0"/>
          <w:color w:val="FF0000"/>
          <w:spacing w:val="85"/>
          <w:w w:val="90"/>
          <w:sz w:val="72"/>
          <w:szCs w:val="72"/>
        </w:rPr>
        <w:t>行政监管措施决定书</w:t>
      </w:r>
    </w:p>
    <w:p>
      <w:pPr>
        <w:snapToGrid w:val="0"/>
        <w:jc w:val="center"/>
        <w:rPr>
          <w:rFonts w:hint="eastAsia" w:ascii="仿宋_GB2312" w:hAnsi="仿宋_GB2312" w:eastAsia="仿宋_GB2312" w:cs="宋体"/>
          <w:sz w:val="40"/>
          <w:szCs w:val="40"/>
        </w:rPr>
      </w:pPr>
    </w:p>
    <w:p>
      <w:pPr>
        <w:snapToGrid w:val="0"/>
        <w:spacing w:before="156" w:beforeLines="50" w:line="300" w:lineRule="auto"/>
        <w:jc w:val="center"/>
        <w:rPr>
          <w:rFonts w:ascii="黑体" w:hAnsi="Times New Roman" w:eastAsia="黑体" w:cs="Times New Roman"/>
          <w:color w:val="000000"/>
          <w:spacing w:val="12"/>
          <w:sz w:val="32"/>
        </w:rPr>
      </w:pPr>
      <w:bookmarkStart w:id="1" w:name="_GoBack"/>
      <w:r>
        <w:rPr>
          <w:rFonts w:hint="eastAsia" w:ascii="仿宋_GB2312" w:hAnsi="Times New Roman" w:eastAsia="仿宋_GB2312" w:cs="Times New Roman"/>
          <w:color w:val="000000"/>
          <w:spacing w:val="12"/>
          <w:sz w:val="28"/>
        </w:rPr>
        <w:t>〔20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lang w:val="en-US" w:eastAsia="zh-CN"/>
        </w:rPr>
        <w:t>2</w:t>
      </w:r>
      <w:r>
        <w:rPr>
          <w:rFonts w:hint="eastAsia" w:ascii="仿宋_GB2312" w:eastAsia="仿宋_GB2312" w:cs="Times New Roman"/>
          <w:color w:val="000000"/>
          <w:spacing w:val="12"/>
          <w:sz w:val="28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</w:rPr>
        <w:t>〕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lang w:val="en-US" w:eastAsia="zh-CN"/>
        </w:rPr>
        <w:t>7</w:t>
      </w:r>
      <w:r>
        <w:rPr>
          <w:rFonts w:hint="eastAsia" w:ascii="仿宋_GB2312" w:eastAsia="仿宋_GB2312" w:cs="Times New Roman"/>
          <w:color w:val="000000"/>
          <w:spacing w:val="12"/>
          <w:sz w:val="28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</w:rPr>
        <w:t>号</w:t>
      </w:r>
    </w:p>
    <w:bookmarkEnd w:id="1"/>
    <w:p>
      <w:pPr>
        <w:snapToGrid w:val="0"/>
        <w:jc w:val="center"/>
        <w:rPr>
          <w:rFonts w:hint="eastAsia" w:ascii="仿宋_GB2312" w:hAnsi="仿宋_GB2312" w:eastAsia="仿宋_GB2312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128905</wp:posOffset>
                </wp:positionV>
                <wp:extent cx="5551805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1805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35pt;margin-top:10.15pt;height:0.05pt;width:437.15pt;z-index:251658240;mso-width-relative:page;mso-height-relative:page;" filled="f" stroked="t" coordsize="21600,21600" o:gfxdata="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FgAAAGRycy9QSwEC&#10;FAAUAAAACACHTuJAzC+1ktYAAAAIAQAADwAAAAAAAAABACAAAAA4AAAAZHJzL2Rvd25yZXYueG1s&#10;UEsBAhQAFAAAAAgAh07iQCiR+N7kAQAAqgMAAA4AAAAAAAAAAQAgAAAAOwEAAGRycy9lMm9Eb2Mu&#10;eG1sUEsFBgAAAAAGAAYAWQEAAJEFAAAAAA=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jc w:val="center"/>
        <w:rPr>
          <w:rFonts w:hint="eastAsia"/>
          <w:sz w:val="28"/>
          <w:szCs w:val="28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</w:rPr>
      </w:pPr>
      <w:bookmarkStart w:id="0" w:name="quanwen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</w:rPr>
        <w:t>关于对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lang w:eastAsia="zh-CN"/>
        </w:rPr>
        <w:t>广发证券资产管理（广东）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</w:rPr>
        <w:t>有限公司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</w:rPr>
        <w:t>采取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lang w:eastAsia="zh-CN"/>
        </w:rPr>
        <w:t>出具警示函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</w:rPr>
        <w:t>措施的决定</w:t>
      </w:r>
    </w:p>
    <w:p>
      <w:pPr>
        <w:adjustRightInd w:val="0"/>
        <w:snapToGrid w:val="0"/>
        <w:spacing w:beforeLines="0" w:afterLines="0" w:line="240" w:lineRule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>
      <w:pPr>
        <w:adjustRightInd w:val="0"/>
        <w:snapToGrid w:val="0"/>
        <w:spacing w:beforeLines="0" w:line="336" w:lineRule="auto"/>
        <w:rPr>
          <w:rFonts w:hint="eastAsia" w:ascii="仿宋_GB2312" w:eastAsia="仿宋_GB2312"/>
          <w:color w:val="000000"/>
          <w:kern w:val="0"/>
          <w:sz w:val="32"/>
          <w:szCs w:val="30"/>
        </w:rPr>
      </w:pPr>
      <w:r>
        <w:rPr>
          <w:rFonts w:hint="eastAsia" w:ascii="仿宋_GB2312" w:eastAsia="仿宋_GB2312"/>
          <w:color w:val="000000"/>
          <w:kern w:val="0"/>
          <w:sz w:val="32"/>
          <w:szCs w:val="30"/>
          <w:lang w:eastAsia="zh-CN"/>
        </w:rPr>
        <w:t>广发证券资产管理（广东）</w:t>
      </w:r>
      <w:r>
        <w:rPr>
          <w:rFonts w:hint="eastAsia" w:ascii="仿宋_GB2312" w:eastAsia="仿宋_GB2312"/>
          <w:color w:val="000000"/>
          <w:kern w:val="0"/>
          <w:sz w:val="32"/>
          <w:szCs w:val="30"/>
        </w:rPr>
        <w:t>有限公司：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eastAsia="仿宋_GB2312"/>
          <w:color w:val="000000"/>
          <w:kern w:val="0"/>
          <w:sz w:val="32"/>
          <w:szCs w:val="30"/>
          <w:lang w:val="en" w:eastAsia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0"/>
        </w:rPr>
        <w:t>经查，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val="en-US" w:eastAsia="zh-CN"/>
        </w:rPr>
        <w:t>你公司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val="en" w:eastAsia="zh-CN"/>
        </w:rPr>
        <w:t>在对广发金管家睿利债券1号集合资产管理计划进行公募化改造过程中，未按照勤勉和审慎原则，针对产品风险等级、估值方式、份额设置变更等重大事项履行特别提醒和通知义务，产品变更的征询期安排不合理，投资者权利保障不到位。</w:t>
      </w:r>
    </w:p>
    <w:p>
      <w:pPr>
        <w:adjustRightInd w:val="0"/>
        <w:snapToGrid w:val="0"/>
        <w:spacing w:beforeLines="0" w:line="336" w:lineRule="auto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0"/>
          <w:lang w:val="en" w:eastAsia="zh-CN"/>
        </w:rPr>
        <w:t>上述行为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val="en-US" w:eastAsia="zh-CN"/>
        </w:rPr>
        <w:t>不符合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val="en" w:eastAsia="zh-CN"/>
        </w:rPr>
        <w:t>《证券公司和证券投资基金管理公司合规管理办法》（证监会令第133号，经证监会令第166号修改，以下简称《合规管理办法》）第六条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val="en-US" w:eastAsia="zh-CN"/>
        </w:rPr>
        <w:t>、《证券期货投资者适当性管理办法》（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val="en" w:eastAsia="zh-CN"/>
        </w:rPr>
        <w:t>证监会令第13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val="en-US" w:eastAsia="zh-CN"/>
        </w:rPr>
        <w:t>0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val="en" w:eastAsia="zh-CN"/>
        </w:rPr>
        <w:t>号，经证监会令第1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val="en-US" w:eastAsia="zh-CN"/>
        </w:rPr>
        <w:t>77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val="en" w:eastAsia="zh-CN"/>
        </w:rPr>
        <w:t>号修改，以下简称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val="en-US" w:eastAsia="zh-CN"/>
        </w:rPr>
        <w:t>《适当性管理办法》）第三条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val="en" w:eastAsia="zh-CN"/>
        </w:rPr>
        <w:t>的规定</w:t>
      </w:r>
      <w:r>
        <w:rPr>
          <w:rFonts w:hint="eastAsia" w:ascii="仿宋_GB2312" w:eastAsia="仿宋_GB2312"/>
          <w:color w:val="000000"/>
          <w:kern w:val="0"/>
          <w:sz w:val="32"/>
          <w:szCs w:val="30"/>
        </w:rPr>
        <w:t>。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eastAsia="zh-CN"/>
        </w:rPr>
        <w:t>按照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val="en" w:eastAsia="zh-CN"/>
        </w:rPr>
        <w:t>《合规管理办法》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第三十二条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val="en" w:eastAsia="zh-CN"/>
        </w:rPr>
        <w:t>、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val="en-US" w:eastAsia="zh-CN"/>
        </w:rPr>
        <w:t>《适当性管理办法》</w:t>
      </w:r>
      <w:r>
        <w:rPr>
          <w:rFonts w:hint="eastAsia" w:ascii="仿宋_GB2312" w:eastAsia="仿宋_GB2312"/>
          <w:color w:val="000000"/>
          <w:kern w:val="0"/>
          <w:sz w:val="32"/>
          <w:szCs w:val="30"/>
          <w:lang w:val="en" w:eastAsia="zh-CN"/>
        </w:rPr>
        <w:t>第三十七条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的规定，现对你公司予以警示。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line="336" w:lineRule="auto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你公司应认真查找和整改问题，完善业务流程，提升内控水平，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lang w:val="en-US" w:eastAsia="zh-CN" w:bidi="ar-SA"/>
        </w:rPr>
        <w:t>切实保护投资者权益，合规稳健展业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highlight w:val="none"/>
          <w:lang w:eastAsia="zh-CN"/>
        </w:rPr>
        <w:t>此外，你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highlight w:val="none"/>
          <w:lang w:val="en-US" w:eastAsia="zh-CN"/>
        </w:rPr>
        <w:t>公司应积极履行管理人职责，执行科学合理的投资策略和风险管理机制，有效防范和应对市场风险等各类风险，维护投资者合法权益。</w:t>
      </w:r>
    </w:p>
    <w:p>
      <w:pPr>
        <w:adjustRightInd w:val="0"/>
        <w:snapToGrid w:val="0"/>
        <w:spacing w:beforeLines="0" w:line="336" w:lineRule="auto"/>
        <w:ind w:firstLine="640" w:firstLineChars="200"/>
        <w:jc w:val="both"/>
        <w:outlineLvl w:val="9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"/>
          <w:color w:val="000000"/>
          <w:spacing w:val="0"/>
          <w:kern w:val="0"/>
          <w:sz w:val="32"/>
          <w:szCs w:val="30"/>
        </w:rPr>
        <w:t>如果对本监督管理措施不服，可以在收到本决定书之日起60日内向中国证券监督管理委员会提出行政复议申请</w:t>
      </w:r>
      <w:r>
        <w:rPr>
          <w:rFonts w:hint="eastAsia" w:ascii="仿宋_GB2312" w:hAnsi="仿宋_GB2312" w:eastAsia="仿宋_GB2312" w:cs="仿宋"/>
          <w:color w:val="000000"/>
          <w:spacing w:val="0"/>
          <w:kern w:val="0"/>
          <w:sz w:val="32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"/>
          <w:color w:val="000000"/>
          <w:spacing w:val="0"/>
          <w:kern w:val="0"/>
          <w:sz w:val="32"/>
          <w:szCs w:val="30"/>
        </w:rPr>
        <w:t>也可以在收到本决定书之日起6个月内向有管辖权的人民法院提起诉讼。复议与诉讼期间，上述监督管理措施不停止执行。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36" w:lineRule="auto"/>
        <w:ind w:right="1705"/>
        <w:jc w:val="right"/>
        <w:textAlignment w:val="auto"/>
        <w:rPr>
          <w:rFonts w:ascii="仿宋_GB2312" w:hAnsi="Times New Roman" w:eastAsia="仿宋_GB2312"/>
          <w:sz w:val="32"/>
        </w:rPr>
      </w:pPr>
      <w:r>
        <w:rPr>
          <w:rFonts w:hint="eastAsia" w:ascii="仿宋_GB2312" w:hAnsi="Times New Roman" w:eastAsia="仿宋_GB2312"/>
          <w:sz w:val="32"/>
        </w:rPr>
        <w:t>广东证监局</w:t>
      </w:r>
    </w:p>
    <w:p>
      <w:pPr>
        <w:widowControl/>
        <w:numPr>
          <w:ilvl w:val="0"/>
          <w:numId w:val="0"/>
        </w:numPr>
        <w:overflowPunct w:val="0"/>
        <w:adjustRightInd w:val="0"/>
        <w:snapToGrid w:val="0"/>
        <w:spacing w:beforeLines="0" w:afterLines="0" w:line="336" w:lineRule="auto"/>
        <w:ind w:right="1247" w:firstLine="0" w:firstLineChars="0"/>
        <w:jc w:val="right"/>
        <w:outlineLvl w:val="9"/>
      </w:pPr>
      <w:r>
        <w:rPr>
          <w:rFonts w:hint="eastAsia" w:ascii="仿宋_GB2312" w:hAnsi="Times New Roman" w:eastAsia="仿宋_GB2312"/>
          <w:spacing w:val="10"/>
          <w:sz w:val="32"/>
        </w:rPr>
        <w:t>202</w:t>
      </w:r>
      <w:r>
        <w:rPr>
          <w:rFonts w:hint="eastAsia" w:ascii="仿宋_GB2312" w:eastAsia="仿宋_GB2312"/>
          <w:spacing w:val="10"/>
          <w:sz w:val="32"/>
        </w:rPr>
        <w:t>2</w:t>
      </w:r>
      <w:r>
        <w:rPr>
          <w:rFonts w:hint="eastAsia" w:ascii="仿宋_GB2312" w:hAnsi="Times New Roman" w:eastAsia="仿宋_GB2312"/>
          <w:spacing w:val="10"/>
          <w:sz w:val="32"/>
        </w:rPr>
        <w:t>年</w:t>
      </w:r>
      <w:r>
        <w:rPr>
          <w:rFonts w:hint="default" w:ascii="仿宋_GB2312" w:hAnsi="Times New Roman" w:eastAsia="仿宋_GB2312"/>
          <w:spacing w:val="10"/>
          <w:sz w:val="32"/>
        </w:rPr>
        <w:t>6</w:t>
      </w:r>
      <w:r>
        <w:rPr>
          <w:rFonts w:hint="eastAsia" w:ascii="仿宋_GB2312" w:hAnsi="Times New Roman" w:eastAsia="仿宋_GB2312"/>
          <w:spacing w:val="10"/>
          <w:sz w:val="32"/>
        </w:rPr>
        <w:t>月</w:t>
      </w:r>
      <w:r>
        <w:rPr>
          <w:rFonts w:hint="default" w:ascii="仿宋_GB2312" w:eastAsia="仿宋_GB2312"/>
          <w:spacing w:val="10"/>
          <w:sz w:val="32"/>
          <w:lang w:val="en" w:eastAsia="zh-CN"/>
        </w:rPr>
        <w:t>2</w:t>
      </w:r>
      <w:r>
        <w:rPr>
          <w:rFonts w:hint="eastAsia" w:ascii="仿宋_GB2312" w:hAnsi="Times New Roman" w:eastAsia="仿宋_GB2312"/>
          <w:spacing w:val="10"/>
          <w:sz w:val="32"/>
        </w:rPr>
        <w:t>日</w:t>
      </w:r>
    </w:p>
    <w:p>
      <w:pPr>
        <w:adjustRightInd w:val="0"/>
        <w:snapToGrid w:val="0"/>
        <w:spacing w:line="360" w:lineRule="auto"/>
        <w:ind w:right="1262"/>
        <w:jc w:val="both"/>
        <w:rPr>
          <w:rFonts w:hint="eastAsia" w:ascii="仿宋_GB2312" w:eastAsia="仿宋_GB2312"/>
          <w:spacing w:val="10"/>
          <w:sz w:val="32"/>
        </w:rPr>
      </w:pPr>
    </w:p>
    <w:p>
      <w:pPr>
        <w:adjustRightInd w:val="0"/>
        <w:snapToGrid w:val="0"/>
        <w:spacing w:line="360" w:lineRule="auto"/>
        <w:ind w:right="1262"/>
        <w:jc w:val="both"/>
        <w:rPr>
          <w:rFonts w:hint="eastAsia" w:ascii="仿宋_GB2312" w:eastAsia="仿宋_GB2312"/>
          <w:spacing w:val="10"/>
          <w:sz w:val="32"/>
        </w:rPr>
      </w:pPr>
    </w:p>
    <w:p>
      <w:pPr>
        <w:adjustRightInd w:val="0"/>
        <w:snapToGrid w:val="0"/>
        <w:spacing w:line="360" w:lineRule="auto"/>
        <w:ind w:right="1262"/>
        <w:jc w:val="both"/>
        <w:rPr>
          <w:rFonts w:hint="eastAsia" w:ascii="仿宋_GB2312" w:eastAsia="仿宋_GB2312"/>
          <w:spacing w:val="10"/>
          <w:sz w:val="32"/>
        </w:rPr>
      </w:pPr>
    </w:p>
    <w:p>
      <w:pPr>
        <w:adjustRightInd w:val="0"/>
        <w:snapToGrid w:val="0"/>
        <w:spacing w:line="360" w:lineRule="auto"/>
        <w:ind w:right="1262"/>
        <w:jc w:val="both"/>
        <w:rPr>
          <w:rFonts w:hint="eastAsia" w:ascii="仿宋_GB2312" w:eastAsia="仿宋_GB2312"/>
          <w:spacing w:val="10"/>
          <w:sz w:val="32"/>
        </w:rPr>
      </w:pPr>
    </w:p>
    <w:p>
      <w:pPr>
        <w:snapToGrid w:val="0"/>
        <w:spacing w:line="300" w:lineRule="auto"/>
        <w:ind w:right="26"/>
        <w:jc w:val="left"/>
        <w:rPr>
          <w:rFonts w:hint="eastAsia" w:ascii="黑体" w:eastAsia="黑体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pBdr>
          <w:top w:val="single" w:color="auto" w:sz="8" w:space="6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09" w:afterLines="35"/>
        <w:ind w:firstLine="296" w:firstLineChars="100"/>
        <w:textAlignment w:val="auto"/>
        <w:rPr>
          <w:rFonts w:hint="eastAsia" w:ascii="仿宋_GB2312" w:eastAsia="仿宋_GB2312"/>
          <w:spacing w:val="8"/>
          <w:sz w:val="28"/>
          <w:lang w:eastAsia="zh-CN"/>
        </w:rPr>
      </w:pPr>
      <w:r>
        <w:rPr>
          <w:rFonts w:hint="eastAsia" w:ascii="仿宋_GB2312" w:eastAsia="仿宋_GB2312"/>
          <w:spacing w:val="8"/>
          <w:sz w:val="28"/>
        </w:rPr>
        <w:t>抄送：</w:t>
      </w:r>
      <w:r>
        <w:rPr>
          <w:rFonts w:hint="eastAsia" w:ascii="仿宋_GB2312" w:eastAsia="仿宋_GB2312"/>
          <w:spacing w:val="8"/>
          <w:sz w:val="28"/>
          <w:lang w:eastAsia="zh-CN"/>
        </w:rPr>
        <w:t>证监会机构部，法律部。</w:t>
      </w:r>
    </w:p>
    <w:p>
      <w:pPr>
        <w:pBdr>
          <w:top w:val="single" w:color="auto" w:sz="4" w:space="6"/>
        </w:pBdr>
        <w:adjustRightInd w:val="0"/>
        <w:snapToGrid w:val="0"/>
        <w:spacing w:after="109" w:afterLines="35"/>
        <w:ind w:firstLine="318"/>
        <w:jc w:val="left"/>
        <w:rPr>
          <w:rFonts w:hint="eastAsia" w:ascii="仿宋_GB2312" w:eastAsia="仿宋_GB2312"/>
          <w:spacing w:val="8"/>
          <w:sz w:val="28"/>
        </w:rPr>
      </w:pPr>
      <w:r>
        <w:rPr>
          <w:rFonts w:hint="eastAsia" w:ascii="仿宋_GB2312" w:eastAsia="仿宋_GB2312"/>
          <w:spacing w:val="8"/>
          <w:sz w:val="28"/>
        </w:rPr>
        <w:t xml:space="preserve">广东证监局办公室              </w:t>
      </w:r>
      <w:r>
        <w:rPr>
          <w:rFonts w:hint="eastAsia" w:ascii="仿宋_GB2312" w:eastAsia="仿宋_GB2312"/>
          <w:spacing w:val="8"/>
          <w:sz w:val="28"/>
          <w:lang w:val="en-US" w:eastAsia="zh-CN"/>
        </w:rPr>
        <w:t xml:space="preserve">     </w:t>
      </w:r>
      <w:r>
        <w:rPr>
          <w:rFonts w:hint="eastAsia" w:ascii="仿宋_GB2312" w:eastAsia="仿宋_GB2312"/>
          <w:spacing w:val="8"/>
          <w:sz w:val="28"/>
        </w:rPr>
        <w:t xml:space="preserve"> </w:t>
      </w:r>
      <w:r>
        <w:rPr>
          <w:rFonts w:hint="default" w:ascii="仿宋_GB2312" w:eastAsia="仿宋_GB2312"/>
          <w:spacing w:val="8"/>
          <w:sz w:val="28"/>
          <w:lang w:val="en" w:eastAsia="zh-CN"/>
        </w:rPr>
        <w:t>2022</w:t>
      </w:r>
      <w:r>
        <w:rPr>
          <w:rFonts w:hint="eastAsia" w:ascii="仿宋_GB2312" w:eastAsia="仿宋_GB2312"/>
          <w:spacing w:val="8"/>
          <w:sz w:val="28"/>
        </w:rPr>
        <w:t>年</w:t>
      </w:r>
      <w:r>
        <w:rPr>
          <w:rFonts w:hint="eastAsia" w:ascii="仿宋_GB2312" w:eastAsia="仿宋_GB2312"/>
          <w:spacing w:val="8"/>
          <w:sz w:val="28"/>
          <w:lang w:val="en-US" w:eastAsia="zh-CN"/>
        </w:rPr>
        <w:t>6</w:t>
      </w:r>
      <w:r>
        <w:rPr>
          <w:rFonts w:hint="eastAsia" w:ascii="仿宋_GB2312" w:eastAsia="仿宋_GB2312"/>
          <w:spacing w:val="8"/>
          <w:sz w:val="28"/>
        </w:rPr>
        <w:t>月</w:t>
      </w:r>
      <w:r>
        <w:rPr>
          <w:rFonts w:hint="default" w:ascii="仿宋_GB2312" w:eastAsia="仿宋_GB2312"/>
          <w:spacing w:val="8"/>
          <w:sz w:val="28"/>
          <w:lang w:val="en"/>
        </w:rPr>
        <w:t>6</w:t>
      </w:r>
      <w:r>
        <w:rPr>
          <w:rFonts w:hint="eastAsia" w:ascii="仿宋_GB2312" w:eastAsia="仿宋_GB2312"/>
          <w:spacing w:val="8"/>
          <w:sz w:val="28"/>
        </w:rPr>
        <w:t>日印发</w:t>
      </w:r>
    </w:p>
    <w:p>
      <w:pPr>
        <w:pBdr>
          <w:top w:val="single" w:color="auto" w:sz="8" w:space="7"/>
        </w:pBdr>
        <w:adjustRightInd w:val="0"/>
        <w:snapToGrid w:val="0"/>
        <w:spacing w:beforeLines="0" w:after="0" w:afterLines="0"/>
        <w:ind w:firstLine="0"/>
        <w:jc w:val="left"/>
        <w:rPr>
          <w:rFonts w:hint="eastAsia" w:ascii="仿宋_GB2312" w:eastAsia="仿宋_GB2312"/>
          <w:spacing w:val="8"/>
          <w:sz w:val="2"/>
          <w:szCs w:val="2"/>
          <w:vertAlign w:val="baseline"/>
        </w:rPr>
      </w:pPr>
    </w:p>
    <w:bookmarkEnd w:id="0"/>
    <w:p>
      <w:pPr>
        <w:snapToGrid w:val="0"/>
        <w:spacing w:beforeLines="0" w:afterLines="0"/>
        <w:rPr>
          <w:sz w:val="2"/>
          <w:szCs w:val="2"/>
        </w:rPr>
      </w:pPr>
    </w:p>
    <w:sectPr>
      <w:footerReference r:id="rId3" w:type="default"/>
      <w:pgSz w:w="11906" w:h="16838"/>
      <w:pgMar w:top="2097" w:right="1474" w:bottom="1984" w:left="1587" w:header="851" w:footer="1587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s0lY7tAAAAAFAQAADwAAAAAAAAABACAAAAA4AAAAZHJzL2Rvd25yZXYueG1sUEsB&#10;AhQAFAAAAAgAh07iQGUktTAgAgAANwQAAA4AAAAAAAAAAQAgAAAAN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true"/>
  <w:bordersDoNotSurroundFooter w:val="true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7F70653"/>
    <w:rsid w:val="2F7F57CF"/>
    <w:rsid w:val="36DF2B74"/>
    <w:rsid w:val="69FDE4BF"/>
    <w:rsid w:val="6F7E98AB"/>
    <w:rsid w:val="73FFCCFB"/>
    <w:rsid w:val="7DFB0F92"/>
    <w:rsid w:val="7F6F825E"/>
    <w:rsid w:val="7FFFB783"/>
    <w:rsid w:val="B7F70653"/>
    <w:rsid w:val="BFFFCB2F"/>
    <w:rsid w:val="DFFF20D3"/>
    <w:rsid w:val="E7FEA5B9"/>
    <w:rsid w:val="EFF726A1"/>
    <w:rsid w:val="F7F6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spacing w:line="240" w:lineRule="auto"/>
      <w:ind w:firstLine="420"/>
      <w:jc w:val="both"/>
      <w:textAlignment w:val="baseline"/>
    </w:pPr>
    <w:rPr>
      <w:rFonts w:ascii="宋体" w:hAnsi="Calibri"/>
      <w:kern w:val="0"/>
      <w:sz w:val="21"/>
      <w:szCs w:val="24"/>
      <w:lang w:val="en-US" w:eastAsia="zh-CN" w:bidi="ar-SA"/>
    </w:rPr>
  </w:style>
  <w:style w:type="paragraph" w:styleId="3">
    <w:name w:val="Body Text"/>
    <w:basedOn w:val="1"/>
    <w:qFormat/>
    <w:uiPriority w:val="0"/>
    <w:pPr>
      <w:jc w:val="center"/>
    </w:pPr>
    <w:rPr>
      <w:rFonts w:ascii="宋体"/>
      <w:b/>
      <w:bCs/>
      <w:sz w:val="40"/>
      <w:szCs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paragraph" w:customStyle="1" w:styleId="9">
    <w:name w:val="Char Char Char Char Char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2022-04-11T08:54:00Z</dcterms:created>
  <dc:creator>程国星</dc:creator>
  <cp:lastModifiedBy>程国星</cp:lastModifiedBy>
  <dcterms:modified xsi:type="dcterms:W3CDTF">2022-06-07T09:57:24Z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</Properties>
</file>