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240" w:line="300" w:lineRule="auto"/>
        <w:jc w:val="center"/>
        <w:rPr>
          <w:rFonts w:hint="eastAsia" w:ascii="方正小标宋简体" w:hAnsi="方正小标宋简体" w:eastAsia="方正小标宋简体" w:cs="Times New Roman"/>
          <w:color w:val="FF0000"/>
          <w:spacing w:val="12"/>
          <w:w w:val="75"/>
          <w:sz w:val="60"/>
        </w:rPr>
      </w:pPr>
      <w:r>
        <w:rPr>
          <w:rFonts w:hint="eastAsia" w:ascii="方正小标宋简体" w:hAnsi="方正小标宋简体" w:eastAsia="方正小标宋简体" w:cs="Times New Roman"/>
          <w:color w:val="FF0000"/>
          <w:w w:val="75"/>
          <w:sz w:val="60"/>
        </w:rPr>
        <w:t>中国证券监督管理委员会广东监管局</w:t>
      </w:r>
    </w:p>
    <w:p>
      <w:pPr>
        <w:snapToGrid w:val="0"/>
        <w:spacing w:line="300" w:lineRule="auto"/>
        <w:ind w:right="-194"/>
        <w:jc w:val="center"/>
        <w:rPr>
          <w:rFonts w:hint="eastAsia" w:ascii="方正小标宋简体" w:hAnsi="方正小标宋简体" w:eastAsia="方正小标宋简体" w:cs="Times New Roman"/>
          <w:snapToGrid w:val="0"/>
          <w:color w:val="FF0000"/>
          <w:spacing w:val="136"/>
          <w:kern w:val="0"/>
          <w:sz w:val="80"/>
        </w:rPr>
      </w:pPr>
      <w:r>
        <w:rPr>
          <w:rFonts w:hint="eastAsia" w:ascii="方正小标宋简体" w:hAnsi="方正小标宋简体" w:eastAsia="方正小标宋简体" w:cs="Times New Roman"/>
          <w:snapToGrid w:val="0"/>
          <w:color w:val="FF0000"/>
          <w:spacing w:val="136"/>
          <w:kern w:val="0"/>
          <w:sz w:val="80"/>
        </w:rPr>
        <w:t>行政处罚决定书</w:t>
      </w:r>
    </w:p>
    <w:p>
      <w:pPr>
        <w:keepNext w:val="0"/>
        <w:keepLines w:val="0"/>
        <w:pageBreakBefore w:val="0"/>
        <w:widowControl w:val="0"/>
        <w:kinsoku/>
        <w:wordWrap/>
        <w:overflowPunct/>
        <w:topLinePunct w:val="0"/>
        <w:autoSpaceDE/>
        <w:autoSpaceDN/>
        <w:bidi w:val="0"/>
        <w:snapToGrid w:val="0"/>
        <w:spacing w:before="0" w:beforeLines="0" w:after="0" w:afterLines="0" w:line="324" w:lineRule="auto"/>
        <w:ind w:left="0" w:leftChars="0" w:right="0" w:rightChars="0"/>
        <w:jc w:val="center"/>
        <w:textAlignment w:val="auto"/>
        <w:outlineLvl w:val="0"/>
        <w:rPr>
          <w:rFonts w:hint="eastAsia" w:ascii="仿宋_GB2312" w:eastAsia="仿宋_GB2312"/>
          <w:spacing w:val="12"/>
          <w:sz w:val="28"/>
        </w:rPr>
      </w:pPr>
      <w:bookmarkStart w:id="0" w:name="quanwen"/>
      <w:r>
        <w:rPr>
          <w:rFonts w:hint="eastAsia" w:ascii="仿宋_GB2312" w:eastAsia="仿宋_GB2312"/>
          <w:spacing w:val="12"/>
          <w:sz w:val="28"/>
        </w:rPr>
        <w:t>〔20</w:t>
      </w:r>
      <w:r>
        <w:rPr>
          <w:rFonts w:hint="eastAsia" w:ascii="仿宋_GB2312" w:eastAsia="仿宋_GB2312"/>
          <w:spacing w:val="12"/>
          <w:sz w:val="28"/>
          <w:lang w:val="en-US" w:eastAsia="zh-CN"/>
        </w:rPr>
        <w:t>26</w:t>
      </w:r>
      <w:r>
        <w:rPr>
          <w:rFonts w:hint="eastAsia" w:ascii="仿宋_GB2312" w:eastAsia="仿宋_GB2312"/>
          <w:spacing w:val="12"/>
          <w:sz w:val="28"/>
        </w:rPr>
        <w:t>〕</w:t>
      </w:r>
      <w:r>
        <w:rPr>
          <w:rFonts w:hint="eastAsia" w:ascii="仿宋_GB2312" w:eastAsia="仿宋_GB2312"/>
          <w:spacing w:val="12"/>
          <w:sz w:val="28"/>
          <w:lang w:val="en-US" w:eastAsia="zh-CN"/>
        </w:rPr>
        <w:t>19</w:t>
      </w:r>
      <w:r>
        <w:rPr>
          <w:rFonts w:hint="eastAsia" w:ascii="仿宋_GB2312" w:eastAsia="仿宋_GB2312"/>
          <w:spacing w:val="12"/>
          <w:sz w:val="28"/>
        </w:rPr>
        <w:t>号</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352" w:firstLineChars="200"/>
        <w:textAlignment w:val="auto"/>
        <w:outlineLvl w:val="9"/>
        <w:rPr>
          <w:rFonts w:hint="eastAsia" w:ascii="仿宋_GB2312" w:eastAsia="仿宋_GB2312"/>
          <w:spacing w:val="8"/>
          <w:sz w:val="16"/>
          <w:szCs w:val="16"/>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352" w:firstLineChars="200"/>
        <w:textAlignment w:val="auto"/>
        <w:outlineLvl w:val="9"/>
        <w:rPr>
          <w:rFonts w:hint="eastAsia" w:ascii="仿宋_GB2312" w:eastAsia="仿宋_GB2312"/>
          <w:spacing w:val="8"/>
          <w:sz w:val="16"/>
          <w:szCs w:val="16"/>
        </w:rPr>
      </w:pP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Lines="0" w:line="324" w:lineRule="auto"/>
        <w:ind w:left="0" w:leftChars="0" w:right="0" w:rightChars="0" w:firstLine="640"/>
        <w:jc w:val="both"/>
        <w:textAlignment w:val="auto"/>
        <w:outlineLvl w:val="9"/>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当事人：张某全，男，住址：</w:t>
      </w:r>
      <w:r>
        <w:rPr>
          <w:rFonts w:hint="eastAsia" w:ascii="仿宋_GB2312" w:hAnsi="仿宋_GB2312" w:eastAsia="仿宋_GB2312" w:cs="仿宋_GB2312"/>
          <w:b w:val="0"/>
          <w:bCs w:val="0"/>
          <w:color w:val="auto"/>
          <w:sz w:val="32"/>
          <w:szCs w:val="32"/>
          <w:lang w:val="en-US" w:eastAsia="zh-CN"/>
        </w:rPr>
        <w:t>浙江省杭州市</w:t>
      </w:r>
      <w:r>
        <w:rPr>
          <w:rFonts w:hint="eastAsia" w:ascii="仿宋_GB2312" w:hAnsi="仿宋_GB2312" w:eastAsia="仿宋_GB2312" w:cs="Times New Roman"/>
          <w:sz w:val="32"/>
          <w:szCs w:val="32"/>
          <w:lang w:val="en-US" w:eastAsia="zh-CN"/>
        </w:rPr>
        <w:t>。</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Lines="0" w:line="324" w:lineRule="auto"/>
        <w:ind w:left="0" w:leftChars="0" w:right="0" w:rightChars="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 xml:space="preserve">    </w:t>
      </w:r>
      <w:r>
        <w:rPr>
          <w:rFonts w:hint="eastAsia" w:ascii="仿宋_GB2312" w:hAnsi="仿宋_GB2312" w:eastAsia="仿宋_GB2312" w:cs="Times New Roman"/>
          <w:color w:val="auto"/>
          <w:kern w:val="2"/>
          <w:sz w:val="32"/>
          <w:szCs w:val="32"/>
          <w:lang w:val="en-US" w:eastAsia="zh-CN" w:bidi="ar-SA"/>
        </w:rPr>
        <w:t>依据</w:t>
      </w:r>
      <w:r>
        <w:rPr>
          <w:rFonts w:hint="eastAsia" w:ascii="仿宋_GB2312" w:hAnsi="仿宋_GB2312" w:eastAsia="仿宋_GB2312" w:cs="Times New Roman"/>
          <w:sz w:val="32"/>
          <w:szCs w:val="32"/>
          <w:lang w:val="en-US" w:eastAsia="zh-CN"/>
        </w:rPr>
        <w:t>《中华人民共和国证券法》（以下简称《证券法》）的有关规定</w:t>
      </w:r>
      <w:r>
        <w:rPr>
          <w:rFonts w:hint="eastAsia" w:ascii="仿宋_GB2312" w:hAnsi="仿宋_GB2312" w:eastAsia="仿宋_GB2312" w:cs="仿宋_GB2312"/>
          <w:kern w:val="0"/>
          <w:sz w:val="32"/>
          <w:szCs w:val="32"/>
          <w:lang w:val="en-US" w:eastAsia="zh-CN" w:bidi="ar-SA"/>
        </w:rPr>
        <w:t>，我局对</w:t>
      </w:r>
      <w:r>
        <w:rPr>
          <w:rFonts w:hint="eastAsia" w:ascii="仿宋_GB2312" w:hAnsi="仿宋_GB2312" w:eastAsia="仿宋_GB2312" w:cs="Times New Roman"/>
          <w:sz w:val="32"/>
          <w:szCs w:val="32"/>
          <w:lang w:val="en-US" w:eastAsia="zh-CN"/>
        </w:rPr>
        <w:t>张某全</w:t>
      </w:r>
      <w:r>
        <w:rPr>
          <w:rFonts w:hint="eastAsia" w:ascii="仿宋_GB2312" w:hAnsi="仿宋_GB2312" w:eastAsia="仿宋_GB2312" w:cs="仿宋_GB2312"/>
          <w:kern w:val="2"/>
          <w:sz w:val="32"/>
          <w:szCs w:val="32"/>
          <w:lang w:val="en-US" w:eastAsia="zh-CN" w:bidi="ar-SA"/>
        </w:rPr>
        <w:t>借用他人证券账户从事证券交易</w:t>
      </w:r>
      <w:r>
        <w:rPr>
          <w:rFonts w:hint="eastAsia" w:ascii="仿宋_GB2312" w:hAnsi="仿宋_GB2312" w:eastAsia="仿宋_GB2312" w:cs="仿宋_GB2312"/>
          <w:kern w:val="0"/>
          <w:sz w:val="32"/>
          <w:szCs w:val="32"/>
          <w:lang w:val="en-US" w:eastAsia="zh-CN" w:bidi="ar-SA"/>
        </w:rPr>
        <w:t>行为进行了立案调查，并依法向当事人告知了作出行政处罚的事实、理由、依据及当事人依法享有的权利，当事人未提出陈述、申辩意见，也未要求听证。本案现已调查、办理终结。</w:t>
      </w:r>
    </w:p>
    <w:p>
      <w:pPr>
        <w:keepNext w:val="0"/>
        <w:keepLines w:val="0"/>
        <w:pageBreakBefore w:val="0"/>
        <w:widowControl w:val="0"/>
        <w:tabs>
          <w:tab w:val="left" w:pos="46"/>
        </w:tabs>
        <w:kinsoku/>
        <w:wordWrap/>
        <w:overflowPunct w:val="0"/>
        <w:topLinePunct w:val="0"/>
        <w:autoSpaceDE/>
        <w:autoSpaceDN/>
        <w:bidi w:val="0"/>
        <w:adjustRightInd w:val="0"/>
        <w:snapToGrid w:val="0"/>
        <w:spacing w:before="0" w:beforeLines="0" w:afterLines="0" w:line="324" w:lineRule="auto"/>
        <w:ind w:left="0" w:leftChars="0" w:right="0" w:rightChars="0"/>
        <w:jc w:val="both"/>
        <w:textAlignment w:val="auto"/>
        <w:outlineLvl w:val="9"/>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 xml:space="preserve">    经查明，</w:t>
      </w:r>
      <w:r>
        <w:rPr>
          <w:rFonts w:hint="eastAsia" w:ascii="仿宋_GB2312" w:hAnsi="仿宋_GB2312" w:eastAsia="仿宋_GB2312" w:cs="Times New Roman"/>
          <w:sz w:val="32"/>
          <w:szCs w:val="32"/>
          <w:lang w:val="en-US" w:eastAsia="zh-CN"/>
        </w:rPr>
        <w:t>张某全</w:t>
      </w:r>
      <w:r>
        <w:rPr>
          <w:rFonts w:hint="eastAsia" w:ascii="仿宋_GB2312" w:hAnsi="仿宋_GB2312" w:eastAsia="仿宋_GB2312" w:cs="仿宋_GB2312"/>
          <w:kern w:val="0"/>
          <w:sz w:val="32"/>
          <w:szCs w:val="32"/>
          <w:lang w:val="en-US" w:eastAsia="zh-CN" w:bidi="ar-SA"/>
        </w:rPr>
        <w:t>存在以下违法事实：</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324" w:lineRule="auto"/>
        <w:ind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2024年10月</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日至2025年11月11日张某全借用多个证券账户买卖股票。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324" w:lineRule="auto"/>
        <w:ind w:right="0" w:rightChars="0" w:firstLine="64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highlight w:val="none"/>
        </w:rPr>
        <w:t>上述违法事实，有询问笔录、相关协议、交易流水、证券账户资料等证据证明</w:t>
      </w:r>
      <w:r>
        <w:rPr>
          <w:rFonts w:hint="eastAsia" w:ascii="仿宋_GB2312" w:hAnsi="仿宋_GB2312" w:eastAsia="仿宋_GB2312" w:cs="仿宋_GB2312"/>
          <w:kern w:val="2"/>
          <w:sz w:val="32"/>
          <w:szCs w:val="32"/>
          <w:lang w:val="en-US" w:eastAsia="zh-CN" w:bidi="ar-SA"/>
        </w:rPr>
        <w:t>，足以认定。</w:t>
      </w:r>
    </w:p>
    <w:p>
      <w:pPr>
        <w:keepNext w:val="0"/>
        <w:keepLines w:val="0"/>
        <w:pageBreakBefore w:val="0"/>
        <w:widowControl w:val="0"/>
        <w:numPr>
          <w:ilvl w:val="0"/>
          <w:numId w:val="0"/>
        </w:numPr>
        <w:tabs>
          <w:tab w:val="left" w:pos="46"/>
        </w:tabs>
        <w:kinsoku/>
        <w:wordWrap/>
        <w:overflowPunct w:val="0"/>
        <w:topLinePunct w:val="0"/>
        <w:autoSpaceDE/>
        <w:autoSpaceDN/>
        <w:bidi w:val="0"/>
        <w:adjustRightInd w:val="0"/>
        <w:snapToGrid w:val="0"/>
        <w:spacing w:before="0" w:beforeLines="0" w:after="0" w:afterLines="0" w:line="324" w:lineRule="auto"/>
        <w:ind w:right="0" w:rightChars="0" w:firstLine="640" w:firstLineChars="200"/>
        <w:jc w:val="left"/>
        <w:textAlignment w:val="auto"/>
        <w:outlineLvl w:val="9"/>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张某全</w:t>
      </w:r>
      <w:r>
        <w:rPr>
          <w:rFonts w:hint="eastAsia" w:ascii="仿宋_GB2312" w:hAnsi="仿宋_GB2312" w:eastAsia="仿宋_GB2312" w:cs="Times New Roman"/>
          <w:b w:val="0"/>
          <w:bCs w:val="0"/>
          <w:snapToGrid/>
          <w:kern w:val="2"/>
          <w:sz w:val="32"/>
          <w:szCs w:val="32"/>
          <w:lang w:val="en-US" w:eastAsia="zh-CN" w:bidi="ar-SA"/>
        </w:rPr>
        <w:t>借用他人证券账户从事证券交易的行为</w:t>
      </w:r>
      <w:r>
        <w:rPr>
          <w:rFonts w:hint="eastAsia" w:ascii="仿宋_GB2312" w:hAnsi="仿宋_GB2312" w:eastAsia="仿宋_GB2312" w:cs="Times New Roman"/>
          <w:sz w:val="32"/>
          <w:szCs w:val="32"/>
          <w:lang w:val="en-US" w:eastAsia="zh-CN"/>
        </w:rPr>
        <w:t>，违反《证券法》</w:t>
      </w:r>
      <w:r>
        <w:rPr>
          <w:rFonts w:hint="default" w:ascii="仿宋_GB2312" w:hAnsi="仿宋_GB2312" w:eastAsia="仿宋_GB2312" w:cs="仿宋_GB2312"/>
          <w:b w:val="0"/>
          <w:bCs w:val="0"/>
          <w:snapToGrid w:val="0"/>
          <w:color w:val="auto"/>
          <w:kern w:val="0"/>
          <w:sz w:val="32"/>
          <w:szCs w:val="32"/>
          <w:lang w:val="en-US" w:eastAsia="zh-CN" w:bidi="ar-SA"/>
        </w:rPr>
        <w:t>第</w:t>
      </w:r>
      <w:r>
        <w:rPr>
          <w:rFonts w:hint="eastAsia" w:ascii="仿宋_GB2312" w:hAnsi="仿宋_GB2312" w:eastAsia="仿宋_GB2312" w:cs="仿宋_GB2312"/>
          <w:b w:val="0"/>
          <w:bCs w:val="0"/>
          <w:snapToGrid w:val="0"/>
          <w:color w:val="auto"/>
          <w:kern w:val="0"/>
          <w:sz w:val="32"/>
          <w:szCs w:val="32"/>
          <w:lang w:val="en-US" w:eastAsia="zh-CN" w:bidi="ar-SA"/>
        </w:rPr>
        <w:t>五十八</w:t>
      </w:r>
      <w:r>
        <w:rPr>
          <w:rFonts w:hint="default" w:ascii="仿宋_GB2312" w:hAnsi="仿宋_GB2312" w:eastAsia="仿宋_GB2312" w:cs="仿宋_GB2312"/>
          <w:b w:val="0"/>
          <w:bCs w:val="0"/>
          <w:snapToGrid w:val="0"/>
          <w:color w:val="auto"/>
          <w:kern w:val="0"/>
          <w:sz w:val="32"/>
          <w:szCs w:val="32"/>
          <w:lang w:val="en-US" w:eastAsia="zh-CN" w:bidi="ar-SA"/>
        </w:rPr>
        <w:t>条的规定，构成《</w:t>
      </w:r>
      <w:r>
        <w:rPr>
          <w:rFonts w:hint="eastAsia" w:ascii="仿宋_GB2312" w:hAnsi="仿宋_GB2312" w:eastAsia="仿宋_GB2312" w:cs="仿宋_GB2312"/>
          <w:b w:val="0"/>
          <w:bCs w:val="0"/>
          <w:snapToGrid w:val="0"/>
          <w:color w:val="auto"/>
          <w:kern w:val="0"/>
          <w:sz w:val="32"/>
          <w:szCs w:val="32"/>
          <w:lang w:val="en-US" w:eastAsia="zh-CN" w:bidi="ar-SA"/>
        </w:rPr>
        <w:t>证券法</w:t>
      </w:r>
      <w:r>
        <w:rPr>
          <w:rFonts w:hint="default" w:ascii="仿宋_GB2312" w:hAnsi="仿宋_GB2312" w:eastAsia="仿宋_GB2312" w:cs="仿宋_GB2312"/>
          <w:b w:val="0"/>
          <w:bCs w:val="0"/>
          <w:snapToGrid w:val="0"/>
          <w:color w:val="auto"/>
          <w:kern w:val="0"/>
          <w:sz w:val="32"/>
          <w:szCs w:val="32"/>
          <w:lang w:val="en-US" w:eastAsia="zh-CN" w:bidi="ar-SA"/>
        </w:rPr>
        <w:t>》第</w:t>
      </w:r>
      <w:r>
        <w:rPr>
          <w:rFonts w:hint="eastAsia" w:ascii="仿宋_GB2312" w:hAnsi="仿宋_GB2312" w:eastAsia="仿宋_GB2312" w:cs="仿宋_GB2312"/>
          <w:b w:val="0"/>
          <w:bCs w:val="0"/>
          <w:color w:val="auto"/>
          <w:kern w:val="2"/>
          <w:sz w:val="32"/>
          <w:szCs w:val="32"/>
          <w:lang w:val="en-US" w:eastAsia="zh-CN" w:bidi="ar-SA"/>
        </w:rPr>
        <w:t>一百九十五条</w:t>
      </w:r>
      <w:r>
        <w:rPr>
          <w:rFonts w:hint="default" w:ascii="仿宋_GB2312" w:hAnsi="仿宋_GB2312" w:eastAsia="仿宋_GB2312" w:cs="仿宋_GB2312"/>
          <w:b w:val="0"/>
          <w:bCs w:val="0"/>
          <w:snapToGrid w:val="0"/>
          <w:color w:val="auto"/>
          <w:kern w:val="0"/>
          <w:sz w:val="32"/>
          <w:szCs w:val="32"/>
          <w:lang w:val="en-US" w:eastAsia="zh-CN" w:bidi="ar-SA"/>
        </w:rPr>
        <w:t>所述违法</w:t>
      </w:r>
      <w:r>
        <w:rPr>
          <w:rFonts w:hint="eastAsia" w:ascii="仿宋_GB2312" w:hAnsi="仿宋_GB2312" w:eastAsia="仿宋_GB2312" w:cs="仿宋_GB2312"/>
          <w:b w:val="0"/>
          <w:bCs w:val="0"/>
          <w:snapToGrid w:val="0"/>
          <w:color w:val="auto"/>
          <w:kern w:val="0"/>
          <w:sz w:val="32"/>
          <w:szCs w:val="32"/>
          <w:lang w:val="en-US" w:eastAsia="zh-CN" w:bidi="ar-SA"/>
        </w:rPr>
        <w:t>行为</w:t>
      </w:r>
      <w:r>
        <w:rPr>
          <w:rFonts w:hint="default" w:ascii="仿宋_GB2312" w:hAnsi="仿宋_GB2312" w:eastAsia="仿宋_GB2312" w:cs="仿宋_GB2312"/>
          <w:b w:val="0"/>
          <w:bCs w:val="0"/>
          <w:snapToGrid w:val="0"/>
          <w:color w:val="auto"/>
          <w:kern w:val="0"/>
          <w:sz w:val="32"/>
          <w:szCs w:val="32"/>
          <w:lang w:val="en-US" w:eastAsia="zh-CN"/>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324" w:lineRule="auto"/>
        <w:ind w:right="0" w:rightChars="0" w:firstLine="640" w:firstLineChars="200"/>
        <w:jc w:val="both"/>
        <w:textAlignment w:val="auto"/>
        <w:outlineLvl w:val="9"/>
        <w:rPr>
          <w:rFonts w:hint="eastAsia" w:ascii="仿宋_GB2312" w:hAnsi="仿宋_GB2312" w:eastAsia="仿宋_GB2312" w:cs="楷体_GB2312"/>
          <w:kern w:val="2"/>
          <w:sz w:val="32"/>
          <w:szCs w:val="32"/>
          <w:lang w:val="en-US" w:eastAsia="zh-CN" w:bidi="ar-SA"/>
        </w:rPr>
      </w:pPr>
      <w:r>
        <w:rPr>
          <w:rFonts w:hint="eastAsia" w:ascii="仿宋_GB2312" w:hAnsi="仿宋_GB2312" w:eastAsia="仿宋_GB2312" w:cs="楷体_GB2312"/>
          <w:kern w:val="2"/>
          <w:sz w:val="32"/>
          <w:szCs w:val="32"/>
          <w:lang w:val="en-US" w:eastAsia="zh-CN" w:bidi="ar-SA"/>
        </w:rPr>
        <w:t>根据当事人</w:t>
      </w:r>
      <w:r>
        <w:rPr>
          <w:rFonts w:hint="default" w:ascii="仿宋_GB2312" w:hAnsi="仿宋_GB2312" w:eastAsia="仿宋_GB2312" w:cs="楷体_GB2312"/>
          <w:kern w:val="2"/>
          <w:sz w:val="32"/>
          <w:szCs w:val="32"/>
          <w:lang w:val="en" w:eastAsia="zh-CN" w:bidi="ar-SA"/>
        </w:rPr>
        <w:t>违</w:t>
      </w:r>
      <w:r>
        <w:rPr>
          <w:rFonts w:hint="eastAsia" w:ascii="仿宋_GB2312" w:hAnsi="仿宋_GB2312" w:eastAsia="仿宋_GB2312" w:cs="楷体_GB2312"/>
          <w:kern w:val="2"/>
          <w:sz w:val="32"/>
          <w:szCs w:val="32"/>
          <w:lang w:val="en" w:eastAsia="zh-CN" w:bidi="ar-SA"/>
        </w:rPr>
        <w:t>法</w:t>
      </w:r>
      <w:r>
        <w:rPr>
          <w:rFonts w:hint="eastAsia" w:ascii="仿宋_GB2312" w:hAnsi="仿宋_GB2312" w:eastAsia="仿宋_GB2312" w:cs="楷体_GB2312"/>
          <w:kern w:val="2"/>
          <w:sz w:val="32"/>
          <w:szCs w:val="32"/>
          <w:lang w:val="en-US" w:eastAsia="zh-CN" w:bidi="ar-SA"/>
        </w:rPr>
        <w:t>行为的事实、性质、情节以及社会危害程度，依据</w:t>
      </w:r>
      <w:r>
        <w:rPr>
          <w:rFonts w:hint="default" w:ascii="仿宋_GB2312" w:hAnsi="仿宋_GB2312" w:eastAsia="仿宋_GB2312" w:cs="Times New Roman"/>
          <w:spacing w:val="0"/>
          <w:sz w:val="32"/>
          <w:szCs w:val="32"/>
          <w:lang w:val="en-US" w:eastAsia="zh-CN"/>
        </w:rPr>
        <w:t>《</w:t>
      </w:r>
      <w:r>
        <w:rPr>
          <w:rFonts w:hint="eastAsia" w:ascii="仿宋_GB2312" w:hAnsi="仿宋_GB2312" w:eastAsia="仿宋_GB2312" w:cs="Times New Roman"/>
          <w:spacing w:val="0"/>
          <w:sz w:val="32"/>
          <w:szCs w:val="32"/>
          <w:lang w:val="en-US" w:eastAsia="zh-CN"/>
        </w:rPr>
        <w:t>证券</w:t>
      </w:r>
      <w:r>
        <w:rPr>
          <w:rFonts w:hint="default" w:ascii="仿宋_GB2312" w:hAnsi="仿宋_GB2312" w:eastAsia="仿宋_GB2312" w:cs="Times New Roman"/>
          <w:spacing w:val="0"/>
          <w:sz w:val="32"/>
          <w:szCs w:val="32"/>
          <w:lang w:val="en-US" w:eastAsia="zh-CN"/>
        </w:rPr>
        <w:t>法》</w:t>
      </w:r>
      <w:r>
        <w:rPr>
          <w:rFonts w:hint="eastAsia" w:ascii="仿宋_GB2312" w:hAnsi="仿宋_GB2312" w:eastAsia="仿宋_GB2312" w:cs="仿宋_GB2312"/>
          <w:b w:val="0"/>
          <w:bCs w:val="0"/>
          <w:color w:val="auto"/>
          <w:kern w:val="2"/>
          <w:sz w:val="32"/>
          <w:szCs w:val="32"/>
          <w:lang w:val="en-US" w:eastAsia="zh-CN" w:bidi="ar-SA"/>
        </w:rPr>
        <w:t>第一百九十五条</w:t>
      </w:r>
      <w:r>
        <w:rPr>
          <w:rFonts w:hint="eastAsia" w:ascii="仿宋_GB2312" w:hAnsi="仿宋_GB2312" w:eastAsia="仿宋_GB2312" w:cs="仿宋_GB2312"/>
          <w:b w:val="0"/>
          <w:bCs w:val="0"/>
          <w:snapToGrid w:val="0"/>
          <w:color w:val="auto"/>
          <w:kern w:val="0"/>
          <w:sz w:val="32"/>
          <w:szCs w:val="32"/>
          <w:lang w:val="en-US" w:eastAsia="zh-CN" w:bidi="ar-SA"/>
        </w:rPr>
        <w:t>的规定</w:t>
      </w:r>
      <w:r>
        <w:rPr>
          <w:rFonts w:hint="eastAsia" w:ascii="仿宋_GB2312" w:hAnsi="仿宋_GB2312" w:eastAsia="仿宋_GB2312" w:cs="楷体_GB2312"/>
          <w:kern w:val="2"/>
          <w:sz w:val="32"/>
          <w:szCs w:val="32"/>
          <w:lang w:val="en-US" w:eastAsia="zh-CN" w:bidi="ar-SA"/>
        </w:rPr>
        <w:t>，我局决定：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324" w:lineRule="auto"/>
        <w:ind w:leftChars="0" w:firstLine="641" w:firstLineChars="0"/>
        <w:jc w:val="left"/>
        <w:textAlignment w:val="auto"/>
        <w:outlineLvl w:val="1"/>
        <w:rPr>
          <w:rFonts w:hint="eastAsia"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snapToGrid w:val="0"/>
          <w:color w:val="auto"/>
          <w:kern w:val="0"/>
          <w:sz w:val="32"/>
          <w:szCs w:val="32"/>
          <w:lang w:val="en-US" w:eastAsia="zh-CN" w:bidi="ar-SA"/>
        </w:rPr>
        <w:t>对</w:t>
      </w:r>
      <w:r>
        <w:rPr>
          <w:rFonts w:hint="eastAsia" w:ascii="仿宋_GB2312" w:hAnsi="仿宋_GB2312" w:eastAsia="仿宋_GB2312" w:cs="Times New Roman"/>
          <w:sz w:val="32"/>
          <w:szCs w:val="32"/>
          <w:lang w:val="en-US" w:eastAsia="zh-CN"/>
        </w:rPr>
        <w:t>张某全</w:t>
      </w:r>
      <w:r>
        <w:rPr>
          <w:rFonts w:hint="default" w:ascii="仿宋_GB2312" w:hAnsi="仿宋_GB2312" w:eastAsia="仿宋_GB2312" w:cs="仿宋_GB2312"/>
          <w:b w:val="0"/>
          <w:bCs w:val="0"/>
          <w:snapToGrid w:val="0"/>
          <w:color w:val="auto"/>
          <w:kern w:val="0"/>
          <w:sz w:val="32"/>
          <w:szCs w:val="32"/>
          <w:lang w:val="en-US" w:eastAsia="zh-CN" w:bidi="ar-SA"/>
        </w:rPr>
        <w:t>责令改正，给予警告，并处以</w:t>
      </w:r>
      <w:r>
        <w:rPr>
          <w:rFonts w:hint="eastAsia" w:ascii="仿宋_GB2312" w:hAnsi="仿宋_GB2312" w:eastAsia="仿宋_GB2312" w:cs="仿宋_GB2312"/>
          <w:b w:val="0"/>
          <w:bCs w:val="0"/>
          <w:snapToGrid w:val="0"/>
          <w:color w:val="auto"/>
          <w:kern w:val="0"/>
          <w:sz w:val="32"/>
          <w:szCs w:val="32"/>
          <w:lang w:val="en-US" w:eastAsia="zh-CN" w:bidi="ar-SA"/>
        </w:rPr>
        <w:t>40</w:t>
      </w:r>
      <w:r>
        <w:rPr>
          <w:rFonts w:hint="default" w:ascii="仿宋_GB2312" w:hAnsi="仿宋_GB2312" w:eastAsia="仿宋_GB2312" w:cs="仿宋_GB2312"/>
          <w:b w:val="0"/>
          <w:bCs w:val="0"/>
          <w:snapToGrid w:val="0"/>
          <w:color w:val="auto"/>
          <w:kern w:val="0"/>
          <w:sz w:val="32"/>
          <w:szCs w:val="32"/>
          <w:lang w:val="en-US" w:eastAsia="zh-CN" w:bidi="ar-SA"/>
        </w:rPr>
        <w:t>万元罚款</w:t>
      </w:r>
      <w:r>
        <w:rPr>
          <w:rFonts w:hint="eastAsia" w:ascii="仿宋_GB2312" w:hAnsi="仿宋_GB2312" w:eastAsia="仿宋_GB2312" w:cs="仿宋_GB2312"/>
          <w:b w:val="0"/>
          <w:bCs w:val="0"/>
          <w:snapToGrid w:val="0"/>
          <w:color w:val="auto"/>
          <w:kern w:val="0"/>
          <w:sz w:val="32"/>
          <w:szCs w:val="32"/>
          <w:lang w:val="en-US" w:eastAsia="zh-CN" w:bidi="ar-SA"/>
        </w:rPr>
        <w:t>。</w:t>
      </w:r>
    </w:p>
    <w:p>
      <w:pPr>
        <w:keepNext w:val="0"/>
        <w:keepLines w:val="0"/>
        <w:pageBreakBefore w:val="0"/>
        <w:widowControl w:val="0"/>
        <w:pBdr>
          <w:top w:val="none" w:color="auto" w:sz="0" w:space="0"/>
        </w:pBdr>
        <w:kinsoku/>
        <w:wordWrap/>
        <w:overflowPunct w:val="0"/>
        <w:topLinePunct w:val="0"/>
        <w:autoSpaceDE/>
        <w:autoSpaceDN/>
        <w:bidi w:val="0"/>
        <w:adjustRightInd w:val="0"/>
        <w:snapToGrid w:val="0"/>
        <w:spacing w:beforeLines="0" w:afterLines="0" w:line="324" w:lineRule="auto"/>
        <w:ind w:right="0" w:firstLine="640" w:firstLineChars="200"/>
        <w:jc w:val="both"/>
        <w:textAlignment w:val="auto"/>
        <w:outlineLvl w:val="9"/>
        <w:rPr>
          <w:rFonts w:hint="default" w:ascii="仿宋_GB2312" w:eastAsia="仿宋_GB2312"/>
          <w:spacing w:val="8"/>
          <w:sz w:val="32"/>
          <w:szCs w:val="32"/>
          <w:lang w:val="en-US" w:eastAsia="zh-CN"/>
        </w:rPr>
      </w:pPr>
      <w:r>
        <w:rPr>
          <w:rFonts w:hint="eastAsia" w:ascii="仿宋_GB2312" w:hAnsi="仿宋_GB2312" w:eastAsia="仿宋_GB2312" w:cs="Times New Roman"/>
          <w:b w:val="0"/>
          <w:bCs/>
          <w:kern w:val="0"/>
          <w:sz w:val="32"/>
          <w:szCs w:val="32"/>
          <w:lang w:val="en-US" w:eastAsia="zh-CN" w:bidi="ar-SA"/>
        </w:rPr>
        <w:t>上述当事人应自收到本处罚决定书之日起15日内，将罚款直接汇交国库。具体缴款方式见本处罚决定书所附说明。同时，须将注有当事人名称的付款凭证复印件送我局备案。当事人如果对本处罚决定不服，可在收到本处罚决定书之日起60日内向中国证券监督管理委员会申请行政复议（行政复议申请可以通过邮政快递寄送至中国证券监督管理委员会法治司），也可在收到本处罚决定书之日起6个月内直接向有管辖权的人民法院提起行政诉讼。复议和诉讼期间，上述决定不停止执行。</w:t>
      </w:r>
    </w:p>
    <w:p>
      <w:pPr>
        <w:keepNext w:val="0"/>
        <w:keepLines w:val="0"/>
        <w:pageBreakBefore w:val="0"/>
        <w:widowControl w:val="0"/>
        <w:kinsoku/>
        <w:wordWrap/>
        <w:overflowPunct w:val="0"/>
        <w:topLinePunct w:val="0"/>
        <w:autoSpaceDE/>
        <w:autoSpaceDN/>
        <w:bidi w:val="0"/>
        <w:adjustRightInd w:val="0"/>
        <w:snapToGrid w:val="0"/>
        <w:spacing w:beforeLines="0" w:afterLines="0" w:line="336" w:lineRule="auto"/>
        <w:jc w:val="left"/>
        <w:textAlignment w:val="auto"/>
        <w:rPr>
          <w:rFonts w:ascii="宋体" w:hAnsi="宋体" w:cs="宋体"/>
          <w:color w:val="000000"/>
          <w:sz w:val="22"/>
          <w:szCs w:val="22"/>
        </w:rPr>
      </w:pPr>
    </w:p>
    <w:p>
      <w:pPr>
        <w:overflowPunct w:val="0"/>
        <w:adjustRightInd w:val="0"/>
        <w:snapToGrid w:val="0"/>
        <w:spacing w:line="336" w:lineRule="auto"/>
        <w:ind w:right="1705"/>
        <w:jc w:val="right"/>
        <w:rPr>
          <w:rFonts w:hint="eastAsia" w:ascii="仿宋_GB2312" w:hAnsi="Times New Roman" w:eastAsia="仿宋_GB2312" w:cs="Times New Roman"/>
          <w:color w:val="000000"/>
          <w:sz w:val="32"/>
        </w:rPr>
      </w:pPr>
      <w:r>
        <w:rPr>
          <w:rFonts w:hint="eastAsia" w:ascii="仿宋_GB2312" w:hAnsi="Times New Roman" w:eastAsia="仿宋_GB2312" w:cs="Times New Roman"/>
          <w:color w:val="000000"/>
          <w:sz w:val="32"/>
        </w:rPr>
        <w:t>广东证监局</w:t>
      </w:r>
    </w:p>
    <w:p>
      <w:pPr>
        <w:keepNext w:val="0"/>
        <w:keepLines w:val="0"/>
        <w:pageBreakBefore w:val="0"/>
        <w:widowControl/>
        <w:numPr>
          <w:ilvl w:val="0"/>
          <w:numId w:val="0"/>
        </w:numPr>
        <w:pBdr>
          <w:top w:val="none" w:color="auto" w:sz="0" w:space="0"/>
          <w:bottom w:val="none" w:color="auto" w:sz="0" w:space="0"/>
        </w:pBdr>
        <w:kinsoku/>
        <w:wordWrap/>
        <w:overflowPunct w:val="0"/>
        <w:topLinePunct w:val="0"/>
        <w:autoSpaceDE/>
        <w:autoSpaceDN/>
        <w:bidi w:val="0"/>
        <w:adjustRightInd w:val="0"/>
        <w:snapToGrid w:val="0"/>
        <w:spacing w:beforeLines="0" w:afterLines="0" w:line="336" w:lineRule="auto"/>
        <w:ind w:firstLine="0"/>
        <w:jc w:val="center"/>
        <w:textAlignment w:val="auto"/>
        <w:outlineLvl w:val="0"/>
        <w:rPr>
          <w:rFonts w:hint="eastAsia" w:ascii="仿宋_GB2312" w:eastAsia="仿宋_GB2312"/>
          <w:spacing w:val="8"/>
          <w:sz w:val="2"/>
          <w:szCs w:val="2"/>
        </w:rPr>
      </w:pPr>
      <w:r>
        <w:rPr>
          <w:rFonts w:hint="eastAsia" w:ascii="仿宋_GB2312" w:hAnsi="Times New Roman" w:eastAsia="仿宋_GB2312" w:cs="Times New Roman"/>
          <w:color w:val="000000"/>
          <w:spacing w:val="10"/>
          <w:sz w:val="28"/>
          <w:szCs w:val="28"/>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eastAsia="zh-CN"/>
        </w:rPr>
        <w:t>2</w:t>
      </w:r>
      <w:r>
        <w:rPr>
          <w:rFonts w:hint="eastAsia" w:ascii="仿宋_GB2312" w:hAnsi="Times New Roman" w:eastAsia="仿宋_GB2312" w:cs="Times New Roman"/>
          <w:color w:val="000000"/>
          <w:spacing w:val="10"/>
          <w:sz w:val="32"/>
          <w:szCs w:val="32"/>
          <w:lang w:val="en-US" w:eastAsia="zh-CN"/>
        </w:rPr>
        <w:t>02</w:t>
      </w:r>
      <w:r>
        <w:rPr>
          <w:rFonts w:hint="eastAsia" w:ascii="仿宋_GB2312" w:eastAsia="仿宋_GB2312" w:cs="Times New Roman"/>
          <w:color w:val="000000"/>
          <w:spacing w:val="10"/>
          <w:sz w:val="32"/>
          <w:szCs w:val="32"/>
          <w:lang w:val="en-US" w:eastAsia="zh-CN"/>
        </w:rPr>
        <w:t>6</w:t>
      </w:r>
      <w:r>
        <w:rPr>
          <w:rFonts w:hint="eastAsia" w:ascii="仿宋_GB2312" w:hAnsi="Times New Roman" w:eastAsia="仿宋_GB2312" w:cs="Times New Roman"/>
          <w:color w:val="000000"/>
          <w:spacing w:val="10"/>
          <w:sz w:val="32"/>
          <w:szCs w:val="32"/>
        </w:rPr>
        <w:t>年</w:t>
      </w:r>
      <w:r>
        <w:rPr>
          <w:rFonts w:hint="eastAsia" w:ascii="仿宋_GB2312" w:eastAsia="仿宋_GB2312" w:cs="Times New Roman"/>
          <w:color w:val="000000"/>
          <w:spacing w:val="10"/>
          <w:sz w:val="32"/>
          <w:szCs w:val="32"/>
          <w:lang w:val="en-US" w:eastAsia="zh-CN"/>
        </w:rPr>
        <w:t>9</w:t>
      </w:r>
      <w:r>
        <w:rPr>
          <w:rFonts w:hint="eastAsia" w:ascii="仿宋_GB2312" w:hAnsi="Times New Roman" w:eastAsia="仿宋_GB2312" w:cs="Times New Roman"/>
          <w:color w:val="000000"/>
          <w:spacing w:val="10"/>
          <w:sz w:val="32"/>
          <w:szCs w:val="32"/>
        </w:rPr>
        <w:t>月</w:t>
      </w:r>
      <w:r>
        <w:rPr>
          <w:rFonts w:hint="eastAsia" w:ascii="仿宋_GB2312" w:eastAsia="仿宋_GB2312" w:cs="Times New Roman"/>
          <w:color w:val="000000"/>
          <w:spacing w:val="10"/>
          <w:sz w:val="32"/>
          <w:szCs w:val="32"/>
          <w:lang w:val="en-US" w:eastAsia="zh-CN"/>
        </w:rPr>
        <w:t>14</w:t>
      </w:r>
      <w:r>
        <w:rPr>
          <w:rFonts w:hint="eastAsia" w:ascii="仿宋_GB2312" w:hAnsi="Times New Roman" w:eastAsia="仿宋_GB2312" w:cs="Times New Roman"/>
          <w:color w:val="000000"/>
          <w:spacing w:val="10"/>
          <w:sz w:val="32"/>
          <w:szCs w:val="32"/>
        </w:rPr>
        <w:t>日</w:t>
      </w:r>
    </w:p>
    <w:p>
      <w:pPr>
        <w:snapToGrid w:val="0"/>
        <w:rPr>
          <w:rFonts w:hint="default"/>
          <w:sz w:val="2"/>
          <w:szCs w:val="2"/>
          <w:lang w:val="en-US"/>
        </w:rPr>
      </w:pPr>
    </w:p>
    <w:p>
      <w:pPr>
        <w:snapToGrid w:val="0"/>
        <w:spacing w:line="360" w:lineRule="auto"/>
        <w:ind w:right="26"/>
        <w:jc w:val="left"/>
        <w:rPr>
          <w:rFonts w:hint="eastAsia" w:ascii="黑体" w:hAnsi="Calibri" w:eastAsia="黑体" w:cs="Times New Roman"/>
          <w:spacing w:val="8"/>
          <w:kern w:val="2"/>
          <w:sz w:val="40"/>
          <w:szCs w:val="40"/>
        </w:rPr>
      </w:pPr>
    </w:p>
    <w:p>
      <w:pPr>
        <w:snapToGrid w:val="0"/>
        <w:spacing w:line="360" w:lineRule="auto"/>
        <w:ind w:right="26"/>
        <w:jc w:val="left"/>
        <w:rPr>
          <w:rFonts w:hint="eastAsia" w:ascii="黑体" w:hAnsi="Calibri" w:eastAsia="黑体" w:cs="Times New Roman"/>
          <w:spacing w:val="8"/>
          <w:kern w:val="2"/>
          <w:sz w:val="32"/>
          <w:szCs w:val="32"/>
        </w:rPr>
      </w:pPr>
    </w:p>
    <w:p>
      <w:pPr>
        <w:snapToGrid w:val="0"/>
        <w:spacing w:line="360" w:lineRule="auto"/>
        <w:ind w:right="26"/>
        <w:jc w:val="left"/>
        <w:rPr>
          <w:rFonts w:hint="eastAsia" w:ascii="黑体" w:hAnsi="Calibri" w:eastAsia="黑体" w:cs="Times New Roman"/>
          <w:spacing w:val="8"/>
          <w:kern w:val="2"/>
          <w:sz w:val="32"/>
          <w:szCs w:val="32"/>
        </w:rPr>
      </w:pPr>
    </w:p>
    <w:p>
      <w:pPr>
        <w:snapToGrid w:val="0"/>
        <w:spacing w:line="360" w:lineRule="auto"/>
        <w:ind w:right="26"/>
        <w:jc w:val="left"/>
        <w:rPr>
          <w:rFonts w:hint="eastAsia" w:ascii="黑体" w:hAnsi="Calibri" w:eastAsia="黑体" w:cs="Times New Roman"/>
          <w:spacing w:val="8"/>
          <w:kern w:val="2"/>
          <w:sz w:val="32"/>
          <w:szCs w:val="32"/>
        </w:rPr>
      </w:pPr>
    </w:p>
    <w:p>
      <w:pPr>
        <w:snapToGrid w:val="0"/>
        <w:spacing w:line="360" w:lineRule="auto"/>
        <w:ind w:right="26"/>
        <w:jc w:val="left"/>
        <w:rPr>
          <w:rFonts w:hint="eastAsia" w:ascii="黑体" w:hAnsi="Calibri" w:eastAsia="黑体" w:cs="Times New Roman"/>
          <w:spacing w:val="8"/>
          <w:kern w:val="2"/>
          <w:sz w:val="32"/>
          <w:szCs w:val="32"/>
        </w:rPr>
      </w:pPr>
    </w:p>
    <w:p>
      <w:pPr>
        <w:snapToGrid w:val="0"/>
        <w:spacing w:line="360" w:lineRule="auto"/>
        <w:ind w:right="26"/>
        <w:jc w:val="left"/>
        <w:rPr>
          <w:rFonts w:hint="eastAsia" w:ascii="黑体" w:hAnsi="Calibri" w:eastAsia="黑体" w:cs="Times New Roman"/>
          <w:spacing w:val="8"/>
          <w:kern w:val="2"/>
          <w:sz w:val="32"/>
          <w:szCs w:val="32"/>
        </w:rPr>
      </w:pPr>
    </w:p>
    <w:p>
      <w:pPr>
        <w:snapToGrid w:val="0"/>
        <w:spacing w:line="360" w:lineRule="auto"/>
        <w:ind w:right="26"/>
        <w:jc w:val="left"/>
        <w:rPr>
          <w:rFonts w:hint="eastAsia" w:ascii="黑体" w:hAnsi="Calibri" w:eastAsia="黑体" w:cs="Times New Roman"/>
          <w:spacing w:val="8"/>
          <w:kern w:val="2"/>
          <w:sz w:val="32"/>
          <w:szCs w:val="32"/>
        </w:rPr>
      </w:pPr>
    </w:p>
    <w:bookmarkEnd w:id="0"/>
    <w:p>
      <w:pPr>
        <w:snapToGrid w:val="0"/>
        <w:spacing w:line="360" w:lineRule="auto"/>
        <w:ind w:right="26"/>
        <w:jc w:val="left"/>
        <w:rPr>
          <w:rFonts w:hint="default" w:ascii="黑体" w:hAnsi="Calibri" w:eastAsia="黑体" w:cs="Times New Roman"/>
          <w:spacing w:val="8"/>
          <w:kern w:val="2"/>
          <w:sz w:val="32"/>
          <w:szCs w:val="32"/>
          <w:lang w:val="en-US"/>
        </w:rPr>
      </w:pPr>
      <w:bookmarkStart w:id="1" w:name="_GoBack"/>
      <w:bookmarkEnd w:id="1"/>
    </w:p>
    <w:sectPr>
      <w:footerReference r:id="rId3" w:type="default"/>
      <w:pgSz w:w="11906" w:h="16838"/>
      <w:pgMar w:top="2097" w:right="1474" w:bottom="1984" w:left="1587" w:header="851" w:footer="1587" w:gutter="0"/>
      <w:pgNumType w:fmt="numberInDash"/>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240" w:lineRule="auto"/>
      <w:rPr>
        <w:rFonts w:hint="eastAsia" w:ascii="宋体" w:hAnsi="宋体" w:eastAsia="宋体" w:cs="宋体"/>
        <w:sz w:val="28"/>
        <w:lang w:val="en-US"/>
      </w:rPr>
    </w:pPr>
    <w:r>
      <w:rPr>
        <w:rFonts w:hint="eastAsia" w:ascii="宋体" w:hAnsi="宋体" w:eastAsia="宋体" w:cs="宋体"/>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align>top</wp:align>
              </wp:positionV>
              <wp:extent cx="1828800" cy="18288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height:144pt;width:144pt;mso-position-horizontal:outside;mso-position-horizontal-relative:margin;mso-position-vertical:top;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">
              <v:fill on="f" focussize="0,0"/>
              <v:stroke on="f" weight="0.5pt"/>
              <v:imagedata o:title=""/>
              <o:lock v:ext="edit" aspectratio="f"/>
              <v:textbox inset="0mm,0mm,0mm,0mm" style="mso-fit-shape-to-text:t;">
                <w:txbxContent>
                  <w:p>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HorizontalSpacing w:val="210"/>
  <w:drawingGridVerticalSpacing w:val="159"/>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EF79313"/>
    <w:rsid w:val="1DFD5B41"/>
    <w:rsid w:val="3B6B1100"/>
    <w:rsid w:val="76F64FD2"/>
    <w:rsid w:val="77FC8319"/>
    <w:rsid w:val="7BCFC4F2"/>
    <w:rsid w:val="7D6D3F7F"/>
    <w:rsid w:val="9EF79313"/>
    <w:rsid w:val="CFF7945E"/>
    <w:rsid w:val="DEEB8561"/>
    <w:rsid w:val="FFF5D721"/>
    <w:rsid w:val="FFF92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spacing w:line="240" w:lineRule="auto"/>
      <w:ind w:firstLine="420"/>
      <w:jc w:val="both"/>
      <w:textAlignment w:val="baseline"/>
    </w:pPr>
    <w:rPr>
      <w:rFonts w:ascii="Times New Roman" w:hAnsi="Times New Roman" w:eastAsia="宋体" w:cs="Times New Roman"/>
      <w:snapToGrid w:val="0"/>
      <w:kern w:val="0"/>
      <w:sz w:val="32"/>
      <w:szCs w:val="3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qFormat/>
    <w:uiPriority w:val="0"/>
  </w:style>
  <w:style w:type="paragraph" w:customStyle="1" w:styleId="8">
    <w:name w:val=" Char Char Char Char"/>
    <w:qFormat/>
    <w:uiPriority w:val="0"/>
    <w:pPr>
      <w:widowControl w:val="0"/>
      <w:tabs>
        <w:tab w:val="left" w:pos="360"/>
      </w:tabs>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2026-09-12T10:00:00Z</dcterms:created>
  <dc:creator>王炯超</dc:creator>
  <cp:lastModifiedBy>王炯超</cp:lastModifiedBy>
  <dcterms:modified xsi:type="dcterms:W3CDTF">2026-09-15T15:32:28Z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CD0EBFF69AA2EC0E8CF4A86AAD3000EF</vt:lpwstr>
  </property>
</Properties>
</file>