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s="Times New Roman"/>
          <w:color w:val="FF0000"/>
          <w:spacing w:val="12"/>
          <w:w w:val="75"/>
          <w:sz w:val="60"/>
        </w:rPr>
      </w:pPr>
      <w:bookmarkStart w:id="3" w:name="_GoBack"/>
      <w:bookmarkEnd w:id="3"/>
      <w:r>
        <w:rPr>
          <w:rFonts w:hint="eastAsia" w:ascii="方正小标宋简体" w:hAnsi="方正小标宋简体" w:eastAsia="方正小标宋简体" w:cs="Times New Roman"/>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cs="Times New Roman"/>
          <w:snapToGrid w:val="0"/>
          <w:color w:val="FF0000"/>
          <w:spacing w:val="136"/>
          <w:kern w:val="0"/>
          <w:sz w:val="80"/>
        </w:rPr>
      </w:pPr>
      <w:r>
        <w:rPr>
          <w:rFonts w:hint="eastAsia" w:ascii="方正小标宋简体" w:hAnsi="方正小标宋简体" w:eastAsia="方正小标宋简体" w:cs="Times New Roman"/>
          <w:snapToGrid w:val="0"/>
          <w:color w:val="FF0000"/>
          <w:spacing w:val="136"/>
          <w:kern w:val="0"/>
          <w:sz w:val="80"/>
        </w:rPr>
        <w:t>行政处罚决定书</w:t>
      </w:r>
    </w:p>
    <w:p>
      <w:pPr>
        <w:keepNext w:val="0"/>
        <w:keepLines w:val="0"/>
        <w:pageBreakBefore w:val="0"/>
        <w:widowControl w:val="0"/>
        <w:kinsoku/>
        <w:wordWrap/>
        <w:overflowPunct w:val="0"/>
        <w:topLinePunct w:val="0"/>
        <w:autoSpaceDE/>
        <w:autoSpaceDN/>
        <w:bidi w:val="0"/>
        <w:snapToGrid w:val="0"/>
        <w:spacing w:before="0" w:beforeLines="0" w:after="0" w:afterLines="0" w:line="300" w:lineRule="auto"/>
        <w:ind w:left="0" w:leftChars="0" w:right="0" w:rightChars="0"/>
        <w:jc w:val="center"/>
        <w:textAlignment w:val="auto"/>
        <w:outlineLvl w:val="9"/>
        <w:rPr>
          <w:rFonts w:hint="eastAsia" w:ascii="仿宋_GB2312" w:hAnsi="Times New Roman" w:eastAsia="仿宋_GB2312" w:cs="Times New Roman"/>
          <w:spacing w:val="12"/>
          <w:sz w:val="28"/>
        </w:rPr>
      </w:pPr>
      <w:bookmarkStart w:id="0" w:name="begin"/>
      <w:bookmarkEnd w:id="0"/>
      <w:bookmarkStart w:id="1" w:name="内容"/>
      <w:bookmarkEnd w:id="1"/>
      <w:bookmarkStart w:id="2" w:name="quanwen"/>
    </w:p>
    <w:p>
      <w:pPr>
        <w:keepNext w:val="0"/>
        <w:keepLines w:val="0"/>
        <w:pageBreakBefore w:val="0"/>
        <w:widowControl w:val="0"/>
        <w:kinsoku/>
        <w:wordWrap/>
        <w:overflowPunct w:val="0"/>
        <w:topLinePunct w:val="0"/>
        <w:autoSpaceDE/>
        <w:autoSpaceDN/>
        <w:bidi w:val="0"/>
        <w:snapToGrid w:val="0"/>
        <w:spacing w:before="0" w:beforeLines="0" w:after="0" w:afterLines="0" w:line="324" w:lineRule="auto"/>
        <w:ind w:left="0" w:leftChars="0" w:right="0" w:rightChars="0"/>
        <w:jc w:val="center"/>
        <w:textAlignment w:val="auto"/>
        <w:outlineLvl w:val="9"/>
        <w:rPr>
          <w:rFonts w:hint="eastAsia" w:ascii="仿宋_GB2312" w:hAnsi="Times New Roman" w:eastAsia="仿宋_GB2312" w:cs="Times New Roman"/>
          <w:spacing w:val="12"/>
          <w:sz w:val="28"/>
        </w:rPr>
      </w:pPr>
      <w:r>
        <w:rPr>
          <w:rFonts w:hint="eastAsia" w:ascii="仿宋_GB2312" w:hAnsi="Times New Roman" w:eastAsia="仿宋_GB2312" w:cs="Times New Roman"/>
          <w:spacing w:val="12"/>
          <w:sz w:val="28"/>
        </w:rPr>
        <w:t>〔20</w:t>
      </w:r>
      <w:r>
        <w:rPr>
          <w:rFonts w:hint="eastAsia" w:ascii="仿宋_GB2312" w:hAnsi="Times New Roman" w:eastAsia="仿宋_GB2312" w:cs="Times New Roman"/>
          <w:spacing w:val="12"/>
          <w:sz w:val="28"/>
          <w:lang w:val="en-US" w:eastAsia="zh-CN"/>
        </w:rPr>
        <w:t>25</w:t>
      </w:r>
      <w:r>
        <w:rPr>
          <w:rFonts w:hint="eastAsia" w:ascii="仿宋_GB2312" w:hAnsi="Times New Roman" w:eastAsia="仿宋_GB2312" w:cs="Times New Roman"/>
          <w:spacing w:val="12"/>
          <w:sz w:val="28"/>
        </w:rPr>
        <w:t>〕</w:t>
      </w:r>
      <w:r>
        <w:rPr>
          <w:rFonts w:hint="default" w:ascii="仿宋_GB2312" w:hAnsi="Times New Roman" w:eastAsia="仿宋_GB2312" w:cs="Times New Roman"/>
          <w:spacing w:val="12"/>
          <w:sz w:val="28"/>
          <w:lang w:val="en-US" w:eastAsia="zh-CN"/>
        </w:rPr>
        <w:t>27</w:t>
      </w:r>
      <w:r>
        <w:rPr>
          <w:rFonts w:hint="eastAsia" w:ascii="仿宋_GB2312" w:hAnsi="Times New Roman" w:eastAsia="仿宋_GB2312" w:cs="Times New Roman"/>
          <w:spacing w:val="12"/>
          <w:sz w:val="28"/>
        </w:rPr>
        <w:t>号</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24" w:lineRule="auto"/>
        <w:ind w:left="0" w:leftChars="0" w:right="0" w:rightChars="0" w:firstLine="512" w:firstLineChars="200"/>
        <w:textAlignment w:val="auto"/>
        <w:outlineLvl w:val="9"/>
        <w:rPr>
          <w:rFonts w:hint="eastAsia" w:ascii="仿宋_GB2312" w:hAnsi="Times New Roman" w:eastAsia="仿宋_GB2312" w:cs="Times New Roman"/>
          <w:spacing w:val="8"/>
          <w:sz w:val="24"/>
          <w:szCs w:val="24"/>
        </w:rPr>
      </w:pP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36" w:lineRule="auto"/>
        <w:ind w:left="0" w:leftChars="0" w:right="0" w:rightChars="0" w:firstLine="512" w:firstLineChars="200"/>
        <w:textAlignment w:val="auto"/>
        <w:outlineLvl w:val="9"/>
        <w:rPr>
          <w:rFonts w:hint="eastAsia" w:ascii="仿宋_GB2312" w:hAnsi="Times New Roman" w:eastAsia="仿宋_GB2312" w:cs="Times New Roman"/>
          <w:spacing w:val="8"/>
          <w:sz w:val="24"/>
          <w:szCs w:val="24"/>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当事人：</w:t>
      </w:r>
      <w:r>
        <w:rPr>
          <w:rFonts w:hint="eastAsia" w:ascii="仿宋_GB2312" w:hAnsi="仿宋_GB2312" w:eastAsia="仿宋_GB2312" w:cs="仿宋_GB2312"/>
          <w:sz w:val="32"/>
          <w:szCs w:val="32"/>
          <w:lang w:val="en-US" w:eastAsia="zh-CN"/>
        </w:rPr>
        <w:t>广东惠伦晶体科技股份有限公司</w:t>
      </w:r>
      <w:r>
        <w:rPr>
          <w:rFonts w:hint="eastAsia" w:ascii="仿宋_GB2312" w:hAnsi="仿宋_GB2312" w:eastAsia="仿宋_GB2312" w:cs="仿宋_GB2312"/>
          <w:color w:val="000000"/>
          <w:kern w:val="0"/>
          <w:sz w:val="32"/>
          <w:szCs w:val="32"/>
          <w:lang w:val="en-US" w:eastAsia="zh-CN"/>
        </w:rPr>
        <w:t>（以下简称惠伦晶体），住所：</w:t>
      </w:r>
      <w:r>
        <w:rPr>
          <w:rFonts w:hint="eastAsia" w:ascii="仿宋_GB2312" w:hAnsi="仿宋_GB2312" w:eastAsia="仿宋_GB2312" w:cs="仿宋_GB2312"/>
          <w:color w:val="auto"/>
          <w:sz w:val="32"/>
          <w:szCs w:val="32"/>
        </w:rPr>
        <w:t>广东省东莞市黄江镇黄江东环路68号</w:t>
      </w:r>
      <w:r>
        <w:rPr>
          <w:rFonts w:hint="eastAsia" w:ascii="仿宋_GB2312" w:hAnsi="仿宋_GB2312" w:eastAsia="仿宋_GB2312" w:cs="仿宋_GB2312"/>
          <w:color w:val="000000"/>
          <w:kern w:val="0"/>
          <w:sz w:val="32"/>
          <w:szCs w:val="32"/>
          <w:lang w:val="en-US"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
        </w:rPr>
        <w:t>赵</w:t>
      </w:r>
      <w:r>
        <w:rPr>
          <w:rFonts w:hint="eastAsia" w:ascii="仿宋_GB2312" w:hAnsi="仿宋_GB2312" w:eastAsia="仿宋_GB2312" w:cs="仿宋_GB2312"/>
          <w:color w:val="000000"/>
          <w:kern w:val="0"/>
          <w:sz w:val="32"/>
          <w:szCs w:val="32"/>
          <w:lang w:val="en" w:eastAsia="zh-CN"/>
        </w:rPr>
        <w:t>某</w:t>
      </w:r>
      <w:r>
        <w:rPr>
          <w:rFonts w:hint="eastAsia" w:ascii="仿宋_GB2312" w:hAnsi="仿宋_GB2312" w:eastAsia="仿宋_GB2312" w:cs="仿宋_GB2312"/>
          <w:color w:val="000000"/>
          <w:kern w:val="0"/>
          <w:sz w:val="32"/>
          <w:szCs w:val="32"/>
          <w:lang w:val="en"/>
        </w:rPr>
        <w:t>清</w:t>
      </w:r>
      <w:r>
        <w:rPr>
          <w:rFonts w:hint="eastAsia" w:ascii="仿宋_GB2312" w:hAnsi="仿宋_GB2312" w:eastAsia="仿宋_GB2312" w:cs="仿宋_GB2312"/>
          <w:color w:val="000000"/>
          <w:kern w:val="0"/>
          <w:sz w:val="32"/>
          <w:szCs w:val="32"/>
          <w:lang w:val="en-US" w:eastAsia="zh-CN"/>
        </w:rPr>
        <w:t>，男，</w:t>
      </w:r>
      <w:r>
        <w:rPr>
          <w:rFonts w:hint="eastAsia" w:ascii="仿宋_GB2312" w:hAnsi="仿宋_GB2312" w:eastAsia="仿宋_GB2312" w:cs="仿宋_GB2312"/>
          <w:b w:val="0"/>
          <w:bCs w:val="0"/>
          <w:sz w:val="32"/>
          <w:szCs w:val="32"/>
          <w:lang w:val="en-US" w:eastAsia="zh-CN"/>
        </w:rPr>
        <w:t>195X年4月出生</w:t>
      </w:r>
      <w:r>
        <w:rPr>
          <w:rFonts w:hint="eastAsia" w:ascii="仿宋_GB2312" w:hAnsi="仿宋_GB2312" w:eastAsia="仿宋_GB2312" w:cs="仿宋_GB2312"/>
          <w:color w:val="000000"/>
          <w:kern w:val="0"/>
          <w:sz w:val="32"/>
          <w:szCs w:val="32"/>
          <w:lang w:val="en-US" w:eastAsia="zh-CN"/>
        </w:rPr>
        <w:t>，惠伦晶体</w:t>
      </w:r>
      <w:r>
        <w:rPr>
          <w:rFonts w:hint="eastAsia" w:ascii="仿宋_GB2312" w:hAnsi="仿宋_GB2312" w:eastAsia="仿宋_GB2312" w:cs="Times New Roman"/>
          <w:sz w:val="32"/>
          <w:szCs w:val="32"/>
          <w:lang w:val="en" w:eastAsia="zh-CN"/>
        </w:rPr>
        <w:t>实际控制人、时任</w:t>
      </w:r>
      <w:r>
        <w:rPr>
          <w:rFonts w:hint="eastAsia" w:ascii="仿宋_GB2312" w:hAnsi="仿宋_GB2312" w:eastAsia="仿宋_GB2312" w:cs="仿宋_GB2312"/>
          <w:color w:val="000000"/>
          <w:kern w:val="0"/>
          <w:sz w:val="32"/>
          <w:szCs w:val="32"/>
          <w:lang w:val="en-US" w:eastAsia="zh-CN"/>
        </w:rPr>
        <w:t>董事长，住址：浙江省杭州市西湖区。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eastAsia="zh-CN"/>
        </w:rPr>
        <w:t>韩某云</w:t>
      </w:r>
      <w:r>
        <w:rPr>
          <w:rFonts w:hint="eastAsia" w:ascii="仿宋_GB2312" w:hAnsi="仿宋_GB2312" w:eastAsia="仿宋_GB2312" w:cs="仿宋_GB2312"/>
          <w:color w:val="000000"/>
          <w:kern w:val="0"/>
          <w:sz w:val="32"/>
          <w:szCs w:val="32"/>
          <w:lang w:val="en-US" w:eastAsia="zh-CN"/>
        </w:rPr>
        <w:t>，女，196</w:t>
      </w:r>
      <w:r>
        <w:rPr>
          <w:rFonts w:hint="eastAsia" w:ascii="仿宋_GB2312" w:hAnsi="仿宋_GB2312" w:eastAsia="仿宋_GB2312" w:cs="仿宋_GB2312"/>
          <w:b w:val="0"/>
          <w:bCs w:val="0"/>
          <w:sz w:val="32"/>
          <w:szCs w:val="32"/>
          <w:lang w:val="en-US" w:eastAsia="zh-CN"/>
        </w:rPr>
        <w:t>X</w:t>
      </w:r>
      <w:r>
        <w:rPr>
          <w:rFonts w:hint="eastAsia" w:ascii="仿宋_GB2312" w:hAnsi="仿宋_GB2312" w:eastAsia="仿宋_GB2312" w:cs="仿宋_GB2312"/>
          <w:color w:val="000000"/>
          <w:kern w:val="0"/>
          <w:sz w:val="32"/>
          <w:szCs w:val="32"/>
          <w:lang w:val="en-US" w:eastAsia="zh-CN"/>
        </w:rPr>
        <w:t>年2月出生，惠伦晶体时任董事、副总经理，住址：广东省珠海市香洲区。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eastAsia="zh-CN"/>
        </w:rPr>
        <w:t>邓某强</w:t>
      </w:r>
      <w:r>
        <w:rPr>
          <w:rFonts w:hint="eastAsia" w:ascii="仿宋_GB2312" w:hAnsi="仿宋_GB2312" w:eastAsia="仿宋_GB2312" w:cs="仿宋_GB2312"/>
          <w:color w:val="000000"/>
          <w:kern w:val="0"/>
          <w:sz w:val="32"/>
          <w:szCs w:val="32"/>
          <w:lang w:val="en-US" w:eastAsia="zh-CN"/>
        </w:rPr>
        <w:t>，男，</w:t>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b w:val="0"/>
          <w:bCs w:val="0"/>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宋体" w:eastAsia="仿宋_GB2312" w:cs="Times New Roman"/>
          <w:sz w:val="32"/>
          <w:szCs w:val="32"/>
          <w:lang w:eastAsia="zh-CN"/>
        </w:rPr>
        <w:t>出生</w:t>
      </w:r>
      <w:r>
        <w:rPr>
          <w:rFonts w:hint="eastAsia" w:ascii="仿宋_GB2312" w:hAnsi="仿宋_GB2312" w:eastAsia="仿宋_GB2312" w:cs="仿宋_GB2312"/>
          <w:color w:val="000000"/>
          <w:kern w:val="0"/>
          <w:sz w:val="32"/>
          <w:szCs w:val="32"/>
          <w:lang w:val="en-US" w:eastAsia="zh-CN"/>
        </w:rPr>
        <w:t>，惠伦晶体时任董事、财务总监，住址：广东省深圳市宝安区。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lang w:eastAsia="zh-CN"/>
        </w:rPr>
        <w:t>姜某伟</w:t>
      </w:r>
      <w:r>
        <w:rPr>
          <w:rFonts w:hint="eastAsia" w:ascii="仿宋_GB2312" w:hAnsi="仿宋_GB2312" w:eastAsia="仿宋_GB2312" w:cs="仿宋_GB2312"/>
          <w:color w:val="000000"/>
          <w:kern w:val="0"/>
          <w:sz w:val="32"/>
          <w:szCs w:val="32"/>
          <w:lang w:val="en-US" w:eastAsia="zh-CN"/>
        </w:rPr>
        <w:t>，男，</w:t>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b w:val="0"/>
          <w:bCs w:val="0"/>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宋体" w:eastAsia="仿宋_GB2312" w:cs="Times New Roman"/>
          <w:sz w:val="32"/>
          <w:szCs w:val="32"/>
          <w:lang w:eastAsia="zh-CN"/>
        </w:rPr>
        <w:t>出生</w:t>
      </w:r>
      <w:r>
        <w:rPr>
          <w:rFonts w:hint="eastAsia" w:ascii="仿宋_GB2312" w:hAnsi="仿宋_GB2312" w:eastAsia="仿宋_GB2312" w:cs="仿宋_GB2312"/>
          <w:color w:val="000000"/>
          <w:kern w:val="0"/>
          <w:sz w:val="32"/>
          <w:szCs w:val="32"/>
          <w:lang w:val="en-US" w:eastAsia="zh-CN"/>
        </w:rPr>
        <w:t>，惠伦晶体时任总经理，</w:t>
      </w:r>
      <w:r>
        <w:rPr>
          <w:rFonts w:hint="eastAsia" w:ascii="仿宋_GB2312" w:hAnsi="仿宋_GB2312" w:eastAsia="仿宋_GB2312" w:cs="仿宋_GB2312"/>
          <w:color w:val="000000"/>
          <w:kern w:val="0"/>
          <w:sz w:val="32"/>
          <w:szCs w:val="32"/>
          <w:highlight w:val="none"/>
          <w:lang w:val="en-US" w:eastAsia="zh-CN"/>
        </w:rPr>
        <w:t>持台湾居民来往大陆通行证。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eastAsia="zh-CN"/>
        </w:rPr>
        <w:t>韩某玲</w:t>
      </w:r>
      <w:r>
        <w:rPr>
          <w:rFonts w:hint="eastAsia" w:ascii="仿宋_GB2312" w:hAnsi="仿宋_GB2312" w:eastAsia="仿宋_GB2312" w:cs="仿宋_GB2312"/>
          <w:color w:val="000000"/>
          <w:kern w:val="0"/>
          <w:sz w:val="32"/>
          <w:szCs w:val="32"/>
          <w:lang w:val="en-US" w:eastAsia="zh-CN"/>
        </w:rPr>
        <w:t>，男，</w:t>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b w:val="0"/>
          <w:bCs w:val="0"/>
          <w:sz w:val="32"/>
          <w:szCs w:val="32"/>
          <w:lang w:val="en-US" w:eastAsia="zh-CN"/>
        </w:rPr>
        <w:t>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宋体" w:eastAsia="仿宋_GB2312" w:cs="Times New Roman"/>
          <w:sz w:val="32"/>
          <w:szCs w:val="32"/>
          <w:lang w:eastAsia="zh-CN"/>
        </w:rPr>
        <w:t>出生</w:t>
      </w:r>
      <w:r>
        <w:rPr>
          <w:rFonts w:hint="eastAsia" w:ascii="仿宋_GB2312" w:hAnsi="仿宋_GB2312" w:eastAsia="仿宋_GB2312" w:cs="仿宋_GB2312"/>
          <w:color w:val="000000"/>
          <w:kern w:val="0"/>
          <w:sz w:val="32"/>
          <w:szCs w:val="32"/>
          <w:lang w:val="en-US" w:eastAsia="zh-CN"/>
        </w:rPr>
        <w:t>，惠伦晶体时任总经理，住址：广东省深圳市宝安区。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12" w:lineRule="auto"/>
        <w:ind w:left="0" w:leftChars="0" w:right="0" w:rightChars="0" w:firstLine="640" w:firstLineChars="200"/>
        <w:jc w:val="both"/>
        <w:textAlignment w:val="auto"/>
        <w:outlineLvl w:val="9"/>
        <w:rPr>
          <w:rFonts w:hint="eastAsia" w:ascii="Times New Roman" w:hAnsi="Times New Roman" w:eastAsia="宋体" w:cs="Times New Roman"/>
          <w:kern w:val="0"/>
          <w:sz w:val="32"/>
          <w:szCs w:val="32"/>
          <w:lang w:val="en-US" w:eastAsia="zh-CN"/>
        </w:rPr>
      </w:pPr>
      <w:r>
        <w:rPr>
          <w:rFonts w:hint="eastAsia" w:ascii="仿宋_GB2312" w:hAnsi="仿宋_GB2312" w:eastAsia="仿宋_GB2312" w:cs="Times New Roman"/>
          <w:sz w:val="32"/>
          <w:szCs w:val="32"/>
          <w:lang w:val="en-US" w:eastAsia="zh-CN"/>
        </w:rPr>
        <w:t>依据《中华人民共和国证券法》（以下简称《证券法》）的有关规定，我局对惠伦晶体、赵某清信息披露违法违规行为进行了立案调查，并依法向当事人告知了作出行政处罚的事实、理由、</w:t>
      </w:r>
      <w:r>
        <w:rPr>
          <w:rFonts w:hint="eastAsia" w:ascii="仿宋_GB2312" w:hAnsi="仿宋_GB2312" w:eastAsia="仿宋_GB2312" w:cs="仿宋_GB2312"/>
          <w:kern w:val="0"/>
          <w:sz w:val="32"/>
          <w:szCs w:val="32"/>
          <w:lang w:val="en-US" w:eastAsia="zh-CN" w:bidi="ar-SA"/>
        </w:rPr>
        <w:t>依据及当事人依法享有的权利。</w:t>
      </w:r>
      <w:r>
        <w:rPr>
          <w:rFonts w:hint="eastAsia" w:ascii="仿宋_GB2312" w:hAnsi="仿宋_GB2312" w:eastAsia="仿宋_GB2312" w:cs="仿宋_GB2312"/>
          <w:spacing w:val="0"/>
          <w:kern w:val="2"/>
          <w:sz w:val="32"/>
          <w:szCs w:val="32"/>
          <w:lang w:val="en-US" w:eastAsia="zh-CN" w:bidi="ar-SA"/>
        </w:rPr>
        <w:t>当事人</w:t>
      </w:r>
      <w:r>
        <w:rPr>
          <w:rFonts w:hint="eastAsia" w:ascii="仿宋_GB2312" w:hAnsi="仿宋_GB2312" w:eastAsia="仿宋_GB2312" w:cs="仿宋_GB2312"/>
          <w:sz w:val="32"/>
          <w:szCs w:val="32"/>
        </w:rPr>
        <w:t>惠伦晶体、</w:t>
      </w:r>
      <w:r>
        <w:rPr>
          <w:rFonts w:hint="eastAsia" w:ascii="仿宋_GB2312" w:hAnsi="仿宋_GB2312" w:eastAsia="仿宋_GB2312" w:cs="仿宋_GB2312"/>
          <w:sz w:val="32"/>
          <w:szCs w:val="32"/>
          <w:lang w:eastAsia="zh-CN"/>
        </w:rPr>
        <w:t>赵某清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韩某云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邓某强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姜某伟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韩某玲</w:t>
      </w:r>
      <w:r>
        <w:rPr>
          <w:rFonts w:hint="eastAsia" w:ascii="仿宋_GB2312" w:hAnsi="仿宋_GB2312" w:eastAsia="仿宋_GB2312" w:cs="仿宋_GB2312"/>
          <w:b w:val="0"/>
          <w:bCs w:val="0"/>
          <w:color w:val="auto"/>
          <w:sz w:val="32"/>
          <w:szCs w:val="32"/>
          <w:lang w:val="en-US" w:eastAsia="zh-CN"/>
        </w:rPr>
        <w:t>均未提出陈述、申辩，也未要求听证</w:t>
      </w:r>
      <w:r>
        <w:rPr>
          <w:rFonts w:hint="eastAsia" w:ascii="仿宋_GB2312" w:hAnsi="仿宋_GB2312" w:eastAsia="仿宋_GB2312" w:cs="仿宋_GB2312"/>
          <w:spacing w:val="0"/>
          <w:kern w:val="2"/>
          <w:sz w:val="32"/>
          <w:szCs w:val="32"/>
          <w:lang w:val="en-US" w:eastAsia="zh-CN" w:bidi="ar-SA"/>
        </w:rPr>
        <w:t>。</w:t>
      </w:r>
      <w:r>
        <w:rPr>
          <w:rFonts w:hint="eastAsia" w:ascii="仿宋_GB2312" w:hAnsi="仿宋_GB2312" w:eastAsia="仿宋_GB2312" w:cs="仿宋_GB2312"/>
          <w:kern w:val="0"/>
          <w:sz w:val="32"/>
          <w:szCs w:val="32"/>
          <w:lang w:val="en-US" w:eastAsia="zh-CN" w:bidi="ar-SA"/>
        </w:rPr>
        <w:t>本案现已调查、办理终结。</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经查明，惠伦晶体、赵某清存在以下违法事实：</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0"/>
        <w:rPr>
          <w:rFonts w:hint="eastAsia" w:ascii="黑体" w:hAnsi="黑体" w:eastAsia="黑体" w:cs="黑体"/>
          <w:b w:val="0"/>
          <w:bCs w:val="0"/>
          <w:snapToGrid/>
          <w:kern w:val="2"/>
          <w:sz w:val="32"/>
          <w:szCs w:val="32"/>
          <w:lang w:val="en-US" w:eastAsia="zh-CN" w:bidi="ar-SA"/>
        </w:rPr>
      </w:pPr>
      <w:r>
        <w:rPr>
          <w:rFonts w:hint="eastAsia" w:ascii="黑体" w:hAnsi="黑体" w:eastAsia="黑体" w:cs="黑体"/>
          <w:kern w:val="2"/>
          <w:sz w:val="32"/>
          <w:szCs w:val="32"/>
          <w:lang w:val="en-US" w:eastAsia="zh-CN"/>
        </w:rPr>
        <w:t>一、</w:t>
      </w:r>
      <w:r>
        <w:rPr>
          <w:rFonts w:hint="eastAsia" w:ascii="黑体" w:hAnsi="黑体" w:eastAsia="黑体" w:cs="黑体"/>
          <w:b w:val="0"/>
          <w:bCs w:val="0"/>
          <w:snapToGrid/>
          <w:kern w:val="2"/>
          <w:sz w:val="32"/>
          <w:szCs w:val="32"/>
          <w:lang w:val="en-US" w:eastAsia="zh-CN" w:bidi="ar-SA"/>
        </w:rPr>
        <w:t>惠伦晶体未按规定披露资金占用事项，2020年年度报告存在重大遗漏</w:t>
      </w:r>
    </w:p>
    <w:p>
      <w:pPr>
        <w:keepNext w:val="0"/>
        <w:keepLines w:val="0"/>
        <w:pageBreakBefore w:val="0"/>
        <w:widowControl w:val="0"/>
        <w:kinsoku/>
        <w:overflowPunct w:val="0"/>
        <w:topLinePunct w:val="0"/>
        <w:autoSpaceDE/>
        <w:autoSpaceDN/>
        <w:bidi w:val="0"/>
        <w:adjustRightInd w:val="0"/>
        <w:snapToGrid w:val="0"/>
        <w:spacing w:before="0" w:beforeLines="0" w:afterLines="0" w:line="324"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2020年，惠伦晶体以</w:t>
      </w:r>
      <w:r>
        <w:rPr>
          <w:rFonts w:hint="eastAsia" w:ascii="仿宋_GB2312" w:hAnsi="仿宋_GB2312" w:eastAsia="仿宋_GB2312" w:cs="仿宋_GB2312"/>
          <w:b w:val="0"/>
          <w:bCs w:val="0"/>
          <w:kern w:val="2"/>
          <w:sz w:val="32"/>
          <w:szCs w:val="32"/>
          <w:lang w:val="en-US" w:eastAsia="zh-CN" w:bidi="ar-SA"/>
        </w:rPr>
        <w:t>采购设备及材料、预付工程款等名义</w:t>
      </w:r>
      <w:r>
        <w:rPr>
          <w:rFonts w:hint="eastAsia" w:ascii="仿宋_GB2312" w:hAnsi="仿宋_GB2312" w:eastAsia="仿宋_GB2312" w:cs="仿宋_GB2312"/>
          <w:color w:val="auto"/>
          <w:kern w:val="2"/>
          <w:sz w:val="32"/>
          <w:szCs w:val="32"/>
          <w:lang w:val="en-US" w:eastAsia="zh-CN" w:bidi="ar-SA"/>
        </w:rPr>
        <w:t>向广东</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江苏</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天津等地7家公司支出款项，并最终划转至控股股东</w:t>
      </w:r>
      <w:r>
        <w:rPr>
          <w:rFonts w:hint="eastAsia" w:ascii="仿宋_GB2312" w:hAnsi="仿宋_GB2312" w:eastAsia="仿宋_GB2312" w:cs="仿宋_GB2312"/>
          <w:kern w:val="2"/>
          <w:sz w:val="32"/>
          <w:szCs w:val="32"/>
          <w:lang w:val="en-US" w:eastAsia="zh-CN" w:bidi="ar-SA"/>
        </w:rPr>
        <w:t>新疆惠伦股权投资合伙企业（有限合伙）（以下简称</w:t>
      </w:r>
      <w:r>
        <w:rPr>
          <w:rFonts w:hint="eastAsia" w:ascii="仿宋_GB2312" w:hAnsi="仿宋_GB2312" w:eastAsia="仿宋_GB2312" w:cs="仿宋_GB2312"/>
          <w:color w:val="auto"/>
          <w:kern w:val="2"/>
          <w:sz w:val="32"/>
          <w:szCs w:val="32"/>
          <w:lang w:val="en-US" w:eastAsia="zh-CN" w:bidi="ar-SA"/>
        </w:rPr>
        <w:t>新疆惠伦</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及公司实际控制人赵某清本人等关联方银行账户，用于归还新疆惠伦股权质押款及赵某清个人借款。上述关联方非经营性资金往来构成关联方对公司的资金占用</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2020年累计发生额为28,330,000元，期末余额为26,630,000元，资金占用发生额占惠伦晶体2020年年度报告披露净资产的5.12%</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截至2025年3月，关联方已归还上述占用资金及利息。</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Lines="0" w:afterLines="0" w:line="324" w:lineRule="auto"/>
        <w:ind w:firstLine="640" w:firstLineChars="0"/>
        <w:outlineLvl w:val="9"/>
        <w:rPr>
          <w:rFonts w:hint="default" w:ascii="仿宋_GB2312" w:hAnsi="仿宋_GB2312" w:eastAsia="仿宋_GB2312" w:cs="Times New Roman"/>
          <w:kern w:val="0"/>
          <w:sz w:val="32"/>
          <w:szCs w:val="32"/>
          <w:highlight w:val="none"/>
          <w:lang w:val="en-US" w:eastAsia="zh-CN"/>
        </w:rPr>
      </w:pPr>
      <w:r>
        <w:rPr>
          <w:rFonts w:hint="eastAsia" w:ascii="仿宋_GB2312" w:hAnsi="仿宋_GB2312" w:eastAsia="仿宋_GB2312" w:cs="Times New Roman"/>
          <w:color w:val="auto"/>
          <w:kern w:val="0"/>
          <w:sz w:val="32"/>
          <w:szCs w:val="32"/>
          <w:lang w:val="en-US" w:eastAsia="zh-CN"/>
        </w:rPr>
        <w:t>根据《证券法》第七十八条第二款</w:t>
      </w:r>
      <w:r>
        <w:rPr>
          <w:rFonts w:hint="eastAsia" w:ascii="仿宋_GB2312" w:hAnsi="仿宋_GB2312" w:eastAsia="仿宋_GB2312" w:cs="Times New Roman"/>
          <w:kern w:val="0"/>
          <w:sz w:val="32"/>
          <w:szCs w:val="32"/>
          <w:lang w:val="en-US" w:eastAsia="zh-CN"/>
        </w:rPr>
        <w:t>，</w:t>
      </w:r>
      <w:r>
        <w:rPr>
          <w:rFonts w:hint="eastAsia" w:ascii="仿宋_GB2312" w:hAnsi="仿宋_GB2312" w:eastAsia="仿宋_GB2312" w:cs="Times New Roman"/>
          <w:color w:val="auto"/>
          <w:kern w:val="0"/>
          <w:sz w:val="32"/>
          <w:szCs w:val="32"/>
          <w:lang w:val="en-US" w:eastAsia="zh-CN"/>
        </w:rPr>
        <w:t>《公开发行证券的公司信息披露内容与格式准则第2号—年度报告的内容与格式（2017年修订）》（证监会公告〔2017</w:t>
      </w:r>
      <w:r>
        <w:rPr>
          <w:rFonts w:hint="eastAsia" w:ascii="仿宋_GB2312" w:hAnsi="仿宋_GB2312" w:eastAsia="仿宋_GB2312" w:cs="Times New Roman"/>
          <w:color w:val="auto"/>
          <w:kern w:val="0"/>
          <w:sz w:val="32"/>
          <w:szCs w:val="32"/>
          <w:highlight w:val="none"/>
          <w:lang w:val="en-US" w:eastAsia="zh-CN"/>
        </w:rPr>
        <w:t>〕17号）第三十一条第一款的规定，</w:t>
      </w:r>
      <w:r>
        <w:rPr>
          <w:rFonts w:hint="eastAsia" w:ascii="仿宋_GB2312" w:hAnsi="仿宋_GB2312" w:eastAsia="仿宋_GB2312" w:cs="Times New Roman"/>
          <w:kern w:val="0"/>
          <w:sz w:val="32"/>
          <w:szCs w:val="32"/>
          <w:highlight w:val="none"/>
          <w:lang w:val="en-US" w:eastAsia="zh-CN"/>
        </w:rPr>
        <w:t>上述事项应当在定期报告中披露。</w:t>
      </w:r>
      <w:r>
        <w:rPr>
          <w:rFonts w:hint="eastAsia" w:ascii="仿宋_GB2312" w:hAnsi="仿宋_GB2312" w:eastAsia="仿宋_GB2312" w:cs="仿宋_GB2312"/>
          <w:b w:val="0"/>
          <w:bCs w:val="0"/>
          <w:snapToGrid/>
          <w:color w:val="auto"/>
          <w:kern w:val="2"/>
          <w:sz w:val="32"/>
          <w:szCs w:val="32"/>
          <w:highlight w:val="none"/>
          <w:lang w:val="en-US" w:eastAsia="zh-CN" w:bidi="ar-SA"/>
        </w:rPr>
        <w:t>惠伦晶体在2020年年度报告中未予披露，构成</w:t>
      </w:r>
      <w:r>
        <w:rPr>
          <w:rFonts w:hint="eastAsia" w:ascii="仿宋_GB2312" w:hAnsi="仿宋_GB2312" w:eastAsia="仿宋_GB2312" w:cs="仿宋_GB2312"/>
          <w:b w:val="0"/>
          <w:bCs w:val="0"/>
          <w:color w:val="auto"/>
          <w:kern w:val="0"/>
          <w:sz w:val="32"/>
          <w:szCs w:val="32"/>
          <w:highlight w:val="none"/>
          <w:lang w:val="en-US" w:eastAsia="zh-CN"/>
        </w:rPr>
        <w:t>重大遗漏。</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12" w:lineRule="auto"/>
        <w:ind w:left="0" w:leftChars="0" w:right="0" w:rightChars="0" w:firstLine="640" w:firstLineChars="200"/>
        <w:jc w:val="both"/>
        <w:textAlignment w:val="auto"/>
        <w:outlineLvl w:val="0"/>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二、</w:t>
      </w:r>
      <w:r>
        <w:rPr>
          <w:rFonts w:hint="eastAsia" w:ascii="黑体" w:hAnsi="黑体" w:eastAsia="黑体" w:cs="黑体"/>
          <w:b w:val="0"/>
          <w:bCs w:val="0"/>
          <w:sz w:val="32"/>
          <w:szCs w:val="32"/>
          <w:lang w:val="en-US" w:eastAsia="zh-CN"/>
        </w:rPr>
        <w:t>惠伦晶体虚增成本费用、虚增收入，2021年、2022年年度报告存在虚假记载</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24" w:lineRule="auto"/>
        <w:ind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eastAsia="zh-CN"/>
        </w:rPr>
        <w:t>至</w:t>
      </w:r>
      <w:r>
        <w:rPr>
          <w:rFonts w:hint="eastAsia" w:ascii="仿宋_GB2312" w:hAnsi="仿宋_GB2312" w:eastAsia="仿宋_GB2312" w:cs="仿宋_GB2312"/>
          <w:b w:val="0"/>
          <w:bCs w:val="0"/>
          <w:sz w:val="32"/>
          <w:szCs w:val="32"/>
          <w:lang w:val="en-US" w:eastAsia="zh-CN"/>
        </w:rPr>
        <w:t>2022年期间</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为掩盖</w:t>
      </w:r>
      <w:r>
        <w:rPr>
          <w:rFonts w:hint="eastAsia" w:ascii="仿宋_GB2312" w:hAnsi="仿宋_GB2312" w:eastAsia="仿宋_GB2312" w:cs="仿宋_GB2312"/>
          <w:b w:val="0"/>
          <w:bCs w:val="0"/>
          <w:sz w:val="32"/>
          <w:szCs w:val="32"/>
          <w:lang w:eastAsia="zh-CN"/>
        </w:rPr>
        <w:t>上述资金占用行为</w:t>
      </w:r>
      <w:r>
        <w:rPr>
          <w:rFonts w:hint="eastAsia" w:ascii="仿宋_GB2312" w:hAnsi="仿宋_GB2312" w:eastAsia="仿宋_GB2312" w:cs="仿宋_GB2312"/>
          <w:b w:val="0"/>
          <w:bCs w:val="0"/>
          <w:sz w:val="32"/>
          <w:szCs w:val="32"/>
        </w:rPr>
        <w:t>，惠伦晶体向供应商支付款项</w:t>
      </w:r>
      <w:r>
        <w:rPr>
          <w:rFonts w:hint="eastAsia" w:ascii="仿宋_GB2312" w:hAnsi="仿宋_GB2312" w:eastAsia="仿宋_GB2312" w:cs="仿宋_GB2312"/>
          <w:b w:val="0"/>
          <w:bCs w:val="0"/>
          <w:sz w:val="32"/>
          <w:szCs w:val="32"/>
          <w:lang w:eastAsia="zh-CN"/>
        </w:rPr>
        <w:t>后在</w:t>
      </w:r>
      <w:r>
        <w:rPr>
          <w:rFonts w:hint="eastAsia" w:ascii="仿宋_GB2312" w:hAnsi="仿宋_GB2312" w:eastAsia="仿宋_GB2312" w:cs="仿宋_GB2312"/>
          <w:b w:val="0"/>
          <w:bCs w:val="0"/>
          <w:sz w:val="32"/>
          <w:szCs w:val="32"/>
        </w:rPr>
        <w:t>公司账面虚构</w:t>
      </w:r>
      <w:r>
        <w:rPr>
          <w:rFonts w:hint="eastAsia" w:ascii="仿宋_GB2312" w:hAnsi="仿宋_GB2312" w:eastAsia="仿宋_GB2312" w:cs="仿宋_GB2312"/>
          <w:b w:val="0"/>
          <w:bCs w:val="0"/>
          <w:sz w:val="32"/>
          <w:szCs w:val="32"/>
          <w:lang w:eastAsia="zh-CN"/>
        </w:rPr>
        <w:t>了</w:t>
      </w:r>
      <w:r>
        <w:rPr>
          <w:rFonts w:hint="eastAsia" w:ascii="仿宋_GB2312" w:hAnsi="仿宋_GB2312" w:eastAsia="仿宋_GB2312" w:cs="仿宋_GB2312"/>
          <w:b w:val="0"/>
          <w:bCs w:val="0"/>
          <w:sz w:val="32"/>
          <w:szCs w:val="32"/>
        </w:rPr>
        <w:t>原材料、固定资产等资产</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上述资产以结转原材料成本和摊销费用的形式虚增公司</w:t>
      </w:r>
      <w:r>
        <w:rPr>
          <w:rFonts w:hint="eastAsia" w:ascii="仿宋_GB2312" w:hAnsi="仿宋_GB2312" w:eastAsia="仿宋_GB2312" w:cs="仿宋_GB2312"/>
          <w:b w:val="0"/>
          <w:bCs w:val="0"/>
          <w:sz w:val="32"/>
          <w:szCs w:val="32"/>
          <w:lang w:val="en-US" w:eastAsia="zh-CN"/>
        </w:rPr>
        <w:t>2021年</w:t>
      </w:r>
      <w:r>
        <w:rPr>
          <w:rFonts w:hint="eastAsia" w:ascii="仿宋_GB2312" w:hAnsi="仿宋_GB2312" w:eastAsia="仿宋_GB2312" w:cs="仿宋_GB2312"/>
          <w:b w:val="0"/>
          <w:bCs w:val="0"/>
          <w:sz w:val="32"/>
          <w:szCs w:val="32"/>
        </w:rPr>
        <w:t>成本费用8,639,070.52元，虚减2021年利润总额8,639,070.52元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虚增2022年成本费用23,954,692.38元，虚减2022年利润总额23,954,692.38元</w:t>
      </w:r>
      <w:r>
        <w:rPr>
          <w:rFonts w:hint="eastAsia" w:ascii="仿宋_GB2312" w:hAnsi="仿宋_GB2312" w:eastAsia="仿宋_GB2312" w:cs="仿宋_GB2312"/>
          <w:b w:val="0"/>
          <w:bCs w:val="0"/>
          <w:sz w:val="32"/>
          <w:szCs w:val="32"/>
        </w:rPr>
        <w:t>。</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24" w:lineRule="auto"/>
        <w:ind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2021年至202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年期间，惠伦晶体</w:t>
      </w:r>
      <w:r>
        <w:rPr>
          <w:rFonts w:hint="eastAsia" w:ascii="仿宋_GB2312" w:hAnsi="仿宋_GB2312" w:eastAsia="仿宋_GB2312" w:cs="仿宋_GB2312"/>
          <w:b w:val="0"/>
          <w:bCs w:val="0"/>
          <w:sz w:val="32"/>
          <w:szCs w:val="32"/>
          <w:highlight w:val="none"/>
        </w:rPr>
        <w:t>一是</w:t>
      </w:r>
      <w:r>
        <w:rPr>
          <w:rFonts w:hint="eastAsia" w:ascii="仿宋_GB2312" w:hAnsi="仿宋_GB2312" w:eastAsia="仿宋_GB2312" w:cs="仿宋_GB2312"/>
          <w:sz w:val="32"/>
          <w:szCs w:val="32"/>
          <w:highlight w:val="none"/>
        </w:rPr>
        <w:t>通过与</w:t>
      </w:r>
      <w:r>
        <w:rPr>
          <w:rFonts w:hint="eastAsia" w:ascii="仿宋_GB2312" w:hAnsi="仿宋_GB2312" w:eastAsia="仿宋_GB2312" w:cs="仿宋_GB2312"/>
          <w:b w:val="0"/>
          <w:bCs w:val="0"/>
          <w:sz w:val="32"/>
          <w:szCs w:val="32"/>
          <w:highlight w:val="none"/>
        </w:rPr>
        <w:t>深圳</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珠海</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地</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家客户签订虚假订单、虚构业务单据并虚假发货的方式，虚增营业收入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sz w:val="32"/>
          <w:szCs w:val="32"/>
          <w:highlight w:val="none"/>
        </w:rPr>
        <w:t>二是</w:t>
      </w:r>
      <w:r>
        <w:rPr>
          <w:rFonts w:hint="eastAsia" w:ascii="仿宋_GB2312" w:hAnsi="仿宋_GB2312" w:eastAsia="仿宋_GB2312" w:cs="仿宋_GB2312"/>
          <w:b w:val="0"/>
          <w:bCs w:val="0"/>
          <w:sz w:val="32"/>
          <w:szCs w:val="32"/>
          <w:highlight w:val="none"/>
          <w:lang w:eastAsia="zh-CN"/>
        </w:rPr>
        <w:t>在某</w:t>
      </w:r>
      <w:r>
        <w:rPr>
          <w:rFonts w:hint="eastAsia" w:ascii="仿宋_GB2312" w:hAnsi="仿宋_GB2312" w:eastAsia="仿宋_GB2312" w:cs="仿宋_GB2312"/>
          <w:b w:val="0"/>
          <w:bCs w:val="0"/>
          <w:color w:val="auto"/>
          <w:sz w:val="32"/>
          <w:szCs w:val="32"/>
          <w:highlight w:val="none"/>
          <w:lang w:val="en-US" w:eastAsia="zh-CN"/>
        </w:rPr>
        <w:t>有限公司以及</w:t>
      </w:r>
      <w:r>
        <w:rPr>
          <w:rFonts w:hint="eastAsia" w:ascii="仿宋_GB2312" w:hAnsi="仿宋_GB2312" w:eastAsia="仿宋_GB2312" w:cs="仿宋_GB2312"/>
          <w:color w:val="auto"/>
          <w:sz w:val="32"/>
          <w:szCs w:val="32"/>
          <w:highlight w:val="none"/>
          <w:lang w:eastAsia="zh-CN"/>
        </w:rPr>
        <w:t>某</w:t>
      </w:r>
      <w:r>
        <w:rPr>
          <w:rFonts w:hint="eastAsia" w:ascii="仿宋_GB2312" w:hAnsi="仿宋_GB2312" w:eastAsia="仿宋_GB2312" w:cs="仿宋_GB2312"/>
          <w:color w:val="auto"/>
          <w:sz w:val="32"/>
          <w:szCs w:val="32"/>
          <w:highlight w:val="none"/>
        </w:rPr>
        <w:t>（香港）有限公司</w:t>
      </w:r>
      <w:r>
        <w:rPr>
          <w:rFonts w:hint="eastAsia" w:ascii="仿宋_GB2312" w:hAnsi="仿宋_GB2312" w:eastAsia="仿宋_GB2312" w:cs="仿宋_GB2312"/>
          <w:sz w:val="32"/>
          <w:szCs w:val="32"/>
          <w:highlight w:val="none"/>
        </w:rPr>
        <w:t>等3家客户</w:t>
      </w:r>
      <w:r>
        <w:rPr>
          <w:rFonts w:hint="eastAsia" w:ascii="仿宋_GB2312" w:hAnsi="仿宋_GB2312" w:eastAsia="仿宋_GB2312" w:cs="仿宋_GB2312"/>
          <w:sz w:val="32"/>
          <w:szCs w:val="32"/>
          <w:highlight w:val="none"/>
          <w:lang w:eastAsia="zh-CN"/>
        </w:rPr>
        <w:t>的交易中，对客户</w:t>
      </w:r>
      <w:r>
        <w:rPr>
          <w:rFonts w:hint="eastAsia" w:ascii="仿宋_GB2312" w:hAnsi="仿宋_GB2312" w:eastAsia="仿宋_GB2312" w:cs="仿宋_GB2312"/>
          <w:sz w:val="32"/>
          <w:szCs w:val="32"/>
          <w:highlight w:val="none"/>
        </w:rPr>
        <w:t>未实际提货的产品</w:t>
      </w:r>
      <w:r>
        <w:rPr>
          <w:rFonts w:hint="eastAsia" w:ascii="仿宋_GB2312" w:hAnsi="仿宋_GB2312" w:eastAsia="仿宋_GB2312" w:cs="仿宋_GB2312"/>
          <w:sz w:val="32"/>
          <w:szCs w:val="32"/>
          <w:highlight w:val="none"/>
          <w:lang w:eastAsia="zh-CN"/>
        </w:rPr>
        <w:t>确认收入。</w:t>
      </w:r>
      <w:r>
        <w:rPr>
          <w:rFonts w:hint="eastAsia" w:ascii="仿宋_GB2312" w:hAnsi="仿宋_GB2312" w:eastAsia="仿宋_GB2312" w:cs="仿宋_GB2312"/>
          <w:b w:val="0"/>
          <w:bCs w:val="0"/>
          <w:sz w:val="32"/>
          <w:szCs w:val="32"/>
          <w:highlight w:val="none"/>
        </w:rPr>
        <w:t>三是</w:t>
      </w:r>
      <w:r>
        <w:rPr>
          <w:rFonts w:hint="eastAsia" w:ascii="仿宋_GB2312" w:hAnsi="仿宋_GB2312" w:eastAsia="仿宋_GB2312" w:cs="仿宋_GB2312"/>
          <w:sz w:val="32"/>
          <w:szCs w:val="32"/>
          <w:highlight w:val="none"/>
          <w:lang w:eastAsia="zh-CN"/>
        </w:rPr>
        <w:t>在</w:t>
      </w:r>
      <w:r>
        <w:rPr>
          <w:rFonts w:hint="eastAsia" w:ascii="仿宋_GB2312" w:hAnsi="仿宋_GB2312" w:eastAsia="仿宋_GB2312" w:cs="仿宋_GB2312"/>
          <w:sz w:val="32"/>
          <w:szCs w:val="32"/>
          <w:highlight w:val="none"/>
        </w:rPr>
        <w:t>与</w:t>
      </w:r>
      <w:r>
        <w:rPr>
          <w:rFonts w:hint="eastAsia" w:ascii="仿宋_GB2312" w:hAnsi="仿宋_GB2312" w:eastAsia="仿宋_GB2312" w:cs="仿宋_GB2312"/>
          <w:b w:val="0"/>
          <w:bCs w:val="0"/>
          <w:color w:val="auto"/>
          <w:sz w:val="32"/>
          <w:szCs w:val="32"/>
          <w:highlight w:val="none"/>
          <w:lang w:val="en-US" w:eastAsia="zh-CN"/>
        </w:rPr>
        <w:t>深圳某</w:t>
      </w:r>
      <w:r>
        <w:rPr>
          <w:rFonts w:hint="eastAsia" w:ascii="仿宋_GB2312" w:hAnsi="仿宋_GB2312" w:eastAsia="仿宋_GB2312" w:cs="仿宋_GB2312"/>
          <w:sz w:val="32"/>
          <w:szCs w:val="32"/>
          <w:highlight w:val="none"/>
          <w:lang w:eastAsia="zh-CN"/>
        </w:rPr>
        <w:t>客户</w:t>
      </w:r>
      <w:r>
        <w:rPr>
          <w:rFonts w:hint="eastAsia" w:ascii="仿宋_GB2312" w:hAnsi="仿宋_GB2312" w:eastAsia="仿宋_GB2312" w:cs="仿宋_GB2312"/>
          <w:b w:val="0"/>
          <w:bCs w:val="0"/>
          <w:color w:val="auto"/>
          <w:sz w:val="32"/>
          <w:szCs w:val="32"/>
          <w:highlight w:val="none"/>
          <w:lang w:val="en-US" w:eastAsia="zh-CN"/>
        </w:rPr>
        <w:t>的销售业务中，对多确认的收入未进行</w:t>
      </w:r>
      <w:r>
        <w:rPr>
          <w:rFonts w:hint="eastAsia" w:ascii="仿宋_GB2312" w:hAnsi="仿宋_GB2312" w:eastAsia="仿宋_GB2312" w:cs="仿宋_GB2312"/>
          <w:sz w:val="32"/>
          <w:szCs w:val="32"/>
          <w:highlight w:val="none"/>
          <w:lang w:eastAsia="zh-CN"/>
        </w:rPr>
        <w:t>冲</w:t>
      </w:r>
      <w:r>
        <w:rPr>
          <w:rFonts w:hint="eastAsia" w:ascii="仿宋_GB2312" w:hAnsi="仿宋_GB2312" w:eastAsia="仿宋_GB2312" w:cs="仿宋_GB2312"/>
          <w:sz w:val="32"/>
          <w:szCs w:val="32"/>
          <w:highlight w:val="none"/>
        </w:rPr>
        <w:t>减</w:t>
      </w:r>
      <w:r>
        <w:rPr>
          <w:rFonts w:hint="eastAsia" w:ascii="仿宋_GB2312" w:hAnsi="仿宋_GB2312" w:eastAsia="仿宋_GB2312" w:cs="仿宋_GB2312"/>
          <w:sz w:val="32"/>
          <w:szCs w:val="32"/>
          <w:highlight w:val="none"/>
          <w:lang w:eastAsia="zh-CN"/>
        </w:rPr>
        <w:t>处理。</w:t>
      </w:r>
      <w:r>
        <w:rPr>
          <w:rFonts w:hint="eastAsia" w:ascii="仿宋_GB2312" w:hAnsi="仿宋_GB2312" w:eastAsia="仿宋_GB2312" w:cs="仿宋_GB2312"/>
          <w:b w:val="0"/>
          <w:bCs w:val="0"/>
          <w:sz w:val="32"/>
          <w:szCs w:val="32"/>
          <w:highlight w:val="none"/>
          <w:lang w:eastAsia="zh-CN"/>
        </w:rPr>
        <w:t>以上情况导致惠伦晶体</w:t>
      </w:r>
      <w:r>
        <w:rPr>
          <w:rFonts w:hint="eastAsia" w:ascii="仿宋_GB2312" w:hAnsi="仿宋_GB2312" w:eastAsia="仿宋_GB2312" w:cs="仿宋_GB2312"/>
          <w:b w:val="0"/>
          <w:bCs w:val="0"/>
          <w:sz w:val="32"/>
          <w:szCs w:val="32"/>
          <w:highlight w:val="none"/>
          <w:lang w:val="en-US" w:eastAsia="zh-CN"/>
        </w:rPr>
        <w:t>2021年虚增营业收入25,489,938.60</w:t>
      </w:r>
      <w:r>
        <w:rPr>
          <w:rFonts w:hint="eastAsia" w:ascii="仿宋_GB2312" w:hAnsi="仿宋_GB2312" w:eastAsia="仿宋_GB2312" w:cs="仿宋_GB2312"/>
          <w:b w:val="0"/>
          <w:bCs w:val="0"/>
          <w:sz w:val="32"/>
          <w:szCs w:val="32"/>
          <w:lang w:val="en-US" w:eastAsia="zh-CN"/>
        </w:rPr>
        <w:t>元，虚增营业成本8,405,160.43元，虚增利润总额17,084,778.17元;2022年虚增营业收入62,333,644.39元，虚增营业成本41,019,509.51元，虚增利润总额21,314,134.88元。上述结转的营业成本中，有1,231,618.19元与资金占用形成的材料采购结转的成本相重叠。</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Lines="0" w:afterLines="0" w:line="312" w:lineRule="auto"/>
        <w:ind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val="0"/>
          <w:bCs w:val="0"/>
          <w:sz w:val="32"/>
          <w:szCs w:val="32"/>
          <w:lang w:eastAsia="zh-CN"/>
        </w:rPr>
        <w:t>综上所述，</w:t>
      </w:r>
      <w:r>
        <w:rPr>
          <w:rFonts w:hint="eastAsia" w:ascii="仿宋_GB2312" w:hAnsi="仿宋_GB2312" w:eastAsia="仿宋_GB2312" w:cs="仿宋_GB2312"/>
          <w:b w:val="0"/>
          <w:bCs w:val="0"/>
          <w:sz w:val="32"/>
          <w:szCs w:val="32"/>
          <w:lang w:val="en-US" w:eastAsia="zh-CN"/>
        </w:rPr>
        <w:t>2021年、2022年，惠伦晶体存在虚构采购业务、虚构销售业务以及未按实际情况确认收入等情形，分别虚增营业收入25,489,938.60元、62,333,644.39元，占当期披露营业收入的3.89%、15.79%；2021年虚增利润总额</w:t>
      </w:r>
      <w:r>
        <w:rPr>
          <w:rFonts w:hint="eastAsia" w:ascii="仿宋_GB2312" w:hAnsi="仿宋_GB2312" w:eastAsia="仿宋_GB2312" w:cs="仿宋_GB2312"/>
          <w:sz w:val="32"/>
          <w:szCs w:val="32"/>
          <w:highlight w:val="none"/>
          <w:lang w:val="en-US" w:eastAsia="zh-CN"/>
        </w:rPr>
        <w:t>8,445,707.65元、2022年虚减利润1,408,939.34元，分别占</w:t>
      </w:r>
      <w:r>
        <w:rPr>
          <w:rFonts w:hint="eastAsia" w:ascii="仿宋_GB2312" w:hAnsi="仿宋_GB2312" w:eastAsia="仿宋_GB2312" w:cs="仿宋_GB2312"/>
          <w:kern w:val="2"/>
          <w:sz w:val="32"/>
          <w:szCs w:val="32"/>
          <w:highlight w:val="none"/>
          <w:lang w:val="en-US" w:eastAsia="zh-CN" w:bidi="ar-SA"/>
        </w:rPr>
        <w:t>当期披露利润总额的6.13%、0.91%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kern w:val="2"/>
          <w:sz w:val="32"/>
          <w:szCs w:val="32"/>
          <w:highlight w:val="none"/>
          <w:lang w:val="en-US" w:eastAsia="zh-CN" w:bidi="ar-SA"/>
        </w:rPr>
        <w:t>惠伦晶体披露的2021年年度报告、2022年年度报告存在虚假记载。</w:t>
      </w:r>
    </w:p>
    <w:p>
      <w:pPr>
        <w:keepNext w:val="0"/>
        <w:keepLines w:val="0"/>
        <w:pageBreakBefore w:val="0"/>
        <w:widowControl w:val="0"/>
        <w:tabs>
          <w:tab w:val="left" w:pos="1418"/>
        </w:tabs>
        <w:kinsoku/>
        <w:wordWrap/>
        <w:overflowPunct w:val="0"/>
        <w:topLinePunct w:val="0"/>
        <w:autoSpaceDE/>
        <w:autoSpaceDN/>
        <w:bidi w:val="0"/>
        <w:adjustRightInd w:val="0"/>
        <w:snapToGrid w:val="0"/>
        <w:spacing w:beforeLines="0" w:afterLines="0" w:line="312" w:lineRule="auto"/>
        <w:ind w:firstLine="640" w:firstLineChars="200"/>
        <w:textAlignment w:val="auto"/>
        <w:rPr>
          <w:rFonts w:hint="eastAsia" w:ascii="仿宋_GB2312" w:hAnsi="仿宋_GB2312" w:eastAsia="仿宋_GB2312" w:cs="Times New Roman"/>
          <w:kern w:val="0"/>
          <w:sz w:val="32"/>
          <w:szCs w:val="32"/>
          <w:lang w:val="en-US" w:eastAsia="zh-CN"/>
        </w:rPr>
      </w:pPr>
      <w:r>
        <w:rPr>
          <w:rFonts w:hint="eastAsia" w:ascii="仿宋_GB2312" w:hAnsi="仿宋_GB2312" w:eastAsia="仿宋_GB2312" w:cs="Times New Roman"/>
          <w:sz w:val="32"/>
          <w:szCs w:val="32"/>
          <w:lang w:val="en-US" w:eastAsia="zh-CN"/>
        </w:rPr>
        <w:t>上述</w:t>
      </w:r>
      <w:r>
        <w:rPr>
          <w:rFonts w:hint="default" w:ascii="仿宋_GB2312" w:hAnsi="仿宋_GB2312" w:eastAsia="仿宋_GB2312" w:cs="Times New Roman"/>
          <w:sz w:val="32"/>
          <w:szCs w:val="32"/>
          <w:lang w:val="en" w:eastAsia="zh-CN"/>
        </w:rPr>
        <w:t>有关</w:t>
      </w:r>
      <w:r>
        <w:rPr>
          <w:rFonts w:hint="eastAsia" w:ascii="仿宋_GB2312" w:hAnsi="仿宋_GB2312" w:eastAsia="仿宋_GB2312" w:cs="Times New Roman"/>
          <w:sz w:val="32"/>
          <w:szCs w:val="32"/>
          <w:lang w:val="en-US" w:eastAsia="zh-CN"/>
        </w:rPr>
        <w:t>违法事实，有</w:t>
      </w:r>
      <w:r>
        <w:rPr>
          <w:rFonts w:hint="eastAsia" w:ascii="仿宋_GB2312" w:hAnsi="仿宋_GB2312" w:eastAsia="仿宋_GB2312" w:cs="Times New Roman"/>
          <w:kern w:val="0"/>
          <w:sz w:val="32"/>
          <w:szCs w:val="32"/>
          <w:lang w:val="en-US" w:eastAsia="zh-CN"/>
        </w:rPr>
        <w:t>公司定期报告、相关银行账户资金流水、记账凭证及原始凭证、情况说明、询问笔录</w:t>
      </w:r>
      <w:r>
        <w:rPr>
          <w:rFonts w:hint="eastAsia" w:ascii="仿宋_GB2312" w:hAnsi="仿宋_GB2312" w:eastAsia="仿宋_GB2312" w:cs="Times New Roman"/>
          <w:sz w:val="32"/>
          <w:szCs w:val="32"/>
          <w:lang w:val="en-US" w:eastAsia="zh-CN"/>
        </w:rPr>
        <w:t>等证据证明，足以认定。</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val="0"/>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惠伦晶体的上述行为违反《证券法》第七十八条第二款的规定，构成《证券法》第一百九十七条第二款所述违法行为</w:t>
      </w:r>
      <w:r>
        <w:rPr>
          <w:rFonts w:hint="eastAsia" w:ascii="仿宋_GB2312" w:hAnsi="黑体" w:eastAsia="仿宋_GB2312" w:cs="仿宋_GB2312"/>
          <w:bCs/>
          <w:sz w:val="32"/>
          <w:szCs w:val="32"/>
        </w:rPr>
        <w:t>。</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sz w:val="32"/>
          <w:szCs w:val="32"/>
          <w:lang w:val="en" w:eastAsia="zh-CN"/>
        </w:rPr>
        <w:t>惠伦晶体</w:t>
      </w:r>
      <w:r>
        <w:rPr>
          <w:rFonts w:hint="eastAsia" w:ascii="仿宋_GB2312" w:hAnsi="仿宋_GB2312" w:eastAsia="仿宋_GB2312" w:cs="Times New Roman"/>
          <w:sz w:val="32"/>
          <w:szCs w:val="32"/>
          <w:lang w:val="en"/>
        </w:rPr>
        <w:t>涉案期间有关董事、高级管理人员违反《证券法》第八十二条第三款的规定，构成《证券法》第一百九十七条第</w:t>
      </w:r>
      <w:r>
        <w:rPr>
          <w:rFonts w:hint="eastAsia" w:ascii="仿宋_GB2312" w:hAnsi="仿宋_GB2312" w:eastAsia="仿宋_GB2312" w:cs="Times New Roman"/>
          <w:sz w:val="32"/>
          <w:szCs w:val="32"/>
          <w:lang w:val="en" w:eastAsia="zh-CN"/>
        </w:rPr>
        <w:t>一</w:t>
      </w:r>
      <w:r>
        <w:rPr>
          <w:rFonts w:hint="eastAsia" w:ascii="仿宋_GB2312" w:hAnsi="仿宋_GB2312" w:eastAsia="仿宋_GB2312" w:cs="Times New Roman"/>
          <w:sz w:val="32"/>
          <w:szCs w:val="32"/>
          <w:lang w:val="en"/>
        </w:rPr>
        <w:t>款所述“直接负责的主管人员和其他直接责任人员”。</w:t>
      </w:r>
      <w:r>
        <w:rPr>
          <w:rFonts w:hint="eastAsia" w:ascii="仿宋_GB2312" w:hAnsi="仿宋_GB2312" w:eastAsia="仿宋_GB2312" w:cs="Times New Roman"/>
          <w:kern w:val="0"/>
          <w:sz w:val="32"/>
          <w:szCs w:val="32"/>
          <w:lang w:val="en" w:eastAsia="zh-CN"/>
        </w:rPr>
        <w:t>其中，时任董事长赵某清</w:t>
      </w:r>
      <w:r>
        <w:rPr>
          <w:rFonts w:hint="eastAsia" w:ascii="仿宋_GB2312" w:hAnsi="仿宋_GB2312" w:eastAsia="仿宋_GB2312" w:cs="仿宋_GB2312"/>
          <w:b w:val="0"/>
          <w:bCs w:val="0"/>
          <w:sz w:val="32"/>
          <w:szCs w:val="32"/>
        </w:rPr>
        <w:t>，组织、</w:t>
      </w:r>
      <w:r>
        <w:rPr>
          <w:rFonts w:hint="eastAsia" w:ascii="仿宋_GB2312" w:hAnsi="仿宋_GB2312" w:eastAsia="仿宋_GB2312" w:cs="仿宋_GB2312"/>
          <w:b w:val="0"/>
          <w:bCs w:val="0"/>
          <w:sz w:val="32"/>
          <w:szCs w:val="32"/>
          <w:lang w:eastAsia="zh-CN"/>
        </w:rPr>
        <w:t>实施</w:t>
      </w:r>
      <w:r>
        <w:rPr>
          <w:rFonts w:hint="eastAsia" w:ascii="仿宋_GB2312" w:hAnsi="仿宋_GB2312" w:eastAsia="仿宋_GB2312" w:cs="仿宋_GB2312"/>
          <w:b w:val="0"/>
          <w:bCs w:val="0"/>
          <w:sz w:val="32"/>
          <w:szCs w:val="32"/>
        </w:rPr>
        <w:t>上述未</w:t>
      </w:r>
      <w:r>
        <w:rPr>
          <w:rFonts w:hint="eastAsia" w:ascii="仿宋_GB2312" w:hAnsi="仿宋_GB2312" w:eastAsia="仿宋_GB2312" w:cs="仿宋_GB2312"/>
          <w:b w:val="0"/>
          <w:bCs w:val="0"/>
          <w:sz w:val="32"/>
          <w:szCs w:val="32"/>
          <w:lang w:eastAsia="zh-CN"/>
        </w:rPr>
        <w:t>按规定</w:t>
      </w:r>
      <w:r>
        <w:rPr>
          <w:rFonts w:hint="eastAsia" w:ascii="仿宋_GB2312" w:hAnsi="仿宋_GB2312" w:eastAsia="仿宋_GB2312" w:cs="仿宋_GB2312"/>
          <w:b w:val="0"/>
          <w:bCs w:val="0"/>
          <w:sz w:val="32"/>
          <w:szCs w:val="32"/>
        </w:rPr>
        <w:t>披露</w:t>
      </w:r>
      <w:r>
        <w:rPr>
          <w:rFonts w:hint="eastAsia" w:ascii="仿宋_GB2312" w:hAnsi="仿宋_GB2312" w:eastAsia="仿宋_GB2312" w:cs="仿宋_GB2312"/>
          <w:b w:val="0"/>
          <w:bCs w:val="0"/>
          <w:sz w:val="32"/>
          <w:szCs w:val="32"/>
          <w:lang w:eastAsia="zh-CN"/>
        </w:rPr>
        <w:t>资金占用</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虚增成本费用</w:t>
      </w:r>
      <w:r>
        <w:rPr>
          <w:rFonts w:hint="eastAsia" w:ascii="仿宋_GB2312" w:hAnsi="仿宋_GB2312" w:eastAsia="仿宋_GB2312" w:cs="仿宋_GB2312"/>
          <w:b w:val="0"/>
          <w:bCs w:val="0"/>
          <w:sz w:val="32"/>
          <w:szCs w:val="32"/>
        </w:rPr>
        <w:t>、虚增</w:t>
      </w:r>
      <w:r>
        <w:rPr>
          <w:rFonts w:hint="eastAsia" w:ascii="仿宋_GB2312" w:hAnsi="仿宋_GB2312" w:eastAsia="仿宋_GB2312" w:cs="仿宋_GB2312"/>
          <w:b w:val="0"/>
          <w:bCs w:val="0"/>
          <w:sz w:val="32"/>
          <w:szCs w:val="32"/>
          <w:lang w:eastAsia="zh-CN"/>
        </w:rPr>
        <w:t>收入等</w:t>
      </w:r>
      <w:r>
        <w:rPr>
          <w:rFonts w:hint="eastAsia" w:ascii="仿宋_GB2312" w:hAnsi="仿宋_GB2312" w:eastAsia="仿宋_GB2312" w:cs="仿宋_GB2312"/>
          <w:b w:val="0"/>
          <w:bCs w:val="0"/>
          <w:sz w:val="32"/>
          <w:szCs w:val="32"/>
        </w:rPr>
        <w:t>违法违规行为，</w:t>
      </w:r>
      <w:r>
        <w:rPr>
          <w:rFonts w:hint="eastAsia" w:ascii="仿宋_GB2312" w:hAnsi="仿宋_GB2312" w:eastAsia="仿宋_GB2312" w:cs="仿宋_GB2312"/>
          <w:b w:val="0"/>
          <w:bCs w:val="0"/>
          <w:sz w:val="32"/>
          <w:szCs w:val="32"/>
          <w:lang w:eastAsia="zh-CN"/>
        </w:rPr>
        <w:t>签字保证</w:t>
      </w:r>
      <w:r>
        <w:rPr>
          <w:rFonts w:hint="eastAsia" w:ascii="仿宋_GB2312" w:hAnsi="仿宋_GB2312" w:eastAsia="仿宋_GB2312" w:cs="Times New Roman"/>
          <w:kern w:val="0"/>
          <w:sz w:val="32"/>
          <w:szCs w:val="32"/>
          <w:highlight w:val="none"/>
          <w:lang w:val="en" w:eastAsia="zh-CN"/>
        </w:rPr>
        <w:t>惠伦晶体</w:t>
      </w:r>
      <w:r>
        <w:rPr>
          <w:rFonts w:hint="eastAsia" w:ascii="仿宋_GB2312" w:hAnsi="仿宋_GB2312" w:eastAsia="仿宋_GB2312" w:cs="Times New Roman"/>
          <w:kern w:val="0"/>
          <w:sz w:val="32"/>
          <w:szCs w:val="32"/>
          <w:highlight w:val="none"/>
          <w:lang w:val="en-US" w:eastAsia="zh-CN"/>
        </w:rPr>
        <w:t>2020年、2021年以及2022年年度报告真实、准确、完整，是对惠伦晶体上述违法行为</w:t>
      </w:r>
      <w:r>
        <w:rPr>
          <w:rFonts w:hint="eastAsia" w:ascii="仿宋_GB2312" w:hAnsi="仿宋_GB2312" w:eastAsia="仿宋_GB2312" w:cs="仿宋_GB2312"/>
          <w:b w:val="0"/>
          <w:bCs w:val="0"/>
          <w:kern w:val="2"/>
          <w:sz w:val="32"/>
          <w:szCs w:val="32"/>
          <w:highlight w:val="none"/>
          <w:lang w:val="en" w:eastAsia="zh-CN" w:bidi="ar-SA"/>
        </w:rPr>
        <w:t>直接负责的主管人员。</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12" w:lineRule="auto"/>
        <w:ind w:right="0" w:rightChars="0" w:firstLine="640" w:firstLineChars="200"/>
        <w:jc w:val="both"/>
        <w:textAlignment w:val="auto"/>
        <w:outlineLvl w:val="9"/>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时任董事、副总经理韩某云，</w:t>
      </w:r>
      <w:r>
        <w:rPr>
          <w:rFonts w:hint="eastAsia" w:ascii="仿宋_GB2312" w:hAnsi="仿宋_GB2312" w:eastAsia="仿宋_GB2312" w:cs="仿宋_GB2312"/>
          <w:b w:val="0"/>
          <w:bCs w:val="0"/>
          <w:kern w:val="2"/>
          <w:sz w:val="32"/>
          <w:szCs w:val="32"/>
          <w:lang w:val="en" w:eastAsia="zh-CN" w:bidi="ar-SA"/>
        </w:rPr>
        <w:t>分管销售和采购工作，</w:t>
      </w:r>
      <w:r>
        <w:rPr>
          <w:rFonts w:hint="eastAsia" w:ascii="仿宋_GB2312" w:hAnsi="仿宋_GB2312" w:eastAsia="仿宋_GB2312" w:cs="Times New Roman"/>
          <w:kern w:val="0"/>
          <w:sz w:val="32"/>
          <w:szCs w:val="32"/>
          <w:lang w:val="en" w:eastAsia="zh-CN"/>
        </w:rPr>
        <w:t>时任董事、财务总监邓某强，</w:t>
      </w:r>
      <w:r>
        <w:rPr>
          <w:rFonts w:hint="eastAsia" w:ascii="仿宋_GB2312" w:hAnsi="仿宋_GB2312" w:eastAsia="仿宋_GB2312" w:cs="仿宋_GB2312"/>
          <w:sz w:val="32"/>
          <w:szCs w:val="32"/>
          <w:lang w:eastAsia="zh-CN"/>
        </w:rPr>
        <w:t>负责财务管理、财务报表编制等工作，二人知悉并参与相关虚构业务，未勤勉尽责，签字保证</w:t>
      </w:r>
      <w:r>
        <w:rPr>
          <w:rFonts w:hint="eastAsia" w:ascii="仿宋_GB2312" w:hAnsi="仿宋_GB2312" w:eastAsia="仿宋_GB2312" w:cs="Times New Roman"/>
          <w:kern w:val="0"/>
          <w:sz w:val="32"/>
          <w:szCs w:val="32"/>
          <w:highlight w:val="none"/>
          <w:lang w:val="en" w:eastAsia="zh-CN"/>
        </w:rPr>
        <w:t>惠伦晶体</w:t>
      </w:r>
      <w:r>
        <w:rPr>
          <w:rFonts w:hint="eastAsia" w:ascii="仿宋_GB2312" w:hAnsi="仿宋_GB2312" w:eastAsia="仿宋_GB2312" w:cs="Times New Roman"/>
          <w:kern w:val="0"/>
          <w:sz w:val="32"/>
          <w:szCs w:val="32"/>
          <w:highlight w:val="none"/>
          <w:lang w:val="en-US" w:eastAsia="zh-CN"/>
        </w:rPr>
        <w:t>2020年、2021年以及2022年年度报告真实、准确、完整，是对惠伦晶体上述违法行为</w:t>
      </w:r>
      <w:r>
        <w:rPr>
          <w:rFonts w:hint="eastAsia" w:ascii="仿宋_GB2312" w:hAnsi="仿宋_GB2312" w:eastAsia="仿宋_GB2312" w:cs="仿宋_GB2312"/>
          <w:b w:val="0"/>
          <w:bCs w:val="0"/>
          <w:kern w:val="2"/>
          <w:sz w:val="32"/>
          <w:szCs w:val="32"/>
          <w:highlight w:val="none"/>
          <w:lang w:val="en" w:eastAsia="zh-CN" w:bidi="ar-SA"/>
        </w:rPr>
        <w:t>直接负责的主管人员。</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Lines="0" w:afterLines="0" w:line="312" w:lineRule="auto"/>
        <w:ind w:firstLine="640" w:firstLineChars="200"/>
        <w:textAlignment w:val="auto"/>
        <w:outlineLvl w:val="9"/>
        <w:rPr>
          <w:rFonts w:hint="eastAsia" w:ascii="仿宋_GB2312" w:hAnsi="仿宋_GB2312" w:eastAsia="仿宋_GB2312" w:cs="Times New Roman"/>
          <w:b/>
          <w:bCs/>
          <w:sz w:val="32"/>
          <w:szCs w:val="32"/>
          <w:lang w:val="en-US" w:eastAsia="zh-CN"/>
        </w:rPr>
      </w:pPr>
      <w:r>
        <w:rPr>
          <w:rFonts w:hint="eastAsia" w:ascii="仿宋_GB2312" w:hAnsi="仿宋_GB2312" w:eastAsia="仿宋_GB2312" w:cs="Times New Roman"/>
          <w:kern w:val="0"/>
          <w:sz w:val="32"/>
          <w:szCs w:val="32"/>
          <w:lang w:val="en-US" w:eastAsia="zh-CN"/>
        </w:rPr>
        <w:t>时任总经理姜某伟,</w:t>
      </w:r>
      <w:r>
        <w:rPr>
          <w:rFonts w:hint="eastAsia" w:ascii="仿宋_GB2312" w:hAnsi="仿宋_GB2312" w:eastAsia="仿宋_GB2312" w:cs="仿宋_GB2312"/>
          <w:b w:val="0"/>
          <w:bCs w:val="0"/>
          <w:sz w:val="32"/>
          <w:szCs w:val="32"/>
          <w:lang w:eastAsia="zh-CN"/>
        </w:rPr>
        <w:t>负责公司的经营管理，</w:t>
      </w:r>
      <w:r>
        <w:rPr>
          <w:rFonts w:hint="eastAsia" w:ascii="仿宋_GB2312" w:hAnsi="仿宋_GB2312" w:eastAsia="仿宋_GB2312" w:cs="仿宋_GB2312"/>
          <w:b w:val="0"/>
          <w:bCs w:val="0"/>
          <w:sz w:val="32"/>
          <w:szCs w:val="32"/>
        </w:rPr>
        <w:t>未勤勉尽责</w:t>
      </w:r>
      <w:r>
        <w:rPr>
          <w:rFonts w:hint="eastAsia" w:ascii="仿宋_GB2312" w:hAnsi="仿宋_GB2312" w:eastAsia="仿宋_GB2312" w:cs="仿宋_GB2312"/>
          <w:b w:val="0"/>
          <w:bCs w:val="0"/>
          <w:sz w:val="32"/>
          <w:szCs w:val="32"/>
          <w:lang w:eastAsia="zh-CN"/>
        </w:rPr>
        <w:t>，签字保证</w:t>
      </w:r>
      <w:r>
        <w:rPr>
          <w:rFonts w:hint="eastAsia" w:ascii="仿宋_GB2312" w:hAnsi="仿宋_GB2312" w:eastAsia="仿宋_GB2312" w:cs="Times New Roman"/>
          <w:kern w:val="0"/>
          <w:sz w:val="32"/>
          <w:szCs w:val="32"/>
          <w:highlight w:val="none"/>
          <w:lang w:val="en" w:eastAsia="zh-CN"/>
        </w:rPr>
        <w:t>惠伦晶体</w:t>
      </w:r>
      <w:r>
        <w:rPr>
          <w:rFonts w:hint="eastAsia" w:ascii="仿宋_GB2312" w:hAnsi="仿宋_GB2312" w:eastAsia="仿宋_GB2312" w:cs="Times New Roman"/>
          <w:kern w:val="0"/>
          <w:sz w:val="32"/>
          <w:szCs w:val="32"/>
          <w:highlight w:val="none"/>
          <w:lang w:val="en-US" w:eastAsia="zh-CN"/>
        </w:rPr>
        <w:t>2020年年度报告真实、准确、完整，</w:t>
      </w:r>
      <w:r>
        <w:rPr>
          <w:rFonts w:hint="eastAsia" w:ascii="仿宋_GB2312" w:hAnsi="仿宋_GB2312" w:eastAsia="仿宋_GB2312" w:cs="Times New Roman"/>
          <w:b w:val="0"/>
          <w:bCs w:val="0"/>
          <w:sz w:val="32"/>
          <w:szCs w:val="32"/>
          <w:lang w:eastAsia="zh-CN"/>
        </w:rPr>
        <w:t>是</w:t>
      </w:r>
      <w:r>
        <w:rPr>
          <w:rFonts w:hint="eastAsia" w:ascii="仿宋_GB2312" w:hAnsi="仿宋_GB2312" w:eastAsia="仿宋_GB2312" w:cs="Times New Roman"/>
          <w:b w:val="0"/>
          <w:bCs w:val="0"/>
          <w:sz w:val="32"/>
          <w:szCs w:val="32"/>
        </w:rPr>
        <w:t>惠伦晶体2020年</w:t>
      </w:r>
      <w:r>
        <w:rPr>
          <w:rFonts w:hint="eastAsia" w:ascii="仿宋_GB2312" w:hAnsi="仿宋_GB2312" w:eastAsia="仿宋_GB2312" w:cs="Times New Roman"/>
          <w:b w:val="0"/>
          <w:bCs w:val="0"/>
          <w:sz w:val="32"/>
          <w:szCs w:val="32"/>
          <w:lang w:eastAsia="zh-CN"/>
        </w:rPr>
        <w:t>年度报告存在重大遗漏</w:t>
      </w:r>
      <w:r>
        <w:rPr>
          <w:rFonts w:hint="eastAsia" w:ascii="仿宋_GB2312" w:hAnsi="仿宋_GB2312" w:eastAsia="仿宋_GB2312" w:cs="Times New Roman"/>
          <w:b w:val="0"/>
          <w:bCs w:val="0"/>
          <w:sz w:val="32"/>
          <w:szCs w:val="32"/>
        </w:rPr>
        <w:t>的其他直接责任人员。</w:t>
      </w:r>
      <w:r>
        <w:rPr>
          <w:rFonts w:hint="eastAsia" w:ascii="仿宋_GB2312" w:hAnsi="仿宋_GB2312" w:eastAsia="仿宋_GB2312" w:cs="Times New Roman"/>
          <w:kern w:val="0"/>
          <w:sz w:val="32"/>
          <w:szCs w:val="32"/>
          <w:lang w:val="en-US" w:eastAsia="zh-CN"/>
        </w:rPr>
        <w:t>时任总经理韩某玲，</w:t>
      </w:r>
      <w:r>
        <w:rPr>
          <w:rFonts w:hint="eastAsia" w:ascii="仿宋_GB2312" w:hAnsi="仿宋_GB2312" w:eastAsia="仿宋_GB2312" w:cs="仿宋_GB2312"/>
          <w:b w:val="0"/>
          <w:bCs w:val="0"/>
          <w:sz w:val="32"/>
          <w:szCs w:val="32"/>
          <w:lang w:eastAsia="zh-CN"/>
        </w:rPr>
        <w:t>负责公司的经营管理，</w:t>
      </w:r>
      <w:r>
        <w:rPr>
          <w:rFonts w:hint="eastAsia" w:ascii="仿宋_GB2312" w:hAnsi="仿宋_GB2312" w:eastAsia="仿宋_GB2312" w:cs="仿宋_GB2312"/>
          <w:b w:val="0"/>
          <w:bCs w:val="0"/>
          <w:sz w:val="32"/>
          <w:szCs w:val="32"/>
        </w:rPr>
        <w:t>未勤勉尽责</w:t>
      </w:r>
      <w:r>
        <w:rPr>
          <w:rFonts w:hint="eastAsia" w:ascii="仿宋_GB2312" w:hAnsi="仿宋_GB2312" w:eastAsia="仿宋_GB2312" w:cs="仿宋_GB2312"/>
          <w:b w:val="0"/>
          <w:bCs w:val="0"/>
          <w:sz w:val="32"/>
          <w:szCs w:val="32"/>
          <w:lang w:eastAsia="zh-CN"/>
        </w:rPr>
        <w:t>，签字保证</w:t>
      </w:r>
      <w:r>
        <w:rPr>
          <w:rFonts w:hint="eastAsia" w:ascii="仿宋_GB2312" w:hAnsi="仿宋_GB2312" w:eastAsia="仿宋_GB2312" w:cs="Times New Roman"/>
          <w:kern w:val="0"/>
          <w:sz w:val="32"/>
          <w:szCs w:val="32"/>
          <w:highlight w:val="none"/>
          <w:lang w:val="en" w:eastAsia="zh-CN"/>
        </w:rPr>
        <w:t>惠伦晶体</w:t>
      </w:r>
      <w:r>
        <w:rPr>
          <w:rFonts w:hint="eastAsia" w:ascii="仿宋_GB2312" w:hAnsi="仿宋_GB2312" w:eastAsia="仿宋_GB2312" w:cs="Times New Roman"/>
          <w:kern w:val="0"/>
          <w:sz w:val="32"/>
          <w:szCs w:val="32"/>
          <w:highlight w:val="none"/>
          <w:lang w:val="en-US" w:eastAsia="zh-CN"/>
        </w:rPr>
        <w:t>2021年、2022年年度报告真实、准确、完整，</w:t>
      </w:r>
      <w:r>
        <w:rPr>
          <w:rFonts w:hint="eastAsia" w:ascii="仿宋_GB2312" w:hAnsi="仿宋_GB2312" w:eastAsia="仿宋_GB2312" w:cs="Times New Roman"/>
          <w:b w:val="0"/>
          <w:bCs w:val="0"/>
          <w:sz w:val="32"/>
          <w:szCs w:val="32"/>
          <w:lang w:eastAsia="zh-CN"/>
        </w:rPr>
        <w:t>是</w:t>
      </w:r>
      <w:r>
        <w:rPr>
          <w:rFonts w:hint="eastAsia" w:ascii="仿宋_GB2312" w:hAnsi="仿宋_GB2312" w:eastAsia="仿宋_GB2312" w:cs="Times New Roman"/>
          <w:b w:val="0"/>
          <w:bCs w:val="0"/>
          <w:sz w:val="32"/>
          <w:szCs w:val="32"/>
        </w:rPr>
        <w:t>惠伦晶体202</w:t>
      </w:r>
      <w:r>
        <w:rPr>
          <w:rFonts w:hint="eastAsia" w:ascii="仿宋_GB2312" w:hAnsi="仿宋_GB2312" w:eastAsia="仿宋_GB2312" w:cs="Times New Roman"/>
          <w:b w:val="0"/>
          <w:bCs w:val="0"/>
          <w:sz w:val="32"/>
          <w:szCs w:val="32"/>
          <w:lang w:val="en-US" w:eastAsia="zh-CN"/>
        </w:rPr>
        <w:t>1</w:t>
      </w:r>
      <w:r>
        <w:rPr>
          <w:rFonts w:hint="eastAsia" w:ascii="仿宋_GB2312" w:hAnsi="仿宋_GB2312" w:eastAsia="仿宋_GB2312" w:cs="Times New Roman"/>
          <w:b w:val="0"/>
          <w:bCs w:val="0"/>
          <w:sz w:val="32"/>
          <w:szCs w:val="32"/>
        </w:rPr>
        <w:t>年</w:t>
      </w:r>
      <w:r>
        <w:rPr>
          <w:rFonts w:hint="eastAsia" w:ascii="仿宋_GB2312" w:hAnsi="仿宋_GB2312" w:eastAsia="仿宋_GB2312" w:cs="Times New Roman"/>
          <w:b w:val="0"/>
          <w:bCs w:val="0"/>
          <w:sz w:val="32"/>
          <w:szCs w:val="32"/>
          <w:lang w:eastAsia="zh-CN"/>
        </w:rPr>
        <w:t>、</w:t>
      </w:r>
      <w:r>
        <w:rPr>
          <w:rFonts w:hint="eastAsia" w:ascii="仿宋_GB2312" w:hAnsi="仿宋_GB2312" w:eastAsia="仿宋_GB2312" w:cs="Times New Roman"/>
          <w:b w:val="0"/>
          <w:bCs w:val="0"/>
          <w:sz w:val="32"/>
          <w:szCs w:val="32"/>
          <w:lang w:val="en-US" w:eastAsia="zh-CN"/>
        </w:rPr>
        <w:t>2022年</w:t>
      </w:r>
      <w:r>
        <w:rPr>
          <w:rFonts w:hint="eastAsia" w:ascii="仿宋_GB2312" w:hAnsi="仿宋_GB2312" w:eastAsia="仿宋_GB2312" w:cs="Times New Roman"/>
          <w:b w:val="0"/>
          <w:bCs w:val="0"/>
          <w:sz w:val="32"/>
          <w:szCs w:val="32"/>
          <w:lang w:eastAsia="zh-CN"/>
        </w:rPr>
        <w:t>年度报告存在虚假记载</w:t>
      </w:r>
      <w:r>
        <w:rPr>
          <w:rFonts w:hint="eastAsia" w:ascii="仿宋_GB2312" w:hAnsi="仿宋_GB2312" w:eastAsia="仿宋_GB2312" w:cs="Times New Roman"/>
          <w:b w:val="0"/>
          <w:bCs w:val="0"/>
          <w:sz w:val="32"/>
          <w:szCs w:val="32"/>
        </w:rPr>
        <w:t>的其他直接责任人员。</w:t>
      </w:r>
    </w:p>
    <w:p>
      <w:pPr>
        <w:keepNext w:val="0"/>
        <w:keepLines w:val="0"/>
        <w:pageBreakBefore w:val="0"/>
        <w:widowControl w:val="0"/>
        <w:kinsoku/>
        <w:wordWrap/>
        <w:overflowPunct w:val="0"/>
        <w:topLinePunct w:val="0"/>
        <w:autoSpaceDE/>
        <w:autoSpaceDN/>
        <w:bidi w:val="0"/>
        <w:snapToGrid w:val="0"/>
        <w:spacing w:beforeLines="0" w:afterLines="0" w:line="312" w:lineRule="auto"/>
        <w:ind w:leftChars="0" w:firstLine="640" w:firstLineChars="200"/>
        <w:textAlignment w:val="auto"/>
        <w:rPr>
          <w:rFonts w:hint="default" w:ascii="Times New Roman" w:hAnsi="Times New Roman" w:eastAsia="宋体" w:cs="Times New Roman"/>
          <w:sz w:val="32"/>
          <w:szCs w:val="32"/>
          <w:highlight w:val="none"/>
          <w:lang w:val="en-US" w:eastAsia="zh-CN"/>
        </w:rPr>
      </w:pPr>
      <w:r>
        <w:rPr>
          <w:rFonts w:hint="eastAsia" w:ascii="仿宋_GB2312" w:hAnsi="仿宋_GB2312" w:eastAsia="仿宋_GB2312" w:cs="Times New Roman"/>
          <w:kern w:val="0"/>
          <w:sz w:val="32"/>
          <w:szCs w:val="32"/>
          <w:lang w:val="en-US" w:eastAsia="zh-CN"/>
        </w:rPr>
        <w:t>同时</w:t>
      </w:r>
      <w:r>
        <w:rPr>
          <w:rFonts w:hint="default" w:ascii="仿宋_GB2312" w:hAnsi="仿宋_GB2312" w:eastAsia="仿宋_GB2312" w:cs="Times New Roman"/>
          <w:kern w:val="0"/>
          <w:sz w:val="32"/>
          <w:szCs w:val="32"/>
          <w:lang w:val="en-US" w:eastAsia="zh-CN"/>
        </w:rPr>
        <w:t>，</w:t>
      </w:r>
      <w:r>
        <w:rPr>
          <w:rFonts w:hint="eastAsia" w:ascii="仿宋_GB2312" w:hAnsi="仿宋_GB2312" w:eastAsia="仿宋_GB2312" w:cs="Times New Roman"/>
          <w:kern w:val="0"/>
          <w:sz w:val="32"/>
          <w:szCs w:val="32"/>
          <w:lang w:val="en-US" w:eastAsia="zh-CN"/>
        </w:rPr>
        <w:t>赵某清作为惠伦晶体</w:t>
      </w:r>
      <w:r>
        <w:rPr>
          <w:rFonts w:hint="default" w:ascii="仿宋_GB2312" w:hAnsi="仿宋_GB2312" w:eastAsia="仿宋_GB2312" w:cs="Times New Roman"/>
          <w:kern w:val="0"/>
          <w:sz w:val="32"/>
          <w:szCs w:val="32"/>
          <w:lang w:val="en-US" w:eastAsia="zh-CN"/>
        </w:rPr>
        <w:t>实际控制人，组织、指使上述</w:t>
      </w:r>
      <w:r>
        <w:rPr>
          <w:rFonts w:hint="eastAsia" w:ascii="仿宋_GB2312" w:hAnsi="仿宋_GB2312" w:eastAsia="仿宋_GB2312" w:cs="Times New Roman"/>
          <w:kern w:val="0"/>
          <w:sz w:val="32"/>
          <w:szCs w:val="32"/>
          <w:lang w:val="en-US" w:eastAsia="zh-CN"/>
        </w:rPr>
        <w:t>资金占用</w:t>
      </w:r>
      <w:r>
        <w:rPr>
          <w:rFonts w:hint="default" w:ascii="仿宋_GB2312" w:hAnsi="仿宋_GB2312" w:eastAsia="仿宋_GB2312" w:cs="Times New Roman"/>
          <w:kern w:val="0"/>
          <w:sz w:val="32"/>
          <w:szCs w:val="32"/>
          <w:lang w:val="en-US" w:eastAsia="zh-CN"/>
        </w:rPr>
        <w:t>行为</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Times New Roman"/>
          <w:kern w:val="0"/>
          <w:sz w:val="32"/>
          <w:szCs w:val="32"/>
          <w:lang w:val="en-US" w:eastAsia="zh-CN"/>
        </w:rPr>
        <w:t>导致惠伦晶体2020年年度报告存在重大遗漏，</w:t>
      </w:r>
      <w:r>
        <w:rPr>
          <w:rFonts w:hint="default" w:ascii="仿宋_GB2312" w:hAnsi="仿宋_GB2312" w:eastAsia="仿宋_GB2312" w:cs="Times New Roman"/>
          <w:kern w:val="0"/>
          <w:sz w:val="32"/>
          <w:szCs w:val="32"/>
          <w:lang w:val="en-US" w:eastAsia="zh-CN"/>
        </w:rPr>
        <w:t>构成《证券法》第一百九十七条第二款所述</w:t>
      </w:r>
      <w:r>
        <w:rPr>
          <w:rFonts w:hint="eastAsia" w:ascii="仿宋_GB2312" w:hAnsi="仿宋_GB2312" w:eastAsia="仿宋_GB2312" w:cs="Times New Roman"/>
          <w:kern w:val="0"/>
          <w:sz w:val="32"/>
          <w:szCs w:val="32"/>
          <w:lang w:val="en-US" w:eastAsia="zh-CN"/>
        </w:rPr>
        <w:t>的“发行人的控股股东、实际控制人组织、指使从事上述违法行为”的情形</w:t>
      </w:r>
      <w:r>
        <w:rPr>
          <w:rFonts w:hint="default" w:ascii="仿宋_GB2312" w:hAnsi="仿宋_GB2312" w:eastAsia="仿宋_GB2312" w:cs="Times New Roman"/>
          <w:kern w:val="0"/>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312" w:lineRule="auto"/>
        <w:ind w:firstLine="640" w:firstLineChars="200"/>
        <w:textAlignment w:val="auto"/>
        <w:rPr>
          <w:rFonts w:hint="eastAsia" w:ascii="仿宋_GB2312" w:hAnsi="仿宋_GB2312" w:eastAsia="仿宋_GB2312" w:cs="Times New Roman"/>
          <w:spacing w:val="0"/>
          <w:sz w:val="32"/>
          <w:szCs w:val="32"/>
          <w:lang w:val="en-US" w:eastAsia="zh-CN"/>
        </w:rPr>
      </w:pPr>
      <w:r>
        <w:rPr>
          <w:rFonts w:hint="eastAsia" w:ascii="仿宋_GB2312" w:hAnsi="仿宋_GB2312" w:eastAsia="仿宋_GB2312" w:cs="Times New Roman"/>
          <w:spacing w:val="0"/>
          <w:kern w:val="0"/>
          <w:sz w:val="32"/>
          <w:szCs w:val="32"/>
          <w:lang w:val="en-US" w:eastAsia="zh-CN"/>
        </w:rPr>
        <w:t>根据当事人违法行为的事实、性质、情节与社会危害程度，考虑当事人积极配合查处、占用资金已归还，主动供述调查未掌握的违法行为等因素，</w:t>
      </w:r>
      <w:r>
        <w:rPr>
          <w:rFonts w:hint="default" w:ascii="仿宋_GB2312" w:hAnsi="仿宋_GB2312" w:eastAsia="仿宋_GB2312" w:cs="Times New Roman"/>
          <w:spacing w:val="0"/>
          <w:kern w:val="0"/>
          <w:sz w:val="32"/>
          <w:szCs w:val="32"/>
          <w:lang w:val="en-US" w:eastAsia="zh-CN"/>
        </w:rPr>
        <w:t>依据《证券法》第一百九十七条</w:t>
      </w:r>
      <w:r>
        <w:rPr>
          <w:rFonts w:hint="eastAsia" w:ascii="仿宋_GB2312" w:hAnsi="仿宋_GB2312" w:eastAsia="仿宋_GB2312" w:cs="Times New Roman"/>
          <w:spacing w:val="0"/>
          <w:kern w:val="0"/>
          <w:sz w:val="32"/>
          <w:szCs w:val="32"/>
          <w:lang w:val="en-US" w:eastAsia="zh-CN"/>
        </w:rPr>
        <w:t>第二款</w:t>
      </w:r>
      <w:r>
        <w:rPr>
          <w:rFonts w:hint="default" w:ascii="仿宋_GB2312" w:hAnsi="仿宋_GB2312" w:eastAsia="仿宋_GB2312" w:cs="Times New Roman"/>
          <w:spacing w:val="0"/>
          <w:kern w:val="0"/>
          <w:sz w:val="32"/>
          <w:szCs w:val="32"/>
          <w:lang w:val="en-US" w:eastAsia="zh-CN"/>
        </w:rPr>
        <w:t>的规定，</w:t>
      </w:r>
      <w:r>
        <w:rPr>
          <w:rFonts w:hint="eastAsia" w:ascii="仿宋_GB2312" w:hAnsi="仿宋_GB2312" w:eastAsia="仿宋_GB2312" w:cs="Times New Roman"/>
          <w:spacing w:val="0"/>
          <w:sz w:val="32"/>
          <w:szCs w:val="32"/>
          <w:lang w:val="en-US" w:eastAsia="zh-CN"/>
        </w:rPr>
        <w:t>我局决定：</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12" w:lineRule="auto"/>
        <w:ind w:firstLine="640" w:firstLineChars="200"/>
        <w:jc w:val="both"/>
        <w:textAlignment w:val="auto"/>
        <w:outlineLvl w:val="1"/>
        <w:rPr>
          <w:rFonts w:hint="eastAsia" w:ascii="仿宋_GB2312" w:hAnsi="仿宋_GB2312" w:eastAsia="仿宋_GB2312" w:cs="Times New Roman"/>
          <w:spacing w:val="0"/>
          <w:kern w:val="0"/>
          <w:sz w:val="32"/>
          <w:szCs w:val="32"/>
          <w:lang w:val="en-US" w:eastAsia="zh-CN"/>
        </w:rPr>
      </w:pPr>
      <w:r>
        <w:rPr>
          <w:rFonts w:hint="eastAsia" w:ascii="仿宋_GB2312" w:hAnsi="仿宋_GB2312" w:eastAsia="仿宋_GB2312" w:cs="Times New Roman"/>
          <w:spacing w:val="0"/>
          <w:kern w:val="0"/>
          <w:sz w:val="32"/>
          <w:szCs w:val="32"/>
          <w:lang w:val="en-US" w:eastAsia="zh-CN"/>
        </w:rPr>
        <w:t>一、</w:t>
      </w:r>
      <w:r>
        <w:rPr>
          <w:rFonts w:hint="eastAsia" w:ascii="仿宋_GB2312" w:hAnsi="仿宋_GB2312" w:eastAsia="仿宋_GB2312" w:cs="仿宋_GB2312"/>
          <w:b w:val="0"/>
          <w:bCs w:val="0"/>
          <w:kern w:val="2"/>
          <w:sz w:val="32"/>
          <w:szCs w:val="32"/>
          <w:lang w:val="en-US" w:eastAsia="zh-CN" w:bidi="ar-SA"/>
        </w:rPr>
        <w:t>对</w:t>
      </w:r>
      <w:r>
        <w:rPr>
          <w:rFonts w:hint="eastAsia" w:ascii="仿宋_GB2312" w:hAnsi="仿宋_GB2312" w:eastAsia="仿宋_GB2312" w:cs="仿宋_GB2312"/>
          <w:sz w:val="32"/>
          <w:szCs w:val="32"/>
          <w:lang w:val="en-US" w:eastAsia="zh-CN"/>
        </w:rPr>
        <w:t>广东惠伦晶体科技股份有限公司</w:t>
      </w:r>
      <w:r>
        <w:rPr>
          <w:rFonts w:hint="eastAsia" w:ascii="仿宋_GB2312" w:hAnsi="仿宋_GB2312" w:eastAsia="仿宋_GB2312" w:cs="仿宋_GB2312"/>
          <w:b w:val="0"/>
          <w:bCs w:val="0"/>
          <w:kern w:val="2"/>
          <w:sz w:val="32"/>
          <w:szCs w:val="32"/>
          <w:lang w:val="en-US" w:eastAsia="zh-CN" w:bidi="ar-SA"/>
        </w:rPr>
        <w:t>责令改正，给予警告，并处以300万元罚款</w:t>
      </w:r>
      <w:r>
        <w:rPr>
          <w:rFonts w:hint="eastAsia" w:ascii="仿宋_GB2312" w:hAnsi="仿宋_GB2312" w:eastAsia="仿宋_GB2312" w:cs="Times New Roman"/>
          <w:spacing w:val="0"/>
          <w:kern w:val="0"/>
          <w:sz w:val="32"/>
          <w:szCs w:val="32"/>
          <w:lang w:val="en-US" w:eastAsia="zh-CN"/>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12" w:lineRule="auto"/>
        <w:ind w:firstLine="640" w:firstLineChars="200"/>
        <w:jc w:val="both"/>
        <w:textAlignment w:val="auto"/>
        <w:outlineLvl w:val="1"/>
        <w:rPr>
          <w:rFonts w:hint="eastAsia" w:ascii="仿宋_GB2312" w:hAnsi="仿宋_GB2312" w:eastAsia="仿宋_GB2312" w:cs="Times New Roman"/>
          <w:spacing w:val="0"/>
          <w:kern w:val="0"/>
          <w:sz w:val="32"/>
          <w:szCs w:val="32"/>
          <w:lang w:val="en-US" w:eastAsia="zh-CN"/>
        </w:rPr>
      </w:pPr>
      <w:r>
        <w:rPr>
          <w:rFonts w:hint="eastAsia" w:ascii="仿宋_GB2312" w:hAnsi="仿宋_GB2312" w:eastAsia="仿宋_GB2312" w:cs="Times New Roman"/>
          <w:spacing w:val="0"/>
          <w:kern w:val="0"/>
          <w:sz w:val="32"/>
          <w:szCs w:val="32"/>
          <w:lang w:val="en-US" w:eastAsia="zh-CN"/>
        </w:rPr>
        <w:t>二、</w:t>
      </w:r>
      <w:r>
        <w:rPr>
          <w:rFonts w:hint="eastAsia" w:ascii="仿宋_GB2312" w:hAnsi="仿宋_GB2312" w:eastAsia="仿宋_GB2312" w:cs="仿宋_GB2312"/>
          <w:b w:val="0"/>
          <w:bCs w:val="0"/>
          <w:kern w:val="2"/>
          <w:sz w:val="32"/>
          <w:szCs w:val="32"/>
          <w:lang w:val="en-US" w:eastAsia="zh-CN" w:bidi="ar-SA"/>
        </w:rPr>
        <w:t>对赵某清给予警告，并处以400万元罚款，其中对其作为直接负责的主管人员处以200万元罚款，对其作为实际控制人处以200万元罚款</w:t>
      </w:r>
      <w:r>
        <w:rPr>
          <w:rFonts w:hint="default" w:ascii="仿宋_GB2312" w:hAnsi="仿宋_GB2312" w:eastAsia="仿宋_GB2312" w:cs="仿宋_GB2312"/>
          <w:b w:val="0"/>
          <w:bCs w:val="0"/>
          <w:kern w:val="2"/>
          <w:sz w:val="32"/>
          <w:szCs w:val="32"/>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12" w:lineRule="auto"/>
        <w:ind w:firstLine="640" w:firstLineChars="200"/>
        <w:jc w:val="both"/>
        <w:textAlignment w:val="auto"/>
        <w:outlineLvl w:val="1"/>
        <w:rPr>
          <w:rFonts w:hint="eastAsia" w:ascii="仿宋_GB2312" w:hAnsi="仿宋_GB2312" w:eastAsia="仿宋_GB2312" w:cs="Times New Roman"/>
          <w:spacing w:val="0"/>
          <w:kern w:val="0"/>
          <w:sz w:val="32"/>
          <w:szCs w:val="32"/>
          <w:lang w:val="en-US" w:eastAsia="zh-CN"/>
        </w:rPr>
      </w:pPr>
      <w:r>
        <w:rPr>
          <w:rFonts w:hint="eastAsia" w:ascii="仿宋_GB2312" w:hAnsi="仿宋_GB2312" w:eastAsia="仿宋_GB2312" w:cs="Times New Roman"/>
          <w:spacing w:val="0"/>
          <w:kern w:val="0"/>
          <w:sz w:val="32"/>
          <w:szCs w:val="32"/>
          <w:lang w:val="en-US" w:eastAsia="zh-CN"/>
        </w:rPr>
        <w:t>三、</w:t>
      </w:r>
      <w:r>
        <w:rPr>
          <w:rFonts w:hint="default" w:ascii="仿宋_GB2312" w:hAnsi="仿宋_GB2312" w:eastAsia="仿宋_GB2312" w:cs="仿宋_GB2312"/>
          <w:b w:val="0"/>
          <w:bCs w:val="0"/>
          <w:kern w:val="2"/>
          <w:sz w:val="32"/>
          <w:szCs w:val="32"/>
          <w:lang w:val="en" w:eastAsia="zh-CN" w:bidi="ar-SA"/>
        </w:rPr>
        <w:t>对</w:t>
      </w:r>
      <w:r>
        <w:rPr>
          <w:rFonts w:hint="eastAsia" w:ascii="仿宋_GB2312" w:hAnsi="仿宋_GB2312" w:eastAsia="仿宋_GB2312" w:cs="仿宋_GB2312"/>
          <w:b w:val="0"/>
          <w:bCs w:val="0"/>
          <w:kern w:val="2"/>
          <w:sz w:val="32"/>
          <w:szCs w:val="32"/>
          <w:lang w:val="en-US" w:eastAsia="zh-CN" w:bidi="ar-SA"/>
        </w:rPr>
        <w:t>韩某云、邓某强给予警告，并分别处以150万元罚款</w:t>
      </w:r>
      <w:r>
        <w:rPr>
          <w:rFonts w:hint="default" w:ascii="仿宋_GB2312" w:hAnsi="仿宋_GB2312" w:eastAsia="仿宋_GB2312" w:cs="仿宋_GB2312"/>
          <w:b w:val="0"/>
          <w:bCs w:val="0"/>
          <w:kern w:val="2"/>
          <w:sz w:val="32"/>
          <w:szCs w:val="32"/>
          <w:lang w:val="en"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312" w:lineRule="auto"/>
        <w:ind w:firstLine="640" w:firstLineChars="200"/>
        <w:textAlignment w:val="auto"/>
        <w:outlineLvl w:val="1"/>
        <w:rPr>
          <w:rFonts w:hint="eastAsia" w:ascii="仿宋_GB2312" w:hAnsi="仿宋_GB2312" w:eastAsia="仿宋_GB2312" w:cs="仿宋_GB2312"/>
          <w:b w:val="0"/>
          <w:bCs w:val="0"/>
          <w:kern w:val="2"/>
          <w:sz w:val="32"/>
          <w:szCs w:val="32"/>
          <w:lang w:val="en" w:eastAsia="zh-CN" w:bidi="ar-SA"/>
        </w:rPr>
      </w:pPr>
      <w:r>
        <w:rPr>
          <w:rFonts w:hint="eastAsia" w:ascii="仿宋_GB2312" w:hAnsi="仿宋_GB2312" w:eastAsia="仿宋_GB2312" w:cs="Times New Roman"/>
          <w:spacing w:val="0"/>
          <w:kern w:val="0"/>
          <w:sz w:val="32"/>
          <w:szCs w:val="32"/>
          <w:lang w:val="en-US" w:eastAsia="zh-CN"/>
        </w:rPr>
        <w:t>四、</w:t>
      </w:r>
      <w:r>
        <w:rPr>
          <w:rFonts w:hint="default" w:ascii="仿宋_GB2312" w:hAnsi="仿宋_GB2312" w:eastAsia="仿宋_GB2312" w:cs="仿宋_GB2312"/>
          <w:b w:val="0"/>
          <w:bCs w:val="0"/>
          <w:kern w:val="2"/>
          <w:sz w:val="32"/>
          <w:szCs w:val="32"/>
          <w:lang w:val="en" w:eastAsia="zh-CN" w:bidi="ar-SA"/>
        </w:rPr>
        <w:t>对</w:t>
      </w:r>
      <w:r>
        <w:rPr>
          <w:rFonts w:hint="eastAsia" w:ascii="仿宋_GB2312" w:hAnsi="仿宋_GB2312" w:eastAsia="仿宋_GB2312" w:cs="仿宋_GB2312"/>
          <w:b w:val="0"/>
          <w:bCs w:val="0"/>
          <w:kern w:val="2"/>
          <w:sz w:val="32"/>
          <w:szCs w:val="32"/>
          <w:lang w:val="en-US" w:eastAsia="zh-CN" w:bidi="ar-SA"/>
        </w:rPr>
        <w:t>韩某玲给予警告，并处以80万元罚款</w:t>
      </w:r>
      <w:r>
        <w:rPr>
          <w:rFonts w:hint="eastAsia" w:ascii="仿宋_GB2312" w:hAnsi="仿宋_GB2312" w:eastAsia="仿宋_GB2312" w:cs="仿宋_GB2312"/>
          <w:b w:val="0"/>
          <w:bCs w:val="0"/>
          <w:kern w:val="2"/>
          <w:sz w:val="32"/>
          <w:szCs w:val="32"/>
          <w:lang w:val="en"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312" w:lineRule="auto"/>
        <w:ind w:firstLine="640" w:firstLineChars="200"/>
        <w:textAlignment w:val="auto"/>
        <w:outlineLvl w:val="1"/>
        <w:rPr>
          <w:rFonts w:hint="default" w:ascii="仿宋_GB2312" w:hAnsi="仿宋_GB2312" w:eastAsia="仿宋_GB2312" w:cs="仿宋_GB2312"/>
          <w:b w:val="0"/>
          <w:bCs w:val="0"/>
          <w:kern w:val="2"/>
          <w:sz w:val="32"/>
          <w:szCs w:val="32"/>
          <w:lang w:val="en" w:eastAsia="zh-CN" w:bidi="ar-SA"/>
        </w:rPr>
      </w:pPr>
      <w:r>
        <w:rPr>
          <w:rFonts w:hint="eastAsia" w:ascii="仿宋_GB2312" w:hAnsi="仿宋_GB2312" w:eastAsia="仿宋_GB2312" w:cs="仿宋_GB2312"/>
          <w:b w:val="0"/>
          <w:bCs w:val="0"/>
          <w:kern w:val="2"/>
          <w:sz w:val="32"/>
          <w:szCs w:val="32"/>
          <w:lang w:val="en" w:eastAsia="zh-CN" w:bidi="ar-SA"/>
        </w:rPr>
        <w:t>五、对</w:t>
      </w:r>
      <w:r>
        <w:rPr>
          <w:rFonts w:hint="eastAsia" w:ascii="仿宋_GB2312" w:hAnsi="仿宋_GB2312" w:eastAsia="仿宋_GB2312" w:cs="仿宋_GB2312"/>
          <w:b w:val="0"/>
          <w:bCs w:val="0"/>
          <w:kern w:val="2"/>
          <w:sz w:val="32"/>
          <w:szCs w:val="32"/>
          <w:lang w:val="en-US" w:eastAsia="zh-CN" w:bidi="ar-SA"/>
        </w:rPr>
        <w:t>姜某伟给予警告，并处以60万元罚款。</w:t>
      </w:r>
    </w:p>
    <w:p>
      <w:pPr>
        <w:keepNext w:val="0"/>
        <w:keepLines w:val="0"/>
        <w:pageBreakBefore w:val="0"/>
        <w:widowControl w:val="0"/>
        <w:numPr>
          <w:ilvl w:val="0"/>
          <w:numId w:val="0"/>
        </w:numPr>
        <w:tabs>
          <w:tab w:val="left" w:pos="1418"/>
        </w:tabs>
        <w:kinsoku/>
        <w:wordWrap/>
        <w:overflowPunct w:val="0"/>
        <w:topLinePunct w:val="0"/>
        <w:autoSpaceDE/>
        <w:autoSpaceDN/>
        <w:bidi w:val="0"/>
        <w:adjustRightInd w:val="0"/>
        <w:snapToGrid w:val="0"/>
        <w:spacing w:beforeLines="0" w:afterLines="0" w:line="312" w:lineRule="auto"/>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上述当事人应自收到本处罚决定书之日起15日内，将罚款直接汇交国库。具体缴款方式见本处罚决定书所附说明。同时，须将注有当事人名称的付款凭证复印件送我局备案。当事人如果对本处罚决定不服，可在收到本处罚决定书之日起60日内向中国证券监督管理委员会申请行政复议（行政复议申请可以通过邮政快递寄送至中国证券监督管理委员会法治司），也可在收到本处罚决定书之日起6个月内直接向有管辖权的人民法院提起行政诉讼。复议和诉讼期间，上述决定不停止执行。</w:t>
      </w:r>
    </w:p>
    <w:p>
      <w:pPr>
        <w:keepNext w:val="0"/>
        <w:keepLines w:val="0"/>
        <w:pageBreakBefore w:val="0"/>
        <w:widowControl w:val="0"/>
        <w:kinsoku/>
        <w:wordWrap/>
        <w:overflowPunct w:val="0"/>
        <w:topLinePunct w:val="0"/>
        <w:autoSpaceDE/>
        <w:autoSpaceDN/>
        <w:bidi w:val="0"/>
        <w:adjustRightInd w:val="0"/>
        <w:snapToGrid w:val="0"/>
        <w:spacing w:line="312" w:lineRule="auto"/>
        <w:ind w:right="1705"/>
        <w:jc w:val="right"/>
        <w:textAlignment w:val="auto"/>
        <w:rPr>
          <w:rFonts w:hint="eastAsia" w:ascii="仿宋_GB2312" w:hAnsi="Times New Roman" w:eastAsia="仿宋_GB2312" w:cs="Times New Roman"/>
          <w:color w:val="000000"/>
          <w:sz w:val="32"/>
          <w:szCs w:val="32"/>
        </w:rPr>
      </w:pPr>
    </w:p>
    <w:p>
      <w:pPr>
        <w:keepNext w:val="0"/>
        <w:keepLines w:val="0"/>
        <w:pageBreakBefore w:val="0"/>
        <w:widowControl w:val="0"/>
        <w:kinsoku/>
        <w:wordWrap/>
        <w:overflowPunct w:val="0"/>
        <w:topLinePunct w:val="0"/>
        <w:autoSpaceDE/>
        <w:autoSpaceDN/>
        <w:bidi w:val="0"/>
        <w:adjustRightInd w:val="0"/>
        <w:snapToGrid w:val="0"/>
        <w:spacing w:line="312" w:lineRule="auto"/>
        <w:ind w:right="1705"/>
        <w:jc w:val="right"/>
        <w:textAlignment w:val="auto"/>
        <w:rPr>
          <w:rFonts w:hint="eastAsia" w:ascii="仿宋_GB2312" w:hAnsi="Times New Roman" w:eastAsia="仿宋_GB2312" w:cs="Times New Roman"/>
          <w:color w:val="000000"/>
          <w:sz w:val="32"/>
          <w:szCs w:val="32"/>
        </w:rPr>
      </w:pPr>
    </w:p>
    <w:p>
      <w:pPr>
        <w:keepNext w:val="0"/>
        <w:keepLines w:val="0"/>
        <w:pageBreakBefore w:val="0"/>
        <w:widowControl w:val="0"/>
        <w:kinsoku/>
        <w:wordWrap/>
        <w:overflowPunct w:val="0"/>
        <w:topLinePunct w:val="0"/>
        <w:autoSpaceDE/>
        <w:autoSpaceDN/>
        <w:bidi w:val="0"/>
        <w:adjustRightInd w:val="0"/>
        <w:snapToGrid w:val="0"/>
        <w:spacing w:line="312" w:lineRule="auto"/>
        <w:ind w:right="1705"/>
        <w:jc w:val="right"/>
        <w:textAlignment w:val="auto"/>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广东证监局</w:t>
      </w:r>
    </w:p>
    <w:p>
      <w:pPr>
        <w:keepNext w:val="0"/>
        <w:keepLines w:val="0"/>
        <w:pageBreakBefore w:val="0"/>
        <w:widowControl w:val="0"/>
        <w:numPr>
          <w:ilvl w:val="0"/>
          <w:numId w:val="0"/>
        </w:numPr>
        <w:pBdr>
          <w:top w:val="none" w:color="auto" w:sz="0" w:space="0"/>
          <w:bottom w:val="none" w:color="auto" w:sz="0" w:space="0"/>
        </w:pBdr>
        <w:kinsoku/>
        <w:wordWrap/>
        <w:overflowPunct w:val="0"/>
        <w:topLinePunct w:val="0"/>
        <w:autoSpaceDE/>
        <w:autoSpaceDN/>
        <w:bidi w:val="0"/>
        <w:adjustRightInd w:val="0"/>
        <w:snapToGrid w:val="0"/>
        <w:spacing w:beforeLines="0" w:afterLines="0" w:line="312" w:lineRule="auto"/>
        <w:jc w:val="center"/>
        <w:textAlignment w:val="auto"/>
        <w:outlineLvl w:val="9"/>
        <w:rPr>
          <w:rFonts w:hint="eastAsia" w:ascii="黑体" w:hAnsi="Times New Roman" w:eastAsia="黑体" w:cs="Times New Roman"/>
          <w:spacing w:val="8"/>
          <w:sz w:val="40"/>
          <w:szCs w:val="22"/>
        </w:rPr>
      </w:pP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w:t>
      </w:r>
      <w:r>
        <w:rPr>
          <w:rFonts w:hint="default" w:ascii="仿宋_GB2312" w:hAnsi="Times New Roman" w:eastAsia="仿宋_GB2312" w:cs="Times New Roman"/>
          <w:color w:val="000000"/>
          <w:spacing w:val="10"/>
          <w:sz w:val="32"/>
          <w:szCs w:val="32"/>
          <w:lang w:val="en-US" w:eastAsia="zh-CN"/>
        </w:rPr>
        <w:t>5</w:t>
      </w:r>
      <w:r>
        <w:rPr>
          <w:rFonts w:hint="eastAsia" w:ascii="仿宋_GB2312" w:hAnsi="Times New Roman" w:eastAsia="仿宋_GB2312" w:cs="Times New Roman"/>
          <w:color w:val="000000"/>
          <w:spacing w:val="10"/>
          <w:sz w:val="32"/>
          <w:szCs w:val="32"/>
        </w:rPr>
        <w:t>年</w:t>
      </w:r>
      <w:r>
        <w:rPr>
          <w:rFonts w:hint="default" w:ascii="仿宋_GB2312" w:hAnsi="Times New Roman" w:eastAsia="仿宋_GB2312" w:cs="Times New Roman"/>
          <w:color w:val="000000"/>
          <w:spacing w:val="10"/>
          <w:sz w:val="32"/>
          <w:szCs w:val="32"/>
          <w:lang w:val="en-US" w:eastAsia="zh-CN"/>
        </w:rPr>
        <w:t>1</w:t>
      </w:r>
      <w:r>
        <w:rPr>
          <w:rFonts w:hint="eastAsia" w:ascii="仿宋_GB2312" w:hAnsi="Times New Roman" w:eastAsia="仿宋_GB2312" w:cs="Times New Roman"/>
          <w:color w:val="000000"/>
          <w:spacing w:val="10"/>
          <w:sz w:val="32"/>
          <w:szCs w:val="32"/>
          <w:lang w:val="en-US" w:eastAsia="zh-CN"/>
        </w:rPr>
        <w:t>2</w:t>
      </w:r>
      <w:r>
        <w:rPr>
          <w:rFonts w:hint="eastAsia" w:ascii="仿宋_GB2312" w:hAnsi="Times New Roman" w:eastAsia="仿宋_GB2312" w:cs="Times New Roman"/>
          <w:color w:val="000000"/>
          <w:spacing w:val="10"/>
          <w:sz w:val="32"/>
          <w:szCs w:val="32"/>
        </w:rPr>
        <w:t>月</w:t>
      </w:r>
      <w:r>
        <w:rPr>
          <w:rFonts w:hint="default" w:ascii="仿宋_GB2312" w:hAnsi="Times New Roman" w:eastAsia="仿宋_GB2312" w:cs="Times New Roman"/>
          <w:color w:val="000000"/>
          <w:spacing w:val="10"/>
          <w:sz w:val="32"/>
          <w:szCs w:val="32"/>
          <w:lang w:val="en-US" w:eastAsia="zh-CN"/>
        </w:rPr>
        <w:t>31</w:t>
      </w:r>
      <w:r>
        <w:rPr>
          <w:rFonts w:hint="eastAsia" w:ascii="仿宋_GB2312" w:hAnsi="Times New Roman" w:eastAsia="仿宋_GB2312" w:cs="Times New Roman"/>
          <w:color w:val="000000"/>
          <w:spacing w:val="10"/>
          <w:sz w:val="32"/>
          <w:szCs w:val="32"/>
        </w:rPr>
        <w:t>日</w:t>
      </w:r>
      <w:bookmarkEnd w:id="2"/>
    </w:p>
    <w:sectPr>
      <w:footerReference r:id="rId3" w:type="default"/>
      <w:pgSz w:w="11906" w:h="16838"/>
      <w:pgMar w:top="2097" w:right="1474" w:bottom="1984" w:left="1587" w:header="851" w:footer="1587" w:gutter="0"/>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微软雅黑"/>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dit="readOnly"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FAB1B9"/>
    <w:rsid w:val="17BAA953"/>
    <w:rsid w:val="31DF237E"/>
    <w:rsid w:val="3B3FA618"/>
    <w:rsid w:val="4D7E763D"/>
    <w:rsid w:val="4F2F2D63"/>
    <w:rsid w:val="588E5E38"/>
    <w:rsid w:val="5BFFB241"/>
    <w:rsid w:val="68DF8BFA"/>
    <w:rsid w:val="6DF7F842"/>
    <w:rsid w:val="6EF1A3AA"/>
    <w:rsid w:val="6FAF25F4"/>
    <w:rsid w:val="6FFF441C"/>
    <w:rsid w:val="73ABB92F"/>
    <w:rsid w:val="7690D986"/>
    <w:rsid w:val="77EDAAAF"/>
    <w:rsid w:val="77FD5CC6"/>
    <w:rsid w:val="7AFDF5BA"/>
    <w:rsid w:val="7C9D2997"/>
    <w:rsid w:val="7CDD321D"/>
    <w:rsid w:val="7E5DC235"/>
    <w:rsid w:val="7F7F3E45"/>
    <w:rsid w:val="7FF79DA2"/>
    <w:rsid w:val="7FFF0A23"/>
    <w:rsid w:val="9EBE5387"/>
    <w:rsid w:val="9F73F9CF"/>
    <w:rsid w:val="A43FE5FB"/>
    <w:rsid w:val="AB4F0AC5"/>
    <w:rsid w:val="AB4F6C8C"/>
    <w:rsid w:val="ABFF7EFC"/>
    <w:rsid w:val="B0B6337B"/>
    <w:rsid w:val="B7FF548E"/>
    <w:rsid w:val="B9D72E22"/>
    <w:rsid w:val="BAFE9A82"/>
    <w:rsid w:val="BFEFCBFF"/>
    <w:rsid w:val="BFF914FF"/>
    <w:rsid w:val="DFFF4B14"/>
    <w:rsid w:val="EB694DF8"/>
    <w:rsid w:val="EB724920"/>
    <w:rsid w:val="EBFAB1B9"/>
    <w:rsid w:val="F5BC4361"/>
    <w:rsid w:val="F9FB0BD8"/>
    <w:rsid w:val="FB4B08DB"/>
    <w:rsid w:val="FDDFB405"/>
    <w:rsid w:val="FE2ADB4F"/>
    <w:rsid w:val="FEF740AB"/>
    <w:rsid w:val="FEFF264F"/>
    <w:rsid w:val="FEFF90D0"/>
    <w:rsid w:val="FF3F9DA8"/>
    <w:rsid w:val="FFDF74E9"/>
    <w:rsid w:val="FFF23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customStyle="1" w:styleId="7">
    <w:name w:val="列出段落11"/>
    <w:qFormat/>
    <w:uiPriority w:val="34"/>
    <w:pPr>
      <w:widowControl w:val="0"/>
      <w:spacing w:line="360" w:lineRule="auto"/>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2025-12-28T18:11:00Z</dcterms:created>
  <dc:creator>何银秋：主办人拟稿</dc:creator>
  <cp:lastModifiedBy>csrc</cp:lastModifiedBy>
  <dcterms:modified xsi:type="dcterms:W3CDTF">2026-01-12T16:55:41Z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D792089323B3DE5507B76469DCB566C7</vt:lpwstr>
  </property>
</Properties>
</file>