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240" w:line="300" w:lineRule="auto"/>
        <w:jc w:val="center"/>
        <w:rPr>
          <w:rFonts w:hint="eastAsia" w:ascii="方正小标宋简体" w:hAnsi="方正小标宋简体" w:eastAsia="方正小标宋简体"/>
          <w:color w:val="FF0000"/>
          <w:spacing w:val="12"/>
          <w:w w:val="75"/>
          <w:sz w:val="60"/>
        </w:rPr>
      </w:pPr>
      <w:r>
        <w:rPr>
          <w:rFonts w:hint="eastAsia" w:ascii="方正小标宋简体" w:hAnsi="方正小标宋简体" w:eastAsia="方正小标宋简体"/>
          <w:color w:val="FF0000"/>
          <w:w w:val="75"/>
          <w:sz w:val="60"/>
        </w:rPr>
        <w:t>中国证券监督管理委员会广东监管局</w:t>
      </w:r>
    </w:p>
    <w:p>
      <w:pPr>
        <w:snapToGrid w:val="0"/>
        <w:spacing w:line="300" w:lineRule="auto"/>
        <w:ind w:right="-194"/>
        <w:jc w:val="center"/>
        <w:rPr>
          <w:rFonts w:hint="eastAsia" w:ascii="方正小标宋简体" w:hAnsi="方正小标宋简体" w:eastAsia="方正小标宋简体"/>
          <w:snapToGrid w:val="0"/>
          <w:color w:val="FF0000"/>
          <w:spacing w:val="136"/>
          <w:kern w:val="0"/>
          <w:sz w:val="80"/>
        </w:rPr>
      </w:pPr>
      <w:r>
        <w:rPr>
          <w:rFonts w:hint="eastAsia" w:ascii="方正小标宋简体" w:hAnsi="方正小标宋简体" w:eastAsia="方正小标宋简体"/>
          <w:snapToGrid w:val="0"/>
          <w:color w:val="FF0000"/>
          <w:spacing w:val="136"/>
          <w:kern w:val="0"/>
          <w:sz w:val="80"/>
        </w:rPr>
        <w:t>行政处罚决定书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before="0" w:beforeLines="0" w:after="0" w:afterLines="0" w:line="300" w:lineRule="auto"/>
        <w:ind w:left="0" w:leftChars="0" w:right="0" w:rightChars="0"/>
        <w:jc w:val="center"/>
        <w:textAlignment w:val="auto"/>
        <w:outlineLvl w:val="9"/>
        <w:rPr>
          <w:rFonts w:hint="eastAsia" w:ascii="仿宋_GB2312" w:eastAsia="仿宋_GB2312"/>
          <w:spacing w:val="12"/>
          <w:sz w:val="21"/>
          <w:szCs w:val="21"/>
        </w:rPr>
      </w:pPr>
      <w:bookmarkStart w:id="0" w:name="quanwen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before="0" w:beforeLines="0" w:after="0" w:afterLines="0" w:line="324" w:lineRule="auto"/>
        <w:ind w:left="0" w:leftChars="0" w:right="0" w:rightChars="0"/>
        <w:jc w:val="center"/>
        <w:textAlignment w:val="auto"/>
        <w:outlineLvl w:val="9"/>
        <w:rPr>
          <w:rFonts w:hint="eastAsia" w:ascii="仿宋_GB2312" w:eastAsia="仿宋_GB2312"/>
          <w:spacing w:val="12"/>
          <w:sz w:val="28"/>
        </w:rPr>
      </w:pPr>
      <w:r>
        <w:rPr>
          <w:rFonts w:hint="eastAsia" w:ascii="仿宋_GB2312" w:eastAsia="仿宋_GB2312"/>
          <w:spacing w:val="12"/>
          <w:sz w:val="28"/>
        </w:rPr>
        <w:t>〔20</w:t>
      </w:r>
      <w:r>
        <w:rPr>
          <w:rFonts w:hint="eastAsia" w:ascii="仿宋_GB2312" w:eastAsia="仿宋_GB2312"/>
          <w:spacing w:val="12"/>
          <w:sz w:val="28"/>
          <w:lang w:val="en-US" w:eastAsia="zh-CN"/>
        </w:rPr>
        <w:t>2</w:t>
      </w:r>
      <w:r>
        <w:rPr>
          <w:rFonts w:hint="default" w:ascii="仿宋_GB2312" w:eastAsia="仿宋_GB2312"/>
          <w:spacing w:val="12"/>
          <w:sz w:val="28"/>
          <w:lang w:val="en-US" w:eastAsia="zh-CN"/>
        </w:rPr>
        <w:t>4</w:t>
      </w:r>
      <w:r>
        <w:rPr>
          <w:rFonts w:hint="eastAsia" w:ascii="仿宋_GB2312" w:eastAsia="仿宋_GB2312"/>
          <w:spacing w:val="12"/>
          <w:sz w:val="28"/>
        </w:rPr>
        <w:t>〕</w:t>
      </w:r>
      <w:r>
        <w:rPr>
          <w:rFonts w:hint="default" w:ascii="仿宋_GB2312" w:eastAsia="仿宋_GB2312"/>
          <w:spacing w:val="12"/>
          <w:sz w:val="28"/>
          <w:lang w:val="en-US"/>
        </w:rPr>
        <w:t>35</w:t>
      </w:r>
      <w:r>
        <w:rPr>
          <w:rFonts w:hint="eastAsia" w:ascii="仿宋_GB2312" w:eastAsia="仿宋_GB2312"/>
          <w:spacing w:val="12"/>
          <w:sz w:val="28"/>
        </w:rPr>
        <w:t>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24" w:lineRule="auto"/>
        <w:ind w:left="0" w:leftChars="0" w:right="0" w:rightChars="0" w:firstLine="512" w:firstLineChars="200"/>
        <w:textAlignment w:val="auto"/>
        <w:outlineLvl w:val="9"/>
        <w:rPr>
          <w:rFonts w:hint="eastAsia" w:ascii="仿宋_GB2312" w:eastAsia="仿宋_GB2312"/>
          <w:spacing w:val="8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36" w:lineRule="auto"/>
        <w:ind w:left="0" w:leftChars="0" w:right="0" w:rightChars="0" w:firstLine="512" w:firstLineChars="200"/>
        <w:textAlignment w:val="auto"/>
        <w:outlineLvl w:val="9"/>
        <w:rPr>
          <w:rFonts w:hint="eastAsia" w:ascii="仿宋_GB2312" w:eastAsia="仿宋_GB2312"/>
          <w:spacing w:val="8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="0" w:beforeLines="0" w:after="0" w:afterLines="0" w:line="336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当事人：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鼎龙文化股份有限公司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（以下简称鼎龙文化），住所：广东省汕头市澄海区澄华工业区玉亭路。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="0" w:beforeLines="0" w:after="0" w:afterLines="0" w:line="336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龙某勤，男，197</w:t>
      </w:r>
      <w:r>
        <w:rPr>
          <w:rFonts w:hint="default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X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年8月出生，时任鼎龙文化董事长、总经理以及云南中钛科技有限公司（以下简称</w:t>
      </w:r>
      <w:r>
        <w:rPr>
          <w:rFonts w:hint="eastAsia" w:ascii="仿宋_GB2312" w:hAnsi="仿宋_GB2312" w:eastAsia="仿宋_GB2312" w:cs="Times New Roman"/>
          <w:sz w:val="32"/>
          <w:szCs w:val="32"/>
          <w:lang w:val="en" w:eastAsia="zh-CN"/>
        </w:rPr>
        <w:t>中钛科技）董事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，住址：广东省广州市越秀区。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="0" w:beforeLines="0" w:after="0" w:afterLines="0" w:line="336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方某坡，男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，198X年3月出生，时任鼎龙文化董事以及中钛科技董事长，住址：北京市丰台区。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="0" w:beforeLines="0" w:after="0" w:afterLines="0" w:line="336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王某平，男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，198X年1月出生，时任鼎龙文化副总经理、董事会秘书、代财务总监以及</w:t>
      </w: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中钛科技董事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，住址：广东省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广州市荔湾区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="0" w:beforeLines="0" w:after="0" w:afterLines="0" w:line="336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张某龙，男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，197X年10月出生，时任中钛科技财务总监以及鼎龙文化投资总监、会计机构负责人，住址：广东省广州市天河区。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="0" w:beforeLines="0" w:after="0" w:afterLines="0" w:line="336" w:lineRule="auto"/>
        <w:ind w:right="0" w:rightChars="0" w:firstLine="640" w:firstLineChars="200"/>
        <w:jc w:val="both"/>
        <w:textAlignment w:val="auto"/>
        <w:outlineLvl w:val="9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刘某，男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，19</w:t>
      </w:r>
      <w:r>
        <w:rPr>
          <w:rFonts w:hint="default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X年</w:t>
      </w:r>
      <w:r>
        <w:rPr>
          <w:rFonts w:hint="default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月出生，时任</w:t>
      </w:r>
      <w:r>
        <w:rPr>
          <w:rFonts w:hint="eastAsia" w:ascii="仿宋_GB2312" w:hAnsi="仿宋_GB2312" w:eastAsia="仿宋_GB2312"/>
          <w:sz w:val="32"/>
          <w:szCs w:val="32"/>
        </w:rPr>
        <w:t>寻甸金林钛矿有限公司（以下简称寻甸金林）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总经理，住址：云南省昆明市五华区。</w:t>
      </w:r>
    </w:p>
    <w:p>
      <w:pPr>
        <w:keepNext w:val="0"/>
        <w:keepLines w:val="0"/>
        <w:pageBreakBefore w:val="0"/>
        <w:widowControl w:val="0"/>
        <w:tabs>
          <w:tab w:val="left" w:pos="46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="0" w:beforeLines="0" w:after="0" w:afterLines="0" w:line="336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依据《中华人民共和国证券法》（以下简称《证券法》）的有关规定，我局对鼎龙文化信息披露违法违规行为进行了立案调查，并依法向当事人告知了作出行政处罚的事实、理由、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依据及当事人依法享有的权利。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当事人鼎龙文化、龙某勤、王某平、张某龙未提出陈述、申辩意见，也未要求听证。方某坡、刘某提出了陈述、申辩意见，但未要求听证。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本案现已调查、办理终结。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="0" w:beforeLines="0" w:after="0" w:afterLines="0" w:line="336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经查明，鼎龙文化存在以下违法事实：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Lines="0" w:afterLines="0" w:line="336" w:lineRule="auto"/>
        <w:ind w:firstLine="640" w:firstLineChars="200"/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/>
          <w:sz w:val="32"/>
          <w:szCs w:val="32"/>
        </w:rPr>
        <w:t>寻甸金林</w:t>
      </w:r>
      <w:r>
        <w:rPr>
          <w:rFonts w:hint="eastAsia" w:ascii="仿宋_GB2312" w:hAnsi="仿宋_GB2312" w:eastAsia="仿宋_GB2312"/>
          <w:sz w:val="32"/>
          <w:szCs w:val="32"/>
          <w:lang w:eastAsia="zh-CN"/>
        </w:rPr>
        <w:t>为</w:t>
      </w:r>
      <w:r>
        <w:rPr>
          <w:rFonts w:hint="eastAsia" w:ascii="仿宋_GB2312" w:hAnsi="仿宋_GB2312" w:eastAsia="仿宋_GB2312"/>
          <w:sz w:val="32"/>
          <w:szCs w:val="32"/>
        </w:rPr>
        <w:t>鼎龙文化控股子公司中钛科技</w:t>
      </w:r>
      <w:r>
        <w:rPr>
          <w:rFonts w:hint="eastAsia" w:ascii="仿宋_GB2312" w:hAnsi="仿宋_GB2312" w:eastAsia="仿宋_GB2312"/>
          <w:sz w:val="32"/>
          <w:szCs w:val="32"/>
          <w:lang w:eastAsia="zh-CN"/>
        </w:rPr>
        <w:t>的</w:t>
      </w:r>
      <w:r>
        <w:rPr>
          <w:rFonts w:hint="eastAsia" w:ascii="仿宋_GB2312" w:hAnsi="仿宋_GB2312" w:eastAsia="仿宋_GB2312"/>
          <w:sz w:val="32"/>
          <w:szCs w:val="32"/>
        </w:rPr>
        <w:t>子公司</w:t>
      </w:r>
      <w:r>
        <w:rPr>
          <w:rFonts w:hint="eastAsia" w:ascii="仿宋_GB2312" w:hAnsi="仿宋_GB2312" w:eastAsia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2021年，</w:t>
      </w:r>
      <w:r>
        <w:rPr>
          <w:rFonts w:hint="eastAsia" w:ascii="仿宋_GB2312" w:hAnsi="仿宋_GB2312" w:eastAsia="仿宋_GB2312"/>
          <w:sz w:val="32"/>
          <w:szCs w:val="32"/>
        </w:rPr>
        <w:t>寻甸金林虚增钛精矿产量23,120.55吨，</w:t>
      </w: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并</w:t>
      </w: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将前述虚增的钛精矿经由云南玖迈商贸有限公司、开远市德晟商贸有限公司销售给富民龙腾钛业有限责任公司（以下简称龙腾钛业）、云南铜业（集团）钛业有限公司（以下简称云铜钛业）。上述交易标的钛精矿未实际生产，货物未实际交付，销售合同未实际执行，相关经济利益未流入企业，不符合《企业会计准则第14号——收入》有关收入确认要求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Lines="0" w:afterLines="0" w:line="336" w:lineRule="auto"/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highlight w:val="yellow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鼎龙文化将上述虚增的存货、营业收入及利润纳入合并财务报表范围，导致披露的2021年年度报告、2022年半年度报告存在虚假记载。其中，2021年度虚增存货9,580,821.56元，虚增利润总额2,147,160.01元，占当期披露利润总额的16.30%；2022年上半年虚增营业收入45,778,689.00元、虚增利润总额37,903,539.96元，分别占当期披露营业收入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利润总额绝对值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的19.72%、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64.10%。</w:t>
      </w:r>
    </w:p>
    <w:p>
      <w:pPr>
        <w:keepNext w:val="0"/>
        <w:keepLines w:val="0"/>
        <w:pageBreakBefore w:val="0"/>
        <w:widowControl w:val="0"/>
        <w:tabs>
          <w:tab w:val="left" w:pos="46"/>
        </w:tabs>
        <w:kinsoku/>
        <w:wordWrap/>
        <w:overflowPunct w:val="0"/>
        <w:topLinePunct w:val="0"/>
        <w:autoSpaceDE/>
        <w:autoSpaceDN/>
        <w:bidi w:val="0"/>
        <w:adjustRightInd/>
        <w:snapToGrid w:val="0"/>
        <w:spacing w:before="0" w:beforeLines="0" w:after="0" w:afterLines="0" w:line="336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上述</w:t>
      </w:r>
      <w:r>
        <w:rPr>
          <w:rFonts w:hint="default" w:ascii="仿宋_GB2312" w:hAnsi="仿宋_GB2312" w:eastAsia="仿宋_GB2312" w:cs="Times New Roman"/>
          <w:sz w:val="32"/>
          <w:szCs w:val="32"/>
          <w:lang w:val="en" w:eastAsia="zh-CN"/>
        </w:rPr>
        <w:t>有关</w:t>
      </w: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违法事实，有上市公司公告、记账凭证及原始凭证、情况说明、询问笔录等证据证明，足以认定。</w:t>
      </w:r>
    </w:p>
    <w:p>
      <w:pPr>
        <w:keepNext w:val="0"/>
        <w:keepLines w:val="0"/>
        <w:pageBreakBefore w:val="0"/>
        <w:widowControl w:val="0"/>
        <w:tabs>
          <w:tab w:val="left" w:pos="46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="0" w:beforeLines="0" w:after="0" w:afterLines="0" w:line="336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2023年4月，鼎龙文化</w:t>
      </w:r>
      <w:r>
        <w:rPr>
          <w:rFonts w:hint="eastAsia" w:ascii="仿宋_GB2312" w:hAnsi="仿宋_GB2312" w:eastAsia="仿宋_GB2312" w:cs="仿宋_GB2312"/>
          <w:sz w:val="32"/>
          <w:szCs w:val="32"/>
        </w:rPr>
        <w:t>发布《关于前期会计差错更正的公告》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，对2021年年度报告、2022年半年度报告进行了更正调整。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6"/>
        </w:tabs>
        <w:kinsoku/>
        <w:wordWrap/>
        <w:overflowPunct w:val="0"/>
        <w:topLinePunct w:val="0"/>
        <w:autoSpaceDE/>
        <w:autoSpaceDN/>
        <w:bidi w:val="0"/>
        <w:adjustRightInd/>
        <w:snapToGrid w:val="0"/>
        <w:spacing w:before="0" w:beforeLines="0" w:after="0" w:afterLines="0" w:line="336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鼎龙文化公告的2021年年度报告、2022年半年度报告存在虚假记载，违反《证券法》第七十八条第二款、第七十九条的规定，构成《证券法》第一百九十七条第二款所述违法行为。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6"/>
        </w:tabs>
        <w:kinsoku/>
        <w:wordWrap/>
        <w:overflowPunct w:val="0"/>
        <w:topLinePunct w:val="0"/>
        <w:autoSpaceDE/>
        <w:autoSpaceDN/>
        <w:bidi w:val="0"/>
        <w:adjustRightInd/>
        <w:snapToGrid w:val="0"/>
        <w:spacing w:before="0" w:beforeLines="0" w:after="0" w:afterLines="0" w:line="336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Times New Roman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/>
          <w:sz w:val="32"/>
          <w:szCs w:val="32"/>
          <w:lang w:val="en" w:eastAsia="zh-CN"/>
        </w:rPr>
        <w:t>鼎龙文化</w:t>
      </w:r>
      <w:r>
        <w:rPr>
          <w:rFonts w:hint="eastAsia" w:ascii="仿宋_GB2312" w:hAnsi="仿宋_GB2312" w:eastAsia="仿宋_GB2312"/>
          <w:sz w:val="32"/>
          <w:szCs w:val="32"/>
          <w:lang w:val="en"/>
        </w:rPr>
        <w:t>涉案期间有关董事、</w:t>
      </w:r>
      <w:r>
        <w:rPr>
          <w:rFonts w:hint="eastAsia" w:ascii="仿宋_GB2312" w:hAnsi="仿宋_GB2312" w:eastAsia="仿宋_GB2312"/>
          <w:sz w:val="32"/>
          <w:szCs w:val="32"/>
          <w:lang w:val="en" w:eastAsia="zh-CN"/>
        </w:rPr>
        <w:t>监事、</w:t>
      </w:r>
      <w:r>
        <w:rPr>
          <w:rFonts w:hint="eastAsia" w:ascii="仿宋_GB2312" w:hAnsi="仿宋_GB2312" w:eastAsia="仿宋_GB2312"/>
          <w:sz w:val="32"/>
          <w:szCs w:val="32"/>
          <w:lang w:val="en"/>
        </w:rPr>
        <w:t>高级管理人员违反了《证券法》第八十二条第三款的规定，构成《证券法》第一百九十七条第二款所述“直接负责的主管人员和其他直接责任人员”。</w:t>
      </w:r>
      <w:r>
        <w:rPr>
          <w:rFonts w:hint="eastAsia" w:ascii="仿宋_GB2312" w:hAnsi="仿宋_GB2312" w:eastAsia="仿宋_GB2312"/>
          <w:sz w:val="32"/>
          <w:szCs w:val="32"/>
          <w:lang w:val="en" w:eastAsia="zh-CN"/>
        </w:rPr>
        <w:t>其中，</w:t>
      </w:r>
      <w:r>
        <w:rPr>
          <w:rFonts w:hint="eastAsia" w:ascii="仿宋_GB2312" w:hAnsi="仿宋_GB2312" w:eastAsia="仿宋_GB2312" w:cs="Times New Roman"/>
          <w:sz w:val="32"/>
          <w:szCs w:val="32"/>
          <w:lang w:val="en" w:eastAsia="zh-CN"/>
        </w:rPr>
        <w:t>龙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某</w:t>
      </w:r>
      <w:r>
        <w:rPr>
          <w:rFonts w:hint="eastAsia" w:ascii="仿宋_GB2312" w:hAnsi="仿宋_GB2312" w:eastAsia="仿宋_GB2312" w:cs="Times New Roman"/>
          <w:sz w:val="32"/>
          <w:szCs w:val="32"/>
          <w:lang w:val="en" w:eastAsia="zh-CN"/>
        </w:rPr>
        <w:t>勤作为鼎龙文化时任董事长、总经理，主持鼎龙文化全面工作，负责公司日常经营管理，同时担任中钛科技时任董事，以及龙腾钛业时任董事、云铜钛业时任董事，未勤勉尽责</w:t>
      </w:r>
      <w:r>
        <w:rPr>
          <w:rFonts w:hint="eastAsia" w:ascii="仿宋_GB2312" w:hAnsi="仿宋_GB2312" w:eastAsia="仿宋_GB2312" w:cs="Times New Roman"/>
          <w:b w:val="0"/>
          <w:bCs/>
          <w:sz w:val="32"/>
          <w:szCs w:val="32"/>
          <w:lang w:val="en-US" w:eastAsia="zh-CN"/>
        </w:rPr>
        <w:t>，是对鼎龙文化上述信息披露违法行为直接负责的主管人员。</w:t>
      </w: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方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某</w:t>
      </w: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坡作为鼎龙文化时任董事以及中钛科技董事长，全面负责中钛科技的经营管理，同时担任龙腾钛业时任董事长、云铜钛业时任董事长，</w:t>
      </w:r>
      <w:r>
        <w:rPr>
          <w:rFonts w:hint="eastAsia" w:ascii="仿宋_GB2312" w:hAnsi="仿宋_GB2312" w:eastAsia="仿宋_GB2312" w:cs="Times New Roman"/>
          <w:b w:val="0"/>
          <w:bCs/>
          <w:sz w:val="32"/>
          <w:szCs w:val="32"/>
          <w:lang w:val="en-US" w:eastAsia="zh-CN"/>
        </w:rPr>
        <w:t>未勤勉尽责，是对鼎龙文化上述信息披露违法行为直接负责的主管人员。</w:t>
      </w: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王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某</w:t>
      </w: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平作为</w:t>
      </w:r>
      <w:r>
        <w:rPr>
          <w:rFonts w:hint="eastAsia" w:ascii="仿宋_GB2312" w:hAnsi="仿宋_GB2312" w:eastAsia="仿宋_GB2312" w:cs="Times New Roman"/>
          <w:b w:val="0"/>
          <w:bCs/>
          <w:sz w:val="32"/>
          <w:szCs w:val="32"/>
          <w:lang w:val="en-US" w:eastAsia="zh-CN"/>
        </w:rPr>
        <w:t>鼎龙文化时任董事会秘书、副总经理、代财务总监，主管信息披露工作，</w:t>
      </w:r>
      <w:r>
        <w:rPr>
          <w:rFonts w:hint="eastAsia" w:ascii="仿宋_GB2312" w:hAnsi="仿宋_GB2312" w:eastAsia="仿宋_GB2312"/>
          <w:bCs/>
          <w:sz w:val="32"/>
          <w:szCs w:val="32"/>
        </w:rPr>
        <w:t>部分涉案期间代行统筹财务管理工作，</w:t>
      </w:r>
      <w:r>
        <w:rPr>
          <w:rFonts w:hint="eastAsia" w:ascii="仿宋_GB2312" w:hAnsi="仿宋_GB2312" w:eastAsia="仿宋_GB2312"/>
          <w:bCs/>
          <w:sz w:val="32"/>
          <w:szCs w:val="32"/>
          <w:lang w:eastAsia="zh-CN"/>
        </w:rPr>
        <w:t>同时担任</w:t>
      </w: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中钛科技时任董事，以及</w:t>
      </w:r>
      <w:r>
        <w:rPr>
          <w:rFonts w:hint="eastAsia" w:ascii="仿宋_GB2312" w:hAnsi="仿宋_GB2312" w:eastAsia="仿宋_GB2312" w:cs="Times New Roman"/>
          <w:sz w:val="32"/>
          <w:szCs w:val="32"/>
          <w:lang w:val="en" w:eastAsia="zh-CN"/>
        </w:rPr>
        <w:t>云铜钛业时任董事，</w:t>
      </w:r>
      <w:r>
        <w:rPr>
          <w:rFonts w:hint="eastAsia" w:ascii="仿宋_GB2312" w:hAnsi="仿宋_GB2312" w:eastAsia="仿宋_GB2312" w:cs="Times New Roman"/>
          <w:b w:val="0"/>
          <w:bCs/>
          <w:sz w:val="32"/>
          <w:szCs w:val="32"/>
          <w:lang w:val="en-US" w:eastAsia="zh-CN"/>
        </w:rPr>
        <w:t>未勤勉尽责，是鼎龙文化上述信息披露违法违规的其他直接责任人员。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6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="0" w:beforeLines="0" w:after="0" w:afterLines="0" w:line="336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Times New Roman"/>
          <w:b w:val="0"/>
          <w:bCs/>
          <w:sz w:val="32"/>
          <w:szCs w:val="32"/>
          <w:lang w:val="en-US" w:eastAsia="zh-CN"/>
        </w:rPr>
        <w:t>张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某</w:t>
      </w:r>
      <w:r>
        <w:rPr>
          <w:rFonts w:hint="eastAsia" w:ascii="仿宋_GB2312" w:hAnsi="仿宋_GB2312" w:eastAsia="仿宋_GB2312" w:cs="Times New Roman"/>
          <w:b w:val="0"/>
          <w:bCs/>
          <w:sz w:val="32"/>
          <w:szCs w:val="32"/>
          <w:lang w:val="en-US" w:eastAsia="zh-CN"/>
        </w:rPr>
        <w:t>龙作为中钛科技时任财务总监、鼎龙文化时任投资总监、会计机构负责人，主管中钛科技的会计工作，参与审核涉案钛精矿销售业务文件，是鼎龙文化上述信息披露违法违规的其他直接责任人员</w:t>
      </w:r>
      <w:r>
        <w:rPr>
          <w:rFonts w:hint="eastAsia" w:ascii="仿宋_GB2312" w:hAnsi="仿宋_GB2312" w:eastAsia="仿宋_GB2312" w:cs="Times New Roman"/>
          <w:sz w:val="32"/>
          <w:szCs w:val="32"/>
          <w:highlight w:val="none"/>
          <w:lang w:val="en-US" w:eastAsia="zh-CN"/>
        </w:rPr>
        <w:t>。刘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某</w:t>
      </w:r>
      <w:r>
        <w:rPr>
          <w:rFonts w:hint="eastAsia" w:ascii="仿宋_GB2312" w:hAnsi="仿宋_GB2312" w:eastAsia="仿宋_GB2312" w:cs="Times New Roman"/>
          <w:sz w:val="32"/>
          <w:szCs w:val="32"/>
          <w:highlight w:val="none"/>
          <w:lang w:val="en-US" w:eastAsia="zh-CN"/>
        </w:rPr>
        <w:t>作为寻甸金林时任总经理，负责寻甸金林的日常生产管理，主持寻甸金林钛精矿的生产事宜，签署寻甸金林生产报表等生产相关文件，参与审核涉案钛精矿销售业务文件，是鼎龙文化上述信息披露违法违规的其他直接责任人员。</w:t>
      </w:r>
    </w:p>
    <w:p>
      <w:pPr>
        <w:overflowPunct w:val="0"/>
        <w:adjustRightInd w:val="0"/>
        <w:snapToGrid w:val="0"/>
        <w:spacing w:beforeLines="0" w:afterLines="0" w:line="336" w:lineRule="auto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当事人方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某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坡、刘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某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在其申辩材料中提出：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其一，寻甸金林财务数据错误不属于虚增，而属于会计差错，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相关人员不具有主观故意性。同时，方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某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坡认为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该涉及错误部分的数据较小，与拟认定的数据差异较大。</w:t>
      </w:r>
    </w:p>
    <w:p>
      <w:pPr>
        <w:overflowPunct w:val="0"/>
        <w:adjustRightInd w:val="0"/>
        <w:snapToGrid w:val="0"/>
        <w:spacing w:beforeLines="0" w:afterLines="0" w:line="336" w:lineRule="auto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其二，方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某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坡不负责中钛科技、寻甸金林的财务工作，刘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某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主要负责寻甸金林行政手续办理及生产组织工作，两人未参与任何财务管理工作，已勤勉尽责，且事后积极主动配合整改。</w:t>
      </w:r>
    </w:p>
    <w:p>
      <w:pPr>
        <w:overflowPunct w:val="0"/>
        <w:adjustRightInd w:val="0"/>
        <w:snapToGrid w:val="0"/>
        <w:spacing w:beforeLines="0" w:afterLines="0" w:line="336" w:lineRule="auto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综上，方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某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坡、刘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某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请求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不予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处罚。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Lines="0" w:afterLines="0" w:line="336" w:lineRule="auto"/>
        <w:ind w:firstLine="640" w:firstLineChars="200"/>
        <w:textAlignment w:val="auto"/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我局认为，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第一，鼎龙文化公告、相关财务凭证、自查报告、相关人员询问笔录、情况说明等在案证据，足以证明寻甸金林虚增事实及虚增数据</w:t>
      </w: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Lines="0" w:afterLines="0" w:line="336" w:lineRule="auto"/>
        <w:ind w:firstLine="640" w:firstLineChars="200"/>
        <w:textAlignment w:val="auto"/>
        <w:rPr>
          <w:rFonts w:hint="eastAsia" w:ascii="仿宋_GB2312" w:hAnsi="仿宋_GB2312" w:eastAsia="仿宋_GB2312" w:cs="Times New Roman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第二，方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某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坡作为鼎龙文化时任董事以及中钛科技董事长，同时担任下游终端客户龙腾钛业时任董事长、云铜钛业时任董事长，最终审批涉案钛精矿销售业务文件，未勤勉尽责，签字确认保证2021年年度报告、2022年半年度报告真实、准确、完整。</w:t>
      </w:r>
      <w:r>
        <w:rPr>
          <w:rFonts w:hint="eastAsia" w:ascii="仿宋_GB2312" w:hAnsi="仿宋_GB2312" w:eastAsia="仿宋_GB2312" w:cs="Times New Roman"/>
          <w:b w:val="0"/>
          <w:bCs/>
          <w:sz w:val="32"/>
          <w:szCs w:val="32"/>
          <w:lang w:val="en-US" w:eastAsia="zh-CN"/>
        </w:rPr>
        <w:t>其提出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财务工作不归其负责</w:t>
      </w:r>
      <w:r>
        <w:rPr>
          <w:rFonts w:hint="eastAsia" w:ascii="仿宋_GB2312" w:hAnsi="仿宋_GB2312" w:eastAsia="仿宋_GB2312" w:cs="Times New Roman"/>
          <w:b w:val="0"/>
          <w:bCs/>
          <w:sz w:val="32"/>
          <w:szCs w:val="32"/>
          <w:lang w:val="en-US" w:eastAsia="zh-CN"/>
        </w:rPr>
        <w:t>等情形，不足以构成免责理由。对其量罚已充分考虑了其积极主动配合整改等情况，量罚适当。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Lines="0" w:afterLines="0" w:line="336" w:lineRule="auto"/>
        <w:ind w:firstLine="0" w:firstLineChars="0"/>
        <w:textAlignment w:val="auto"/>
        <w:rPr>
          <w:rFonts w:hint="eastAsia" w:ascii="仿宋_GB2312" w:hAnsi="仿宋_GB2312" w:eastAsia="仿宋_GB2312" w:cs="Times New Roman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第三，</w:t>
      </w:r>
      <w:r>
        <w:rPr>
          <w:rFonts w:hint="eastAsia" w:ascii="仿宋_GB2312" w:hAnsi="仿宋_GB2312" w:eastAsia="仿宋_GB2312" w:cs="Times New Roman"/>
          <w:sz w:val="32"/>
          <w:szCs w:val="32"/>
          <w:highlight w:val="none"/>
          <w:lang w:val="en-US" w:eastAsia="zh-CN"/>
        </w:rPr>
        <w:t>刘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某</w:t>
      </w:r>
      <w:r>
        <w:rPr>
          <w:rFonts w:hint="eastAsia" w:ascii="仿宋_GB2312" w:hAnsi="仿宋_GB2312" w:eastAsia="仿宋_GB2312" w:cs="Times New Roman"/>
          <w:sz w:val="32"/>
          <w:szCs w:val="32"/>
          <w:highlight w:val="none"/>
          <w:lang w:val="en-US" w:eastAsia="zh-CN"/>
        </w:rPr>
        <w:t>作为寻甸金林时任总经理，负责寻甸金林的日常生产管理，主持寻甸金林钛精矿的生产事宜，签署寻甸金林生产报表等生产相关文件，参与审核涉案钛精矿销售业务文件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Times New Roman"/>
          <w:b w:val="0"/>
          <w:bCs/>
          <w:sz w:val="32"/>
          <w:szCs w:val="32"/>
          <w:lang w:val="en-US" w:eastAsia="zh-CN"/>
        </w:rPr>
        <w:t>其行为与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鼎龙文化2021年年度报告、2022年半年度报告存在虚假记载</w:t>
      </w:r>
      <w:r>
        <w:rPr>
          <w:rFonts w:hint="eastAsia" w:ascii="仿宋_GB2312" w:hAnsi="仿宋_GB2312" w:eastAsia="仿宋_GB2312" w:cs="Times New Roman"/>
          <w:b w:val="0"/>
          <w:bCs/>
          <w:sz w:val="32"/>
          <w:szCs w:val="32"/>
          <w:lang w:val="en-US" w:eastAsia="zh-CN"/>
        </w:rPr>
        <w:t>具有直接因果关系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。</w:t>
      </w:r>
      <w:r>
        <w:rPr>
          <w:rFonts w:hint="eastAsia" w:ascii="仿宋_GB2312" w:hAnsi="仿宋_GB2312" w:eastAsia="仿宋_GB2312" w:cs="Times New Roman"/>
          <w:b w:val="0"/>
          <w:bCs/>
          <w:sz w:val="32"/>
          <w:szCs w:val="32"/>
          <w:lang w:val="en-US" w:eastAsia="zh-CN"/>
        </w:rPr>
        <w:t>其提出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未参与财务管理工作</w:t>
      </w:r>
      <w:r>
        <w:rPr>
          <w:rFonts w:hint="eastAsia" w:ascii="仿宋_GB2312" w:hAnsi="仿宋_GB2312" w:eastAsia="仿宋_GB2312" w:cs="Times New Roman"/>
          <w:b w:val="0"/>
          <w:bCs/>
          <w:sz w:val="32"/>
          <w:szCs w:val="32"/>
          <w:lang w:val="en-US" w:eastAsia="zh-CN"/>
        </w:rPr>
        <w:t>等情形，不足以构成免责理由。对其量罚已充分考虑了其积极主动配合整改等情况，量罚适当。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beforeLines="0" w:afterLines="0" w:line="336" w:lineRule="auto"/>
        <w:ind w:firstLine="640" w:firstLineChars="200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综上，我局对方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某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坡、刘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某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的陈述申辩意见不予采纳。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beforeLines="0" w:afterLines="0" w:line="336" w:lineRule="auto"/>
        <w:ind w:firstLine="640" w:firstLineChars="200"/>
        <w:textAlignment w:val="auto"/>
        <w:rPr>
          <w:rFonts w:hint="eastAsia" w:ascii="仿宋_GB2312" w:hAnsi="仿宋_GB2312" w:eastAsia="仿宋_GB2312" w:cs="Times New Roman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/>
          <w:sz w:val="32"/>
          <w:szCs w:val="32"/>
        </w:rPr>
        <w:t>综合考虑本案违法行为持续时间、当事人积极配合调查及提供材料、公司已追溯调整相关财务数据</w:t>
      </w:r>
      <w:r>
        <w:rPr>
          <w:rFonts w:hint="eastAsia" w:ascii="仿宋_GB2312" w:hAnsi="仿宋_GB2312" w:eastAsia="仿宋_GB2312" w:cs="Times New Roman"/>
          <w:spacing w:val="0"/>
          <w:sz w:val="32"/>
          <w:szCs w:val="32"/>
          <w:lang w:val="en-US" w:eastAsia="zh-CN"/>
        </w:rPr>
        <w:t>等情况，根据当事人违法行为的事实、性质、情节及社会危害程度，</w:t>
      </w:r>
      <w:r>
        <w:rPr>
          <w:rFonts w:hint="default" w:ascii="仿宋_GB2312" w:hAnsi="仿宋_GB2312" w:eastAsia="仿宋_GB2312" w:cs="Times New Roman"/>
          <w:spacing w:val="0"/>
          <w:sz w:val="32"/>
          <w:szCs w:val="32"/>
          <w:lang w:val="en-US" w:eastAsia="zh-CN"/>
        </w:rPr>
        <w:t>依据《证券法》第一百九十七条</w:t>
      </w:r>
      <w:r>
        <w:rPr>
          <w:rFonts w:hint="eastAsia" w:ascii="仿宋_GB2312" w:hAnsi="仿宋_GB2312" w:eastAsia="仿宋_GB2312" w:cs="Times New Roman"/>
          <w:spacing w:val="0"/>
          <w:sz w:val="32"/>
          <w:szCs w:val="32"/>
          <w:lang w:val="en-US" w:eastAsia="zh-CN"/>
        </w:rPr>
        <w:t>第二款</w:t>
      </w:r>
      <w:r>
        <w:rPr>
          <w:rFonts w:hint="default" w:ascii="仿宋_GB2312" w:hAnsi="仿宋_GB2312" w:eastAsia="仿宋_GB2312" w:cs="Times New Roman"/>
          <w:spacing w:val="0"/>
          <w:sz w:val="32"/>
          <w:szCs w:val="32"/>
          <w:lang w:val="en-US" w:eastAsia="zh-CN"/>
        </w:rPr>
        <w:t>的规定，</w:t>
      </w:r>
      <w:r>
        <w:rPr>
          <w:rFonts w:hint="eastAsia" w:ascii="仿宋_GB2312" w:hAnsi="仿宋_GB2312" w:eastAsia="仿宋_GB2312" w:cs="Times New Roman"/>
          <w:spacing w:val="0"/>
          <w:sz w:val="32"/>
          <w:szCs w:val="32"/>
          <w:lang w:val="en-US" w:eastAsia="zh-CN"/>
        </w:rPr>
        <w:t>我局决定：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 w:val="0"/>
        <w:spacing w:beforeLines="0" w:afterLines="0" w:line="336" w:lineRule="auto"/>
        <w:ind w:firstLine="640" w:firstLineChars="200"/>
        <w:jc w:val="both"/>
        <w:textAlignment w:val="auto"/>
        <w:outlineLvl w:val="0"/>
        <w:rPr>
          <w:rFonts w:hint="eastAsia" w:ascii="仿宋_GB2312" w:hAnsi="仿宋_GB2312" w:eastAsia="仿宋_GB2312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/>
          <w:spacing w:val="0"/>
          <w:sz w:val="32"/>
          <w:szCs w:val="32"/>
          <w:lang w:val="en-US" w:eastAsia="zh-CN"/>
        </w:rPr>
        <w:t>一、对鼎龙文化股份有限公司给予警告，并处以</w:t>
      </w:r>
      <w:r>
        <w:rPr>
          <w:rFonts w:hint="default" w:ascii="仿宋_GB2312" w:hAnsi="仿宋_GB2312" w:eastAsia="仿宋_GB2312"/>
          <w:spacing w:val="0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/>
          <w:spacing w:val="0"/>
          <w:sz w:val="32"/>
          <w:szCs w:val="32"/>
          <w:lang w:val="en-US" w:eastAsia="zh-CN"/>
        </w:rPr>
        <w:t>00万元罚款；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 w:val="0"/>
        <w:spacing w:beforeLines="0" w:afterLines="0" w:line="336" w:lineRule="auto"/>
        <w:ind w:firstLine="640" w:firstLineChars="200"/>
        <w:jc w:val="both"/>
        <w:textAlignment w:val="auto"/>
        <w:outlineLvl w:val="0"/>
        <w:rPr>
          <w:rFonts w:hint="eastAsia" w:ascii="仿宋_GB2312" w:hAnsi="仿宋_GB2312" w:eastAsia="仿宋_GB2312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/>
          <w:spacing w:val="0"/>
          <w:sz w:val="32"/>
          <w:szCs w:val="32"/>
          <w:lang w:val="en-US" w:eastAsia="zh-CN"/>
        </w:rPr>
        <w:t>二、对龙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某</w:t>
      </w:r>
      <w:r>
        <w:rPr>
          <w:rFonts w:hint="eastAsia" w:ascii="仿宋_GB2312" w:hAnsi="仿宋_GB2312" w:eastAsia="仿宋_GB2312"/>
          <w:spacing w:val="0"/>
          <w:sz w:val="32"/>
          <w:szCs w:val="32"/>
          <w:lang w:val="en-US" w:eastAsia="zh-CN"/>
        </w:rPr>
        <w:t>勤、方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某</w:t>
      </w:r>
      <w:r>
        <w:rPr>
          <w:rFonts w:hint="eastAsia" w:ascii="仿宋_GB2312" w:hAnsi="仿宋_GB2312" w:eastAsia="仿宋_GB2312"/>
          <w:spacing w:val="0"/>
          <w:sz w:val="32"/>
          <w:szCs w:val="32"/>
          <w:lang w:val="en-US" w:eastAsia="zh-CN"/>
        </w:rPr>
        <w:t>坡给予警告，并分别处以150万元罚款；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 w:val="0"/>
        <w:spacing w:beforeLines="0" w:afterLines="0" w:line="336" w:lineRule="auto"/>
        <w:ind w:firstLine="640" w:firstLineChars="200"/>
        <w:jc w:val="both"/>
        <w:textAlignment w:val="auto"/>
        <w:outlineLvl w:val="0"/>
        <w:rPr>
          <w:rFonts w:hint="default" w:ascii="仿宋_GB2312" w:hAnsi="仿宋_GB2312" w:eastAsia="仿宋_GB2312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/>
          <w:spacing w:val="0"/>
          <w:sz w:val="32"/>
          <w:szCs w:val="32"/>
          <w:lang w:val="en-US" w:eastAsia="zh-CN"/>
        </w:rPr>
        <w:t>三、对</w:t>
      </w: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王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某</w:t>
      </w: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平</w:t>
      </w:r>
      <w:r>
        <w:rPr>
          <w:rFonts w:hint="eastAsia" w:ascii="仿宋_GB2312" w:hAnsi="仿宋_GB2312" w:eastAsia="仿宋_GB2312"/>
          <w:spacing w:val="0"/>
          <w:sz w:val="32"/>
          <w:szCs w:val="32"/>
          <w:lang w:val="en-US" w:eastAsia="zh-CN"/>
        </w:rPr>
        <w:t>给予警告</w:t>
      </w:r>
      <w:r>
        <w:rPr>
          <w:rFonts w:hint="default" w:ascii="仿宋_GB2312" w:hAnsi="仿宋_GB2312" w:eastAsia="仿宋_GB2312"/>
          <w:spacing w:val="0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/>
          <w:spacing w:val="0"/>
          <w:sz w:val="32"/>
          <w:szCs w:val="32"/>
          <w:highlight w:val="none"/>
          <w:lang w:val="en-US" w:eastAsia="zh-CN"/>
        </w:rPr>
        <w:t>并处以</w:t>
      </w:r>
      <w:r>
        <w:rPr>
          <w:rFonts w:hint="default" w:ascii="仿宋_GB2312" w:hAnsi="仿宋_GB2312" w:eastAsia="仿宋_GB2312"/>
          <w:spacing w:val="0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仿宋_GB2312" w:hAnsi="仿宋_GB2312" w:eastAsia="仿宋_GB2312"/>
          <w:spacing w:val="0"/>
          <w:sz w:val="32"/>
          <w:szCs w:val="32"/>
          <w:highlight w:val="none"/>
          <w:lang w:val="en-US" w:eastAsia="zh-CN"/>
        </w:rPr>
        <w:t>0万元罚款</w:t>
      </w:r>
      <w:r>
        <w:rPr>
          <w:rFonts w:hint="default" w:ascii="仿宋_GB2312" w:hAnsi="仿宋_GB2312" w:eastAsia="仿宋_GB2312"/>
          <w:spacing w:val="0"/>
          <w:sz w:val="32"/>
          <w:szCs w:val="32"/>
          <w:highlight w:val="none"/>
          <w:lang w:val="en-US" w:eastAsia="zh-CN"/>
        </w:rPr>
        <w:t>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 w:val="0"/>
        <w:spacing w:beforeLines="0" w:afterLines="0" w:line="336" w:lineRule="auto"/>
        <w:ind w:firstLine="640" w:firstLineChars="200"/>
        <w:jc w:val="both"/>
        <w:textAlignment w:val="auto"/>
        <w:outlineLvl w:val="0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/>
          <w:spacing w:val="0"/>
          <w:sz w:val="32"/>
          <w:szCs w:val="32"/>
          <w:lang w:val="en-US" w:eastAsia="zh-CN"/>
        </w:rPr>
        <w:t>四、对</w:t>
      </w:r>
      <w:r>
        <w:rPr>
          <w:rFonts w:hint="eastAsia" w:ascii="仿宋_GB2312" w:hAnsi="仿宋_GB2312" w:eastAsia="仿宋_GB2312"/>
          <w:spacing w:val="0"/>
          <w:sz w:val="32"/>
          <w:szCs w:val="32"/>
          <w:highlight w:val="none"/>
          <w:lang w:val="en-US" w:eastAsia="zh-CN"/>
        </w:rPr>
        <w:t>张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某</w:t>
      </w:r>
      <w:r>
        <w:rPr>
          <w:rFonts w:hint="eastAsia" w:ascii="仿宋_GB2312" w:hAnsi="仿宋_GB2312" w:eastAsia="仿宋_GB2312"/>
          <w:spacing w:val="0"/>
          <w:sz w:val="32"/>
          <w:szCs w:val="32"/>
          <w:highlight w:val="none"/>
          <w:lang w:val="en-US" w:eastAsia="zh-CN"/>
        </w:rPr>
        <w:t>龙、刘</w:t>
      </w: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某</w:t>
      </w:r>
      <w:r>
        <w:rPr>
          <w:rFonts w:hint="eastAsia" w:ascii="仿宋_GB2312" w:hAnsi="仿宋_GB2312" w:eastAsia="仿宋_GB2312"/>
          <w:spacing w:val="0"/>
          <w:sz w:val="32"/>
          <w:szCs w:val="32"/>
          <w:highlight w:val="none"/>
          <w:lang w:val="en-US" w:eastAsia="zh-CN"/>
        </w:rPr>
        <w:t>给予警告，并分别处以60万元罚款</w:t>
      </w:r>
      <w:r>
        <w:rPr>
          <w:rFonts w:hint="eastAsia" w:ascii="仿宋_GB2312" w:hAnsi="仿宋_GB2312" w:eastAsia="仿宋_GB2312"/>
          <w:spacing w:val="0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Lines="0" w:afterLines="0"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当事人应自收到本处罚决定书之日起15日内，将罚款汇交中国证券监督管理委员会，开户银行：中信银行北京分行营业部，账号7111010189800000162，由该行直接上缴国库，并将注有当事人名称的付款凭证复印件送我局备案。当事人如果对本处罚决定不服，可在收到本处罚决定书之日起60日内向中国证券监督管理委员会申请行政复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行政复议申请可以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通过邮政快递寄送至中国证券监督管理委员会法治司）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，也可在收到本处罚决定书之日起6个月内直接向有管辖权的人民法院提起行政诉讼。复议和诉讼期间，上述决定不停止执行。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 w:val="0"/>
        <w:snapToGrid w:val="0"/>
        <w:spacing w:line="324" w:lineRule="auto"/>
        <w:jc w:val="left"/>
        <w:textAlignment w:val="auto"/>
        <w:rPr>
          <w:rFonts w:ascii="宋体" w:hAnsi="宋体" w:cs="宋体"/>
          <w:color w:val="00000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 w:val="0"/>
        <w:snapToGrid w:val="0"/>
        <w:spacing w:line="324" w:lineRule="auto"/>
        <w:jc w:val="left"/>
        <w:textAlignment w:val="auto"/>
        <w:rPr>
          <w:rFonts w:ascii="宋体" w:hAnsi="宋体" w:cs="宋体"/>
          <w:color w:val="00000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 w:val="0"/>
        <w:snapToGrid w:val="0"/>
        <w:spacing w:line="324" w:lineRule="auto"/>
        <w:jc w:val="left"/>
        <w:textAlignment w:val="auto"/>
        <w:rPr>
          <w:rFonts w:ascii="宋体" w:hAnsi="宋体" w:cs="宋体"/>
          <w:color w:val="000000"/>
          <w:sz w:val="28"/>
          <w:szCs w:val="28"/>
        </w:rPr>
      </w:pPr>
    </w:p>
    <w:p>
      <w:pPr>
        <w:adjustRightInd w:val="0"/>
        <w:snapToGrid w:val="0"/>
        <w:spacing w:line="360" w:lineRule="auto"/>
        <w:ind w:right="1705"/>
        <w:jc w:val="right"/>
        <w:rPr>
          <w:rFonts w:hint="eastAsia" w:ascii="仿宋_GB2312" w:hAnsi="Times New Roman" w:eastAsia="仿宋_GB2312" w:cs="Times New Roman"/>
          <w:color w:val="000000"/>
          <w:sz w:val="32"/>
        </w:rPr>
      </w:pPr>
      <w:r>
        <w:rPr>
          <w:rFonts w:hint="eastAsia" w:ascii="仿宋_GB2312" w:hAnsi="Times New Roman" w:eastAsia="仿宋_GB2312" w:cs="Times New Roman"/>
          <w:color w:val="000000"/>
          <w:sz w:val="32"/>
        </w:rPr>
        <w:t>广东证监局</w:t>
      </w:r>
    </w:p>
    <w:p>
      <w:pPr>
        <w:widowControl/>
        <w:numPr>
          <w:ilvl w:val="0"/>
          <w:numId w:val="0"/>
        </w:numPr>
        <w:pBdr>
          <w:top w:val="none" w:color="auto" w:sz="0" w:space="0"/>
          <w:bottom w:val="none" w:color="auto" w:sz="0" w:space="0"/>
        </w:pBdr>
        <w:adjustRightInd w:val="0"/>
        <w:snapToGrid w:val="0"/>
        <w:spacing w:beforeLines="0" w:afterLines="0" w:line="360" w:lineRule="auto"/>
        <w:ind w:right="0" w:firstLine="0"/>
        <w:jc w:val="center"/>
        <w:outlineLvl w:val="9"/>
        <w:rPr>
          <w:rFonts w:hint="eastAsia" w:ascii="仿宋_GB2312" w:hAnsi="Calibri" w:eastAsia="仿宋_GB2312"/>
          <w:spacing w:val="8"/>
          <w:sz w:val="32"/>
          <w:szCs w:val="32"/>
          <w:lang w:bidi="ar-SA"/>
        </w:rPr>
      </w:pPr>
      <w:r>
        <w:rPr>
          <w:rFonts w:hint="eastAsia" w:ascii="仿宋_GB2312" w:hAnsi="Times New Roman" w:eastAsia="仿宋_GB2312" w:cs="Times New Roman"/>
          <w:color w:val="000000"/>
          <w:spacing w:val="10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Times New Roman" w:eastAsia="仿宋_GB2312" w:cs="Times New Roman"/>
          <w:color w:val="000000"/>
          <w:spacing w:val="10"/>
          <w:sz w:val="32"/>
          <w:szCs w:val="32"/>
          <w:lang w:val="en-US" w:eastAsia="zh-CN"/>
        </w:rPr>
        <w:t xml:space="preserve">         </w:t>
      </w:r>
      <w:r>
        <w:rPr>
          <w:rFonts w:hint="default" w:ascii="仿宋_GB2312" w:hAnsi="Times New Roman" w:eastAsia="仿宋_GB2312" w:cs="Times New Roman"/>
          <w:color w:val="000000"/>
          <w:spacing w:val="10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Times New Roman" w:eastAsia="仿宋_GB2312" w:cs="Times New Roman"/>
          <w:color w:val="000000"/>
          <w:spacing w:val="10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Times New Roman" w:eastAsia="仿宋_GB2312" w:cs="Times New Roman"/>
          <w:color w:val="000000"/>
          <w:spacing w:val="10"/>
          <w:sz w:val="32"/>
          <w:szCs w:val="32"/>
          <w:lang w:eastAsia="zh-CN"/>
        </w:rPr>
        <w:t>2</w:t>
      </w:r>
      <w:r>
        <w:rPr>
          <w:rFonts w:hint="eastAsia" w:ascii="仿宋_GB2312" w:hAnsi="Times New Roman" w:eastAsia="仿宋_GB2312" w:cs="Times New Roman"/>
          <w:color w:val="000000"/>
          <w:spacing w:val="10"/>
          <w:sz w:val="32"/>
          <w:szCs w:val="32"/>
          <w:lang w:val="en-US" w:eastAsia="zh-CN"/>
        </w:rPr>
        <w:t>024</w:t>
      </w:r>
      <w:r>
        <w:rPr>
          <w:rFonts w:hint="eastAsia" w:ascii="仿宋_GB2312" w:hAnsi="Times New Roman" w:eastAsia="仿宋_GB2312" w:cs="Times New Roman"/>
          <w:color w:val="000000"/>
          <w:spacing w:val="10"/>
          <w:sz w:val="32"/>
          <w:szCs w:val="32"/>
        </w:rPr>
        <w:t>年</w:t>
      </w:r>
      <w:r>
        <w:rPr>
          <w:rFonts w:hint="default" w:ascii="仿宋_GB2312" w:eastAsia="仿宋_GB2312" w:cs="Times New Roman"/>
          <w:color w:val="000000"/>
          <w:spacing w:val="10"/>
          <w:sz w:val="32"/>
          <w:szCs w:val="32"/>
          <w:lang w:val="en-US" w:eastAsia="zh-CN"/>
        </w:rPr>
        <w:t>9</w:t>
      </w:r>
      <w:r>
        <w:rPr>
          <w:rFonts w:hint="eastAsia" w:ascii="仿宋_GB2312" w:hAnsi="Times New Roman" w:eastAsia="仿宋_GB2312" w:cs="Times New Roman"/>
          <w:color w:val="000000"/>
          <w:spacing w:val="10"/>
          <w:sz w:val="32"/>
          <w:szCs w:val="32"/>
        </w:rPr>
        <w:t>月</w:t>
      </w:r>
      <w:r>
        <w:rPr>
          <w:rFonts w:hint="default" w:ascii="仿宋_GB2312" w:hAnsi="Times New Roman" w:eastAsia="仿宋_GB2312" w:cs="Times New Roman"/>
          <w:color w:val="000000"/>
          <w:spacing w:val="10"/>
          <w:sz w:val="32"/>
          <w:szCs w:val="32"/>
          <w:lang w:val="en-US" w:eastAsia="zh-CN"/>
        </w:rPr>
        <w:t>4</w:t>
      </w:r>
      <w:r>
        <w:rPr>
          <w:rFonts w:hint="eastAsia" w:ascii="仿宋_GB2312" w:hAnsi="Times New Roman" w:eastAsia="仿宋_GB2312" w:cs="Times New Roman"/>
          <w:color w:val="000000"/>
          <w:spacing w:val="10"/>
          <w:sz w:val="32"/>
          <w:szCs w:val="32"/>
        </w:rPr>
        <w:t>日</w:t>
      </w:r>
    </w:p>
    <w:p>
      <w:pPr>
        <w:snapToGrid w:val="0"/>
        <w:spacing w:line="360" w:lineRule="auto"/>
        <w:ind w:right="28"/>
        <w:jc w:val="left"/>
        <w:rPr>
          <w:rFonts w:hint="eastAsia" w:ascii="黑体" w:eastAsia="黑体" w:cs="Times New Roman"/>
          <w:spacing w:val="8"/>
          <w:sz w:val="32"/>
        </w:rPr>
      </w:pPr>
    </w:p>
    <w:p>
      <w:pPr>
        <w:snapToGrid w:val="0"/>
        <w:spacing w:line="360" w:lineRule="auto"/>
        <w:ind w:right="28"/>
        <w:jc w:val="left"/>
        <w:rPr>
          <w:rFonts w:hint="eastAsia" w:ascii="黑体" w:eastAsia="黑体" w:cs="Times New Roman"/>
          <w:spacing w:val="8"/>
          <w:sz w:val="32"/>
        </w:rPr>
      </w:pPr>
    </w:p>
    <w:p>
      <w:pPr>
        <w:snapToGrid w:val="0"/>
        <w:spacing w:line="360" w:lineRule="auto"/>
        <w:ind w:right="28"/>
        <w:jc w:val="left"/>
        <w:rPr>
          <w:rFonts w:hint="eastAsia" w:ascii="黑体" w:eastAsia="黑体" w:cs="Times New Roman"/>
          <w:spacing w:val="8"/>
          <w:sz w:val="32"/>
        </w:rPr>
      </w:pPr>
    </w:p>
    <w:bookmarkEnd w:id="0"/>
    <w:p>
      <w:pPr>
        <w:snapToGrid w:val="0"/>
        <w:spacing w:beforeLines="0" w:afterLines="0"/>
        <w:rPr>
          <w:sz w:val="2"/>
          <w:szCs w:val="2"/>
        </w:rPr>
      </w:pPr>
      <w:bookmarkStart w:id="1" w:name="_GoBack"/>
      <w:bookmarkEnd w:id="1"/>
    </w:p>
    <w:sectPr>
      <w:headerReference r:id="rId3" w:type="default"/>
      <w:footerReference r:id="rId4" w:type="default"/>
      <w:pgSz w:w="11906" w:h="16838"/>
      <w:pgMar w:top="2097" w:right="1474" w:bottom="1984" w:left="1587" w:header="851" w:footer="1587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3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长城仿宋">
    <w:altName w:val="宋体"/>
    <w:panose1 w:val="02010609000101010101"/>
    <w:charset w:val="00"/>
    <w:family w:val="modern"/>
    <w:pitch w:val="default"/>
    <w:sig w:usb0="00000000" w:usb1="00000000" w:usb2="0000001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Wingdings 3">
    <w:panose1 w:val="050401020108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kgka0MQIAAGE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KLnE4pMUyj4Jfv3y4/fl1+fiXTJE/twhxRO4e42Ly1DZpmOA84TKyb0uv0BR8CP8Q9&#10;X8UVTSQ8XZpNZ7MxXBy+YQP87PG68yG+E1aTZOTUo3qtqOy0DbELHUJSNmM3Uqm2gsqQOqc3r9+M&#10;2wtXD8CVQY5EontssmKzb3pme1ucQczbrjOC4xuJ5FsW4gPzaAU8GMMS77GUyiKJ7S1KKuu//Os8&#10;xaNC8FJSo7VyajBJlKj3BpUDYBwMPxj7wTBHfWfRqxMMoeOtiQs+qsEsvdWfMUGrlAMuZjgy5TQO&#10;5l3s2hsTyMVq1QYdnZeHqruAvnMsbs3O8ZQmCRnc6hghZqtxEqhTpdcNnddWqZ+S1Np/7tuoxz/D&#10;8j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BQAAAAIAIdO4kCKFGY80QAAAJQBAAALAAAAAAAA&#10;AAEAIAAAALYDAABfcmVscy8ucmVsc1BLAQIUABQAAAAIAIdO4kCzSVju0AAAAAUBAAAPAAAAAAAA&#10;AAEAIAAAADgAAABkcnMvZG93bnJldi54bWxQSwECFAAUAAAACACHTuJAJIJGtDECAABhBAAADgAA&#10;AAAAAAABACAAAAA1AQAAZHJzL2Uyb0RvYy54bWxQSwECFAAKAAAAAACHTuJAAAAAAAAAAAAAAAAA&#10;BAAAAAAAAAAAABAAAAAWAAAAZHJzL1BLAQIUAAoAAAAAAIdO4kAAAAAAAAAAAAAAAAAGAAAAAAAA&#10;AAAAEAAAAJIDAABfcmVscy9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EFB8E7"/>
    <w:rsid w:val="3E9D4D08"/>
    <w:rsid w:val="43BB5316"/>
    <w:rsid w:val="4EFB5FC5"/>
    <w:rsid w:val="596E9A20"/>
    <w:rsid w:val="5BEE57CA"/>
    <w:rsid w:val="5D79F7CF"/>
    <w:rsid w:val="5FF734D9"/>
    <w:rsid w:val="66A1402E"/>
    <w:rsid w:val="6D6FD97F"/>
    <w:rsid w:val="6FCF55F7"/>
    <w:rsid w:val="757FC272"/>
    <w:rsid w:val="77EFB8E7"/>
    <w:rsid w:val="7DFF75C1"/>
    <w:rsid w:val="AF3F34AF"/>
    <w:rsid w:val="BFF79A63"/>
    <w:rsid w:val="CAFFF431"/>
    <w:rsid w:val="D79B0538"/>
    <w:rsid w:val="D7AF776D"/>
    <w:rsid w:val="DDDF986C"/>
    <w:rsid w:val="DFF6F6E7"/>
    <w:rsid w:val="EFF1AE99"/>
    <w:rsid w:val="F79E5E29"/>
    <w:rsid w:val="F9BDA9E1"/>
    <w:rsid w:val="FBFF3CA4"/>
    <w:rsid w:val="FFBDE125"/>
    <w:rsid w:val="FFEA6121"/>
    <w:rsid w:val="FFEF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next w:val="1"/>
    <w:qFormat/>
    <w:uiPriority w:val="0"/>
    <w:pPr>
      <w:widowControl w:val="0"/>
      <w:spacing w:line="240" w:lineRule="auto"/>
      <w:ind w:firstLine="420"/>
      <w:jc w:val="both"/>
      <w:textAlignment w:val="baseline"/>
    </w:pPr>
    <w:rPr>
      <w:rFonts w:ascii="宋体" w:hAnsi="Calibri" w:eastAsia="宋体" w:cs="Times New Roman"/>
      <w:kern w:val="0"/>
      <w:sz w:val="21"/>
      <w:szCs w:val="24"/>
      <w:lang w:val="en-US" w:eastAsia="zh-CN" w:bidi="ar-SA"/>
    </w:rPr>
  </w:style>
  <w:style w:type="paragraph" w:styleId="3">
    <w:name w:val="Body Text"/>
    <w:basedOn w:val="1"/>
    <w:next w:val="1"/>
    <w:qFormat/>
    <w:uiPriority w:val="0"/>
    <w:pPr>
      <w:spacing w:line="360" w:lineRule="auto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8">
    <w:name w:val="page number"/>
    <w:basedOn w:val="7"/>
    <w:qFormat/>
    <w:uiPriority w:val="0"/>
  </w:style>
  <w:style w:type="paragraph" w:customStyle="1" w:styleId="9">
    <w:name w:val="Char Char Char Char Char Char Char Char Char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2024-08-30T10:05:00Z</dcterms:created>
  <dc:creator>赖雄：其他人员改稿</dc:creator>
  <cp:lastModifiedBy>赖雄</cp:lastModifiedBy>
  <cp:lastPrinted>2024-09-06T15:35:00Z</cp:lastPrinted>
  <dcterms:modified xsi:type="dcterms:W3CDTF">2024-09-09T15:49:45Z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2052-11.8.2.11764</vt:lpwstr>
  </property>
  <property fmtid="{D5CDD505-2E9C-101B-9397-08002B2CF9AE}" pid="3" name="ICV">
    <vt:lpwstr>4EF917A10489BCA1F4A5DE669F1835D3</vt:lpwstr>
  </property>
</Properties>
</file>