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240" w:line="300" w:lineRule="auto"/>
        <w:jc w:val="center"/>
        <w:rPr>
          <w:rFonts w:hint="eastAsia" w:ascii="方正小标宋简体" w:hAnsi="方正小标宋简体" w:eastAsia="方正小标宋简体"/>
          <w:color w:val="FF0000"/>
          <w:spacing w:val="12"/>
          <w:w w:val="75"/>
          <w:sz w:val="60"/>
        </w:rPr>
      </w:pPr>
      <w:bookmarkStart w:id="0" w:name="quanwen"/>
      <w:r>
        <w:rPr>
          <w:rFonts w:hint="eastAsia" w:ascii="方正小标宋简体" w:hAnsi="方正小标宋简体" w:eastAsia="方正小标宋简体"/>
          <w:color w:val="FF0000"/>
          <w:w w:val="75"/>
          <w:sz w:val="60"/>
        </w:rPr>
        <w:t>中国证券监督管理委员会广东监管局</w:t>
      </w:r>
    </w:p>
    <w:p>
      <w:pPr>
        <w:snapToGrid w:val="0"/>
        <w:spacing w:line="300" w:lineRule="auto"/>
        <w:ind w:right="-194"/>
        <w:jc w:val="center"/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</w:pPr>
      <w:r>
        <w:rPr>
          <w:rFonts w:hint="eastAsia" w:ascii="方正小标宋简体" w:hAnsi="方正小标宋简体" w:eastAsia="方正小标宋简体"/>
          <w:snapToGrid w:val="0"/>
          <w:color w:val="FF0000"/>
          <w:spacing w:val="136"/>
          <w:kern w:val="0"/>
          <w:sz w:val="80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00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16"/>
          <w:szCs w:val="16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napToGrid w:val="0"/>
        <w:spacing w:before="0" w:beforeLines="0" w:after="0" w:afterLines="0" w:line="324" w:lineRule="auto"/>
        <w:ind w:left="0" w:leftChars="0" w:right="0" w:rightChars="0"/>
        <w:jc w:val="center"/>
        <w:textAlignment w:val="auto"/>
        <w:outlineLvl w:val="9"/>
        <w:rPr>
          <w:rFonts w:hint="eastAsia" w:ascii="仿宋_GB2312" w:eastAsia="仿宋_GB2312"/>
          <w:spacing w:val="12"/>
          <w:sz w:val="28"/>
        </w:rPr>
      </w:pPr>
      <w:r>
        <w:rPr>
          <w:rFonts w:hint="eastAsia" w:ascii="仿宋_GB2312" w:eastAsia="仿宋_GB2312"/>
          <w:spacing w:val="12"/>
          <w:sz w:val="28"/>
        </w:rPr>
        <w:t>〔20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23</w:t>
      </w:r>
      <w:r>
        <w:rPr>
          <w:rFonts w:hint="eastAsia" w:ascii="仿宋_GB2312" w:eastAsia="仿宋_GB2312"/>
          <w:spacing w:val="12"/>
          <w:sz w:val="28"/>
        </w:rPr>
        <w:t>〕</w:t>
      </w:r>
      <w:r>
        <w:rPr>
          <w:rFonts w:hint="eastAsia" w:ascii="仿宋_GB2312" w:eastAsia="仿宋_GB2312"/>
          <w:spacing w:val="12"/>
          <w:sz w:val="28"/>
          <w:lang w:val="en-US" w:eastAsia="zh-CN"/>
        </w:rPr>
        <w:t>41</w:t>
      </w:r>
      <w:r>
        <w:rPr>
          <w:rFonts w:hint="eastAsia" w:ascii="仿宋_GB2312" w:eastAsia="仿宋_GB2312"/>
          <w:spacing w:val="12"/>
          <w:sz w:val="28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432" w:firstLineChars="200"/>
        <w:textAlignment w:val="auto"/>
        <w:outlineLvl w:val="9"/>
        <w:rPr>
          <w:rFonts w:hint="eastAsia" w:ascii="仿宋_GB2312" w:eastAsia="仿宋_GB2312"/>
          <w:spacing w:val="8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Lines="0" w:after="0" w:afterLines="0" w:line="324" w:lineRule="auto"/>
        <w:ind w:left="0" w:leftChars="0" w:right="0" w:rightChars="0" w:firstLine="432" w:firstLineChars="200"/>
        <w:textAlignment w:val="auto"/>
        <w:outlineLvl w:val="9"/>
        <w:rPr>
          <w:rFonts w:hint="eastAsia" w:ascii="仿宋_GB2312" w:eastAsia="仿宋_GB2312"/>
          <w:spacing w:val="8"/>
          <w:sz w:val="20"/>
          <w:szCs w:val="20"/>
        </w:rPr>
      </w:pP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 w:firstLine="64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当事人：何某，女，197X年3月出生，搜于特集团股份有限公司（以下简称搜于特）时任独立董事、审计委员会主任，住址：广东省深圳市龙岗区。</w:t>
      </w:r>
      <w:bookmarkStart w:id="1" w:name="_GoBack"/>
      <w:bookmarkEnd w:id="1"/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before="0" w:beforeLines="0" w:after="0" w:afterLines="0" w:line="348" w:lineRule="auto"/>
        <w:ind w:left="0" w:leftChars="0" w:right="0" w:rightChars="0" w:firstLine="640"/>
        <w:jc w:val="both"/>
        <w:textAlignment w:val="auto"/>
        <w:outlineLvl w:val="9"/>
        <w:rPr>
          <w:rFonts w:hint="eastAsia" w:cs="Times New Roman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2"/>
          <w:sz w:val="32"/>
          <w:szCs w:val="24"/>
          <w:lang w:val="en-US" w:eastAsia="zh-CN" w:bidi="ar-SA"/>
        </w:rPr>
        <w:t>依据《中华人民共和国证券法》（以下简称《证券法》）的有关规定，我局对搜于特信息披露违法违规行为进行了立案调查、审理，并依法向当事人告知了作出行政处罚的事实、理由、依据及当事人依法享有的权利。当事人未提出陈述、申辩意见，也未要求听证。本案现已调查、审理终结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z w:val="32"/>
          <w:szCs w:val="32"/>
          <w:lang w:val="en-US" w:eastAsia="zh-CN"/>
        </w:rPr>
        <w:t>经查明，搜于特存在以下违法事实：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一、搜于特2020年半年报、2020年年报、2021年年报存在虚假记载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2020年至2021年，搜于特、搜于特子公司东莞市搜于特供应链管理有限公司（以下简称东莞供应链）、厦门瑞悦隆供应链管理有限公司（以下简称瑞悦隆供应链）介入逸盛大化石化有限公司（以下简称逸盛大化）、鑫东森集团有限公司（以下简称鑫东森集团）等公司相关精对苯二甲酸（以下简称PTA）贸易业务，形成采购与销售多层流转的贸易链条，以逸盛大化、鑫东森集团或其关联方作为业务起点，逸盛大化子公司、鑫东森集团关联公司作为业务终点。PTA货物以货权确认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highlight w:val="none"/>
          <w:lang w:val="en-US" w:eastAsia="zh-CN"/>
        </w:rPr>
        <w:t>单据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形式，在介入贸易链的各个主体间流转，采购和销售数量逐笔对应，货物实际控制权未真实发生转移，所开展的PTA购销业务无商业实质。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通过以上方式，搜于特及其子公司东莞供应链、瑞悦隆供应链开展无商业实质的PTA贸易业务虚增营业收入、虚减利润。搜于特2020年半年报、2020年年报、2021年年报分别虚增营业收入1,076,851,571.63元、1,835,096,087.28元、615,679,260.55元，占当期营业总收入比例为28.15%、21.27%、11.89%</w:t>
      </w:r>
      <w:r>
        <w:rPr>
          <w:rFonts w:hint="eastAsia" w:ascii="仿宋_GB2312" w:hAnsi="仿宋_GB2312" w:eastAsia="仿宋_GB2312"/>
          <w:bCs/>
          <w:kern w:val="0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Times New Roman"/>
          <w:b w:val="0"/>
          <w:bCs/>
          <w:kern w:val="0"/>
          <w:sz w:val="32"/>
          <w:szCs w:val="32"/>
          <w:lang w:val="en-US" w:eastAsia="zh-CN"/>
        </w:rPr>
        <w:t>虚减利润2,123,511.31元、9,030,251.37元、6,200,444.47元，占当期利润总额比例为5.13%、0.47%、0.19%。</w:t>
      </w:r>
    </w:p>
    <w:p>
      <w:pPr>
        <w:pStyle w:val="11"/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851"/>
          <w:tab w:val="left" w:pos="1276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Lines="0" w:afterLines="0" w:line="348" w:lineRule="auto"/>
        <w:ind w:firstLine="640"/>
        <w:textAlignment w:val="auto"/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kern w:val="0"/>
          <w:sz w:val="32"/>
          <w:szCs w:val="32"/>
          <w:lang w:val="en-US" w:eastAsia="zh-CN"/>
        </w:rPr>
        <w:t>二、搜于特未按规定披露关联交易，2021年年报存在重大遗漏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子公司浙江东利源供应链管理有限公司（以下简称东利源）与绍兴市东升针纺有限公司（以下简称东升针纺）、绍兴市东源针织有限公司（以下简称东源针织）存在以下关系：第一，2021年10月起，东利源代管东升针纺、东源针织的业务审批。第二，东源针织、东升针纺的部分采购、销售业务由东利源的工作人员办理。第三，东利源、东源针织、东升针纺共用一个库存管理系统账号、密码。东利源与东源针织、东升针纺存在的上述关系，符合《企业会计准则第36号——关联方披露》第三条第一款“一方控制、共同控制另一方或对另一方施加重大影响，以及两方或两方以上同受一方控制、共同控制或重大影响的，构成关联方”规定所述的情形。同时，根据实质重于形式的原则，东源针织、东升针纺也符合《上市公司信息披露管理办法》（证监会令第182号）第六十二条第四项所述与上市公司有特殊关系，可能或者已经造成上市公司对其利益倾斜的法人的情形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2021年10月至12月期间，东利源与东升针纺发生采购交易合计78,394,916.74元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-US" w:eastAsia="zh-CN"/>
        </w:rPr>
        <w:t>与东源针织发生销售交易合计69,951,988.98元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，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上述关联交易金额合计148,346,905.7</w:t>
      </w:r>
      <w:r>
        <w:rPr>
          <w:rFonts w:hint="eastAsia" w:ascii="仿宋_GB2312" w:hAnsi="仿宋_GB2312" w:eastAsia="仿宋_GB2312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/>
          <w:kern w:val="0"/>
          <w:sz w:val="32"/>
          <w:szCs w:val="32"/>
        </w:rPr>
        <w:t>元，占上市公司披露的2021年年报记载的净资产绝对值比例为30.79%</w:t>
      </w:r>
      <w:r>
        <w:rPr>
          <w:rFonts w:hint="eastAsia" w:ascii="仿宋_GB2312" w:hAnsi="仿宋_GB2312" w:eastAsia="仿宋_GB2312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搜于特未按规定及时披露东利源与东源针织、东升针纺的关联关系情况及上述关联交易，也未在2021年年报中披露，存在重大遗漏。</w:t>
      </w:r>
    </w:p>
    <w:p>
      <w:pPr>
        <w:keepNext w:val="0"/>
        <w:keepLines w:val="0"/>
        <w:pageBreakBefore w:val="0"/>
        <w:widowControl w:val="0"/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left="0" w:leftChars="0" w:right="0" w:rightChars="0" w:firstLine="640" w:firstLineChars="200"/>
        <w:jc w:val="both"/>
        <w:textAlignment w:val="auto"/>
        <w:outlineLvl w:val="9"/>
        <w:rPr>
          <w:rFonts w:hint="default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上述</w:t>
      </w:r>
      <w:r>
        <w:rPr>
          <w:rFonts w:hint="default" w:ascii="仿宋_GB2312" w:hAnsi="仿宋_GB2312" w:eastAsia="仿宋_GB2312" w:cs="Times New Roman"/>
          <w:kern w:val="0"/>
          <w:sz w:val="32"/>
          <w:szCs w:val="32"/>
          <w:lang w:val="en" w:eastAsia="zh-CN"/>
        </w:rPr>
        <w:t>有关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违法事实，有上市公司公告、相关银行账户资金流水、记账凭证及原始凭证、情况说明、询问笔录等证据证明，足以认定。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我局认为，搜于特公告的2020年半年报、2020年年报、2021年年报存在虚假记载，违反《证券法》第七十八条第二款、第七十九条的规定，构成《证券法》第一百九十七条第二款所述违法行为。搜于特未及时披露关联交易、2021年年报存在重大遗漏，违反《证券法》第七十八条第二款、第七十九条第一项、第八十条第一款、第二款第三项的规定，构成《证券法》第一百九十七条第一款、第二款所述违法行为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tabs>
          <w:tab w:val="left" w:pos="46"/>
        </w:tabs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="0" w:beforeLines="0" w:after="0" w:afterLines="0" w:line="348" w:lineRule="auto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" w:eastAsia="zh-CN"/>
        </w:rPr>
        <w:t>根据《证券法》第八十二条第三款的规定，董事、监事、高级管理人员应当保证所披露的信息真实、准确、完整。</w:t>
      </w:r>
      <w:r>
        <w:rPr>
          <w:rFonts w:hint="eastAsia" w:ascii="仿宋_GB2312" w:hAnsi="仿宋_GB2312" w:eastAsia="仿宋_GB2312" w:cs="Times New Roman"/>
          <w:kern w:val="0"/>
          <w:sz w:val="32"/>
          <w:szCs w:val="32"/>
          <w:lang w:val="en-US" w:eastAsia="zh-CN"/>
        </w:rPr>
        <w:t>何某作为时任搜于特董事会审计委员会主任、具有会计背景的独立董事，未充分关注搜于特对财务重要子公司监督管理不到位的情况，未审慎关注搜于特2021年年报相关内容，并采取充分措施进行核查，签字确认保证搜于特2021年年报真实、准确、完整，未勤勉尽责，是搜于特2021年年报存在虚假记载的其他直接责任人员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textAlignment w:val="auto"/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根据当事人违法行为的事实、性质、情节及社会危害程度，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依据《证券法》第一百九十七条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第二款</w:t>
      </w:r>
      <w:r>
        <w:rPr>
          <w:rFonts w:hint="default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的规定，</w:t>
      </w: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我局决定：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 w:val="0"/>
        <w:topLinePunct w:val="0"/>
        <w:autoSpaceDE/>
        <w:autoSpaceDN/>
        <w:bidi w:val="0"/>
        <w:adjustRightInd/>
        <w:snapToGrid w:val="0"/>
        <w:spacing w:beforeLines="0" w:afterLines="0" w:line="348" w:lineRule="auto"/>
        <w:ind w:firstLine="640" w:firstLineChars="200"/>
        <w:jc w:val="both"/>
        <w:textAlignment w:val="auto"/>
        <w:outlineLvl w:val="0"/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highlight w:val="none"/>
          <w:lang w:val="en-US" w:eastAsia="zh-CN"/>
        </w:rPr>
        <w:t>对何某给予警告，并处以50万元的罚款</w:t>
      </w:r>
      <w:r>
        <w:rPr>
          <w:rFonts w:hint="eastAsia" w:ascii="仿宋_GB2312" w:hAnsi="仿宋_GB2312" w:eastAsia="仿宋_GB2312"/>
          <w:spacing w:val="0"/>
          <w:kern w:val="0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48" w:lineRule="auto"/>
        <w:ind w:firstLine="640" w:firstLineChars="200"/>
        <w:jc w:val="left"/>
        <w:textAlignment w:val="auto"/>
        <w:rPr>
          <w:rFonts w:hint="eastAsia" w:ascii="宋体" w:hAnsi="宋体" w:cs="宋体"/>
          <w:color w:val="auto"/>
          <w:kern w:val="0"/>
          <w:sz w:val="28"/>
          <w:szCs w:val="28"/>
        </w:rPr>
      </w:pPr>
      <w:r>
        <w:rPr>
          <w:rFonts w:hint="eastAsia" w:ascii="仿宋_GB2312" w:hAnsi="仿宋_GB2312" w:eastAsia="仿宋_GB2312" w:cs="Times New Roman"/>
          <w:spacing w:val="0"/>
          <w:kern w:val="0"/>
          <w:sz w:val="32"/>
          <w:szCs w:val="32"/>
          <w:lang w:val="en-US" w:eastAsia="zh-CN"/>
        </w:rPr>
        <w:t>当事人应自收到本处罚决定书之日起15日内，将罚款汇交中国证券监督管理委员会，开户银行：中信银行北京分行营业部，账号7111010189800000162，由该行直接上缴国库，并将注有当事人名称的付款凭证复印件送我局备案。当事人如果对本处罚决定不服，可在收到本处罚决定书之日起60日内向中国证券监督管理委员会申请行政复议，也可在收到本处罚决定书之日起6个月内直接向有管辖权的人民法院提起行政诉讼。复议和诉讼期间，上述决定不停止执行。</w:t>
      </w: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topLinePunct w:val="0"/>
        <w:autoSpaceDE/>
        <w:autoSpaceDN/>
        <w:bidi w:val="0"/>
        <w:adjustRightInd w:val="0"/>
        <w:snapToGrid w:val="0"/>
        <w:spacing w:line="360" w:lineRule="auto"/>
        <w:jc w:val="left"/>
        <w:textAlignment w:val="auto"/>
        <w:rPr>
          <w:rFonts w:ascii="宋体" w:hAnsi="宋体" w:cs="宋体"/>
          <w:color w:val="000000"/>
          <w:sz w:val="28"/>
          <w:szCs w:val="28"/>
        </w:rPr>
      </w:pPr>
    </w:p>
    <w:p>
      <w:pPr>
        <w:adjustRightInd w:val="0"/>
        <w:snapToGrid w:val="0"/>
        <w:spacing w:line="360" w:lineRule="auto"/>
        <w:ind w:right="1705"/>
        <w:jc w:val="right"/>
        <w:rPr>
          <w:rFonts w:hint="eastAsia" w:ascii="仿宋_GB2312" w:hAnsi="Times New Roman" w:eastAsia="仿宋_GB2312" w:cs="Times New Roman"/>
          <w:color w:val="000000"/>
          <w:sz w:val="32"/>
        </w:rPr>
      </w:pPr>
      <w:r>
        <w:rPr>
          <w:rFonts w:hint="eastAsia" w:ascii="仿宋_GB2312" w:hAnsi="Times New Roman" w:eastAsia="仿宋_GB2312" w:cs="Times New Roman"/>
          <w:color w:val="000000"/>
          <w:sz w:val="32"/>
        </w:rPr>
        <w:t>广东证监局</w:t>
      </w:r>
    </w:p>
    <w:p>
      <w:pPr>
        <w:widowControl/>
        <w:numPr>
          <w:ilvl w:val="0"/>
          <w:numId w:val="0"/>
        </w:numPr>
        <w:pBdr>
          <w:top w:val="none" w:color="auto" w:sz="0" w:space="0"/>
          <w:bottom w:val="none" w:color="auto" w:sz="0" w:space="0"/>
        </w:pBdr>
        <w:adjustRightInd w:val="0"/>
        <w:snapToGrid w:val="0"/>
        <w:spacing w:beforeLines="0" w:afterLines="0" w:line="360" w:lineRule="auto"/>
        <w:ind w:right="1134"/>
        <w:jc w:val="right"/>
        <w:outlineLvl w:val="9"/>
      </w:pP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eastAsia="zh-CN"/>
        </w:rPr>
        <w:t>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  <w:lang w:val="en-US" w:eastAsia="zh-CN"/>
        </w:rPr>
        <w:t>023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年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12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月</w:t>
      </w:r>
      <w:r>
        <w:rPr>
          <w:rFonts w:hint="default" w:ascii="仿宋_GB2312" w:eastAsia="仿宋_GB2312" w:cs="Times New Roman"/>
          <w:color w:val="000000"/>
          <w:spacing w:val="10"/>
          <w:sz w:val="32"/>
          <w:lang w:val="en-US" w:eastAsia="zh-CN"/>
        </w:rPr>
        <w:t>21</w:t>
      </w:r>
      <w:r>
        <w:rPr>
          <w:rFonts w:hint="eastAsia" w:ascii="仿宋_GB2312" w:hAnsi="Times New Roman" w:eastAsia="仿宋_GB2312" w:cs="Times New Roman"/>
          <w:color w:val="000000"/>
          <w:spacing w:val="10"/>
          <w:sz w:val="32"/>
        </w:rPr>
        <w:t>日</w:t>
      </w: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adjustRightInd w:val="0"/>
        <w:snapToGrid w:val="0"/>
        <w:spacing w:line="360" w:lineRule="auto"/>
        <w:jc w:val="left"/>
        <w:rPr>
          <w:rFonts w:hint="eastAsia"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p>
      <w:pPr>
        <w:snapToGrid w:val="0"/>
        <w:spacing w:line="360" w:lineRule="auto"/>
        <w:ind w:right="28"/>
        <w:jc w:val="left"/>
        <w:rPr>
          <w:rFonts w:ascii="黑体" w:eastAsia="黑体"/>
          <w:spacing w:val="8"/>
          <w:sz w:val="32"/>
          <w:szCs w:val="32"/>
        </w:rPr>
      </w:pPr>
    </w:p>
    <w:bookmarkEnd w:id="0"/>
    <w:p>
      <w:pPr>
        <w:snapToGrid w:val="0"/>
        <w:spacing w:beforeLines="0" w:afterLines="0"/>
        <w:rPr>
          <w:sz w:val="2"/>
          <w:szCs w:val="2"/>
        </w:rPr>
      </w:pPr>
    </w:p>
    <w:sectPr>
      <w:headerReference r:id="rId3" w:type="default"/>
      <w:footerReference r:id="rId4" w:type="default"/>
      <w:pgSz w:w="11906" w:h="16838"/>
      <w:pgMar w:top="2097" w:right="1474" w:bottom="1984" w:left="1587" w:header="851" w:footer="1587" w:gutter="0"/>
      <w:pgNumType w:fmt="numberInDash" w:start="1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Wingdings 3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长城仿宋">
    <w:altName w:val="宋体"/>
    <w:panose1 w:val="02010609000101010101"/>
    <w:charset w:val="00"/>
    <w:family w:val="modern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Wingdings 3">
    <w:panose1 w:val="05040102010807070707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3" name="文本框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FgAAAGRycy9QSwEC&#10;FAAUAAAACACHTuJAs0lY7tAAAAAFAQAADwAAAAAAAAABACAAAAA4AAAAZHJzL2Rvd25yZXYueG1s&#10;UEsBAhQAFAAAAAgAh07iQMCtmvAjAgAAOQQAAA4AAAAAAAAAAQAgAAAANQEAAGRycy9lMm9Eb2Mu&#10;eG1sUEsFBgAAAAAGAAYAWQEAAMo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revisionView w:markup="0"/>
  <w:documentProtection w:edit="readOnly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8E535A"/>
    <w:rsid w:val="01EE3C37"/>
    <w:rsid w:val="0387042E"/>
    <w:rsid w:val="04DC3BAB"/>
    <w:rsid w:val="08103B8A"/>
    <w:rsid w:val="08E52704"/>
    <w:rsid w:val="08FA938F"/>
    <w:rsid w:val="092D18A9"/>
    <w:rsid w:val="093F1451"/>
    <w:rsid w:val="0B0A2458"/>
    <w:rsid w:val="0FF868D8"/>
    <w:rsid w:val="10AC1C3A"/>
    <w:rsid w:val="10E84883"/>
    <w:rsid w:val="158072DF"/>
    <w:rsid w:val="159F9BAB"/>
    <w:rsid w:val="16043697"/>
    <w:rsid w:val="1B8761D5"/>
    <w:rsid w:val="1C027F3B"/>
    <w:rsid w:val="1D2836F9"/>
    <w:rsid w:val="1F9D35F0"/>
    <w:rsid w:val="1FF79328"/>
    <w:rsid w:val="242F10C3"/>
    <w:rsid w:val="255F673A"/>
    <w:rsid w:val="25F63E98"/>
    <w:rsid w:val="265B67AE"/>
    <w:rsid w:val="29FF5613"/>
    <w:rsid w:val="2A7BF9EC"/>
    <w:rsid w:val="2BEA4B19"/>
    <w:rsid w:val="2C9F7D10"/>
    <w:rsid w:val="2F6B5FF1"/>
    <w:rsid w:val="304E2C57"/>
    <w:rsid w:val="310930B0"/>
    <w:rsid w:val="32CE0878"/>
    <w:rsid w:val="339F1A43"/>
    <w:rsid w:val="35404C63"/>
    <w:rsid w:val="35F75A41"/>
    <w:rsid w:val="368C1A00"/>
    <w:rsid w:val="36FF9721"/>
    <w:rsid w:val="3768B604"/>
    <w:rsid w:val="37FB0412"/>
    <w:rsid w:val="37FE1425"/>
    <w:rsid w:val="394752ED"/>
    <w:rsid w:val="3A4504DD"/>
    <w:rsid w:val="3A510F7D"/>
    <w:rsid w:val="3D707408"/>
    <w:rsid w:val="3D7C7E2A"/>
    <w:rsid w:val="3EFBE848"/>
    <w:rsid w:val="3EFE14A3"/>
    <w:rsid w:val="3FBF8230"/>
    <w:rsid w:val="3FFE46AD"/>
    <w:rsid w:val="3FFF8BC9"/>
    <w:rsid w:val="42DE6A81"/>
    <w:rsid w:val="4467652F"/>
    <w:rsid w:val="457E21BD"/>
    <w:rsid w:val="46032A33"/>
    <w:rsid w:val="47DA5F66"/>
    <w:rsid w:val="484553C4"/>
    <w:rsid w:val="48586558"/>
    <w:rsid w:val="48F0368A"/>
    <w:rsid w:val="48FE1925"/>
    <w:rsid w:val="490C2616"/>
    <w:rsid w:val="499C5345"/>
    <w:rsid w:val="4B9F25AF"/>
    <w:rsid w:val="4CC50A33"/>
    <w:rsid w:val="4DF6566B"/>
    <w:rsid w:val="4F68501F"/>
    <w:rsid w:val="50784FF7"/>
    <w:rsid w:val="52D97D33"/>
    <w:rsid w:val="534D5323"/>
    <w:rsid w:val="53A54CC2"/>
    <w:rsid w:val="54F56B5A"/>
    <w:rsid w:val="5523120C"/>
    <w:rsid w:val="56B705B0"/>
    <w:rsid w:val="570CFED5"/>
    <w:rsid w:val="57930E6A"/>
    <w:rsid w:val="5B1800A2"/>
    <w:rsid w:val="5B9D222E"/>
    <w:rsid w:val="5BBB2438"/>
    <w:rsid w:val="5BCD6048"/>
    <w:rsid w:val="5C7DBC77"/>
    <w:rsid w:val="5DA368D1"/>
    <w:rsid w:val="5DDA46E9"/>
    <w:rsid w:val="5F3F6B5C"/>
    <w:rsid w:val="60F37A16"/>
    <w:rsid w:val="6161507D"/>
    <w:rsid w:val="62D07B0B"/>
    <w:rsid w:val="62E63586"/>
    <w:rsid w:val="64593189"/>
    <w:rsid w:val="646E00F3"/>
    <w:rsid w:val="65063D4A"/>
    <w:rsid w:val="656E6FDA"/>
    <w:rsid w:val="65BBEDE2"/>
    <w:rsid w:val="674972E0"/>
    <w:rsid w:val="676524C1"/>
    <w:rsid w:val="6774EDB4"/>
    <w:rsid w:val="67AD4321"/>
    <w:rsid w:val="69BFCE99"/>
    <w:rsid w:val="69EE5740"/>
    <w:rsid w:val="6AA50818"/>
    <w:rsid w:val="6B7B7991"/>
    <w:rsid w:val="6BBFE434"/>
    <w:rsid w:val="6BE46820"/>
    <w:rsid w:val="6D84113C"/>
    <w:rsid w:val="6EDECB42"/>
    <w:rsid w:val="6EEF8B74"/>
    <w:rsid w:val="6F1FECAB"/>
    <w:rsid w:val="6FB30963"/>
    <w:rsid w:val="6FE09C35"/>
    <w:rsid w:val="6FFB00D6"/>
    <w:rsid w:val="6FFF1F09"/>
    <w:rsid w:val="70041F3C"/>
    <w:rsid w:val="727EDD9F"/>
    <w:rsid w:val="73CF2A8D"/>
    <w:rsid w:val="7662311E"/>
    <w:rsid w:val="7726123F"/>
    <w:rsid w:val="77ED4529"/>
    <w:rsid w:val="78FC60B2"/>
    <w:rsid w:val="7A4F8512"/>
    <w:rsid w:val="7A6F73E3"/>
    <w:rsid w:val="7A9FE4C4"/>
    <w:rsid w:val="7AEF34AE"/>
    <w:rsid w:val="7AFF409E"/>
    <w:rsid w:val="7B9FCE30"/>
    <w:rsid w:val="7DD3965B"/>
    <w:rsid w:val="7DDB151D"/>
    <w:rsid w:val="7EE2272E"/>
    <w:rsid w:val="7EED9AB5"/>
    <w:rsid w:val="7FA5A954"/>
    <w:rsid w:val="7FDEA870"/>
    <w:rsid w:val="7FDF78F2"/>
    <w:rsid w:val="7FDFC4AE"/>
    <w:rsid w:val="7FF79EF4"/>
    <w:rsid w:val="7FFFCBB7"/>
    <w:rsid w:val="9BEE2EAC"/>
    <w:rsid w:val="9DDD2426"/>
    <w:rsid w:val="9EDE7063"/>
    <w:rsid w:val="9F3F765B"/>
    <w:rsid w:val="ABF300C3"/>
    <w:rsid w:val="AF722F6C"/>
    <w:rsid w:val="AFBBBDEF"/>
    <w:rsid w:val="B9CF0F6F"/>
    <w:rsid w:val="BB3532C9"/>
    <w:rsid w:val="BBAD257E"/>
    <w:rsid w:val="BBBAF94A"/>
    <w:rsid w:val="BBDD45E3"/>
    <w:rsid w:val="BDE9203D"/>
    <w:rsid w:val="BF6A7A0E"/>
    <w:rsid w:val="BF7F91E8"/>
    <w:rsid w:val="BFBFDBC2"/>
    <w:rsid w:val="BFEF0D06"/>
    <w:rsid w:val="BFFFD36C"/>
    <w:rsid w:val="D317E9D9"/>
    <w:rsid w:val="D7DF7652"/>
    <w:rsid w:val="DBFDF507"/>
    <w:rsid w:val="DD78ED5D"/>
    <w:rsid w:val="DDDCEF29"/>
    <w:rsid w:val="DEFFA3AF"/>
    <w:rsid w:val="E67F6415"/>
    <w:rsid w:val="ECFFF080"/>
    <w:rsid w:val="EDBEE004"/>
    <w:rsid w:val="EF7F8092"/>
    <w:rsid w:val="F7B92056"/>
    <w:rsid w:val="F7C98A9C"/>
    <w:rsid w:val="F7EEE0D5"/>
    <w:rsid w:val="F7FF8EFF"/>
    <w:rsid w:val="FB7E8CA0"/>
    <w:rsid w:val="FBD30D73"/>
    <w:rsid w:val="FBFF0D4A"/>
    <w:rsid w:val="FBFF75E5"/>
    <w:rsid w:val="FC3CA113"/>
    <w:rsid w:val="FD7DFEC7"/>
    <w:rsid w:val="FDEF8723"/>
    <w:rsid w:val="FEFB03F7"/>
    <w:rsid w:val="FEFDA64A"/>
    <w:rsid w:val="FFB6EABF"/>
    <w:rsid w:val="FFBD7CAE"/>
    <w:rsid w:val="FFDFDD05"/>
    <w:rsid w:val="FFEF2DDE"/>
    <w:rsid w:val="FFEFF658"/>
    <w:rsid w:val="FFF9D441"/>
    <w:rsid w:val="FFFF1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nhideWhenUsed="0" w:uiPriority="0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semiHidden="0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link w:val="12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 w:cs="Times New Roman"/>
      <w:b/>
      <w:sz w:val="32"/>
      <w:szCs w:val="20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next w:val="1"/>
    <w:qFormat/>
    <w:uiPriority w:val="0"/>
    <w:pPr>
      <w:widowControl w:val="0"/>
      <w:spacing w:line="240" w:lineRule="auto"/>
      <w:ind w:firstLine="420"/>
      <w:jc w:val="both"/>
      <w:textAlignment w:val="baseline"/>
    </w:pPr>
    <w:rPr>
      <w:rFonts w:ascii="宋体" w:hAnsi="Calibri" w:eastAsia="宋体" w:cs="Times New Roman"/>
      <w:kern w:val="0"/>
      <w:sz w:val="21"/>
      <w:szCs w:val="24"/>
      <w:lang w:val="en-US" w:eastAsia="zh-CN" w:bidi="ar-SA"/>
    </w:rPr>
  </w:style>
  <w:style w:type="paragraph" w:styleId="4">
    <w:name w:val="footer"/>
    <w:basedOn w:val="1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 w:eastAsia="宋体" w:cs="Times New Roman"/>
      <w:sz w:val="18"/>
      <w:szCs w:val="20"/>
    </w:rPr>
  </w:style>
  <w:style w:type="paragraph" w:styleId="6">
    <w:name w:val="HTML Preformatted"/>
    <w:basedOn w:val="1"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/>
    </w:rPr>
  </w:style>
  <w:style w:type="paragraph" w:styleId="7">
    <w:name w:val="Normal (Web)"/>
    <w:basedOn w:val="1"/>
    <w:unhideWhenUsed/>
    <w:qFormat/>
    <w:uiPriority w:val="99"/>
    <w:pPr>
      <w:spacing w:before="100" w:beforeLines="0" w:beforeAutospacing="1" w:after="100" w:afterLines="0" w:afterAutospacing="1"/>
      <w:ind w:left="0" w:right="0"/>
      <w:jc w:val="left"/>
    </w:pPr>
    <w:rPr>
      <w:rFonts w:ascii="Times New Roman" w:hAnsi="Times New Roman" w:eastAsia="宋体" w:cs="Times New Roman"/>
      <w:kern w:val="0"/>
      <w:sz w:val="24"/>
      <w:szCs w:val="20"/>
      <w:lang w:val="en-US" w:eastAsia="zh-CN" w:bidi="ar-SA"/>
    </w:rPr>
  </w:style>
  <w:style w:type="character" w:styleId="10">
    <w:name w:val="page number"/>
    <w:basedOn w:val="9"/>
    <w:qFormat/>
    <w:uiPriority w:val="0"/>
    <w:rPr>
      <w:rFonts w:ascii="Times New Roman" w:hAnsi="Times New Roman" w:eastAsia="宋体" w:cs="Times New Roman"/>
    </w:rPr>
  </w:style>
  <w:style w:type="paragraph" w:customStyle="1" w:styleId="11">
    <w:name w:val="列出段落1"/>
    <w:qFormat/>
    <w:uiPriority w:val="0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12">
    <w:name w:val="标题 2 Char Char Char"/>
    <w:link w:val="3"/>
    <w:qFormat/>
    <w:uiPriority w:val="0"/>
    <w:rPr>
      <w:rFonts w:ascii="Arial" w:hAnsi="Arial" w:eastAsia="黑体" w:cs="Times New Roman"/>
      <w:b/>
      <w:sz w:val="32"/>
    </w:rPr>
  </w:style>
  <w:style w:type="paragraph" w:customStyle="1" w:styleId="13">
    <w:name w:val=" Char Char Char Char Char Char1 Char Char Char"/>
    <w:basedOn w:val="1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Times New Roman" w:hAnsi="Times New Roman" w:eastAsia="宋体" w:cs="Times New Roman"/>
      <w:szCs w:val="20"/>
    </w:rPr>
  </w:style>
  <w:style w:type="paragraph" w:customStyle="1" w:styleId="14">
    <w:name w:val="_Style 1"/>
    <w:basedOn w:val="1"/>
    <w:qFormat/>
    <w:uiPriority w:val="0"/>
    <w:pPr>
      <w:tabs>
        <w:tab w:val="left" w:pos="360"/>
      </w:tabs>
      <w:spacing w:line="360" w:lineRule="auto"/>
    </w:pPr>
    <w:rPr>
      <w:rFonts w:ascii="Times New Roman" w:hAnsi="Times New Roman" w:eastAsia="宋体" w:cs="Times New Roman"/>
      <w:szCs w:val="20"/>
    </w:rPr>
  </w:style>
  <w:style w:type="paragraph" w:customStyle="1" w:styleId="15">
    <w:name w:val="p0"/>
    <w:basedOn w:val="1"/>
    <w:qFormat/>
    <w:uiPriority w:val="0"/>
    <w:pPr>
      <w:widowControl/>
    </w:pPr>
    <w:rPr>
      <w:rFonts w:ascii="Times New Roman" w:hAnsi="Times New Roman" w:eastAsia="宋体" w:cs="Times New Roman"/>
      <w:kern w:val="0"/>
      <w:szCs w:val="21"/>
    </w:rPr>
  </w:style>
  <w:style w:type="paragraph" w:customStyle="1" w:styleId="16">
    <w:name w:val="List Paragraph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17">
    <w:name w:val="招股说明书"/>
    <w:basedOn w:val="1"/>
    <w:qFormat/>
    <w:uiPriority w:val="0"/>
    <w:pPr>
      <w:spacing w:line="360" w:lineRule="auto"/>
      <w:ind w:firstLine="200" w:firstLineChars="200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customStyle="1" w:styleId="18">
    <w:name w:val="列出段落3"/>
    <w:basedOn w:val="1"/>
    <w:qFormat/>
    <w:uiPriority w:val="34"/>
    <w:pPr>
      <w:ind w:firstLine="420" w:firstLineChars="200"/>
    </w:pPr>
    <w:rPr>
      <w:rFonts w:ascii="Times New Roman" w:hAnsi="Times New Roman" w:eastAsia="宋体" w:cs="黑体"/>
      <w:szCs w:val="22"/>
    </w:rPr>
  </w:style>
  <w:style w:type="paragraph" w:customStyle="1" w:styleId="19">
    <w:name w:val=" Char Char3 Char Char Char Char Char Char Char Char Char Char Char Char1"/>
    <w:basedOn w:val="1"/>
    <w:qFormat/>
    <w:uiPriority w:val="0"/>
    <w:rPr>
      <w:rFonts w:ascii="Times New Roman" w:hAnsi="Times New Roman" w:eastAsia="宋体" w:cs="Times New Roman"/>
      <w:szCs w:val="20"/>
    </w:rPr>
  </w:style>
  <w:style w:type="paragraph" w:customStyle="1" w:styleId="20">
    <w:name w:val="List Paragraph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paragraph" w:customStyle="1" w:styleId="21">
    <w:name w:val="Char Char Char Char"/>
    <w:basedOn w:val="1"/>
    <w:qFormat/>
    <w:uiPriority w:val="0"/>
    <w:pPr>
      <w:spacing w:before="0" w:beforeLines="0"/>
    </w:pPr>
    <w:rPr>
      <w:rFonts w:ascii="Times New Roman" w:hAnsi="Times New Roman" w:eastAsia="宋体" w:cs="Times New Roman"/>
      <w:szCs w:val="20"/>
    </w:rPr>
  </w:style>
  <w:style w:type="paragraph" w:customStyle="1" w:styleId="22">
    <w:name w:val="列出段落2"/>
    <w:basedOn w:val="1"/>
    <w:qFormat/>
    <w:uiPriority w:val="0"/>
    <w:pPr>
      <w:ind w:firstLine="420" w:firstLineChars="200"/>
    </w:pPr>
    <w:rPr>
      <w:rFonts w:ascii="Times New Roman" w:hAnsi="Times New Roman" w:eastAsia="宋体" w:cs="Times New Roman"/>
      <w:szCs w:val="20"/>
    </w:rPr>
  </w:style>
  <w:style w:type="paragraph" w:customStyle="1" w:styleId="23">
    <w:name w:val="Char Char Char Char Char Char Char Char Char"/>
    <w:basedOn w:val="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Office_11.8.2.9849_F1E327BC-269C-435d-A152-05C5408002CA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2023-12-17T00:43:00Z</dcterms:created>
  <dc:creator>奚呈</dc:creator>
  <cp:lastModifiedBy>奚呈</cp:lastModifiedBy>
  <dcterms:modified xsi:type="dcterms:W3CDTF">2023-12-28T16:22:21Z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2052-11.8.2.9849</vt:lpwstr>
  </property>
  <property fmtid="{D5CDD505-2E9C-101B-9397-08002B2CF9AE}" pid="3" name="ICV">
    <vt:lpwstr>5BCC3D07D0E6953E9B52816552E5C631</vt:lpwstr>
  </property>
</Properties>
</file>