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240" w:line="300" w:lineRule="auto"/>
        <w:jc w:val="center"/>
        <w:rPr>
          <w:rFonts w:hint="eastAsia" w:ascii="方正小标宋简体" w:hAnsi="方正小标宋简体" w:eastAsia="方正小标宋简体"/>
          <w:color w:val="FF0000"/>
          <w:spacing w:val="12"/>
          <w:w w:val="75"/>
          <w:sz w:val="60"/>
        </w:rPr>
      </w:pPr>
      <w:bookmarkStart w:id="0" w:name="quanwen"/>
      <w:r>
        <w:rPr>
          <w:rFonts w:hint="eastAsia" w:ascii="方正小标宋简体" w:hAnsi="方正小标宋简体" w:eastAsia="方正小标宋简体"/>
          <w:color w:val="FF0000"/>
          <w:w w:val="75"/>
          <w:sz w:val="60"/>
        </w:rPr>
        <w:t>中国证券监督管理委员会广东监管局</w:t>
      </w:r>
    </w:p>
    <w:p>
      <w:pPr>
        <w:snapToGrid w:val="0"/>
        <w:spacing w:line="300" w:lineRule="auto"/>
        <w:ind w:right="-194"/>
        <w:jc w:val="center"/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</w:pPr>
      <w:r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00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16"/>
          <w:szCs w:val="1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24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28"/>
        </w:rPr>
      </w:pPr>
      <w:r>
        <w:rPr>
          <w:rFonts w:hint="eastAsia" w:ascii="仿宋_GB2312" w:eastAsia="仿宋_GB2312"/>
          <w:spacing w:val="12"/>
          <w:sz w:val="28"/>
        </w:rPr>
        <w:t>〔20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23</w:t>
      </w:r>
      <w:r>
        <w:rPr>
          <w:rFonts w:hint="eastAsia" w:ascii="仿宋_GB2312" w:eastAsia="仿宋_GB2312"/>
          <w:spacing w:val="12"/>
          <w:sz w:val="28"/>
        </w:rPr>
        <w:t>〕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40</w:t>
      </w:r>
      <w:r>
        <w:rPr>
          <w:rFonts w:hint="eastAsia" w:ascii="仿宋_GB2312" w:eastAsia="仿宋_GB2312"/>
          <w:spacing w:val="12"/>
          <w:sz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60" w:lineRule="auto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  <w:t>当事人：黎某望，男，197X年12月出生，搜于特集团股份有限公司（以下简称搜于特）子公司厦门瑞悦隆供应链管理有限公司（以下简称瑞悦隆供应链）时任财务总监，住址：福建省厦门市思明区。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60" w:lineRule="auto"/>
        <w:ind w:left="0" w:leftChars="0" w:right="0" w:rightChars="0" w:firstLine="640"/>
        <w:jc w:val="both"/>
        <w:textAlignment w:val="auto"/>
        <w:outlineLvl w:val="9"/>
        <w:rPr>
          <w:rFonts w:hint="eastAsia" w:cs="Times New Roman"/>
          <w:kern w:val="0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4"/>
          <w:lang w:val="en-US" w:eastAsia="zh-CN" w:bidi="ar-SA"/>
        </w:rPr>
        <w:t>依据《中华人民共和国证券法》（以下简称《证券法》）的有关规定，我局对搜于特信息披露违法违规行为进行了立案调查、审理，并依法向当事人告知了作出行政处罚的事实、理由、依据及当事人依法享有的权利。当事人未提出陈述、申辩意见，也未要求听证。本案现已调查、审理终结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6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经查明，搜于特存在以下违法事实：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一、搜于特2020年半年报、2020年年报、2021年年报存在虚假记载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2020年至2021年，搜于特、搜于特子公司东莞市搜于特供应链管理有限公司（以下简称东莞供应链）、瑞悦隆供应链介入逸盛大化石化有限公司（以下简称逸盛大化）、鑫东森集团有限公司（以下简称鑫东森集团）等公司相关精对苯二甲酸（以下简称PTA）贸易业务，形成采购与销售多层流转的贸易链条，以逸盛大化、鑫东森集团或其关联方作为业务起点，逸盛大化子公司、鑫东森集团关联公司作为业务终点。PTA货物以货权确认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highlight w:val="none"/>
          <w:lang w:val="en-US" w:eastAsia="zh-CN" w:bidi="ar-SA"/>
        </w:rPr>
        <w:t>单据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形式，在介入贸易链的各个主体间流转，采购和销售数量逐笔对应，货物实际控制权未真实发生转移，所开展的PTA购销业务无商业实质。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 w:bidi="ar-SA"/>
        </w:rPr>
        <w:t>通过以上方式，搜于特及其子公司东莞供应链、瑞悦隆供应链开展无商业实质的PTA贸易业务虚增营业收入、虚减利润。搜于特2020年半年报、2020年年报、2021年年报分别虚增营业收入1,076,851,571.63元、1,835,096,087.28元、615,679,260.55元，占当期营业总收入比例为28.15%、21.27%、11.89%</w:t>
      </w:r>
      <w:r>
        <w:rPr>
          <w:rFonts w:hint="eastAsia" w:ascii="仿宋_GB2312" w:hAnsi="仿宋_GB2312" w:eastAsia="仿宋_GB2312" w:cs="Times New Roman"/>
          <w:bCs/>
          <w:kern w:val="0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 w:bidi="ar-SA"/>
        </w:rPr>
        <w:t>虚减利润2,123,511.31元、9,030,251.37元、6,200,444.47元，占当期利润总额比例为5.13%、0.47%、0.19%。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-SA"/>
        </w:rPr>
        <w:t>二、搜于特未按规定披露关联交易，2021年年报存在重大遗漏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6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搜于特子公司浙江东利源供应链管理有限公司（以下简称东利源）与绍兴市东升针纺有限公司（以下简称东升针纺）、绍兴市东源针织有限公司（以下简称东源针织）存在以下关系：第一，2021年10月起，东利源代管东升针纺、东源针织的业务审批。第二，东源针织、东升针纺的部分采购、销售业务由东利源的工作人员办理。第三，东利源、东源针织、东升针纺共用一个库存管理系统账号、密码。东利源与东源针织、东升针纺存在的上述关系，符合《企业会计准则第36号——关联方披露》第三条第一款“一方控制、共同控制另一方或对另一方施加重大影响，以及两方或两方以上同受一方控制、共同控制或重大影响的，构成关联方”规定所述的情形。同时，根据实质重于形式的原则，东源针织、东升针纺也符合《上市公司信息披露管理办法》（证监会令第182号）第六十二条第四项所述与上市公司有特殊关系，可能或者已经造成上市公司对其利益倾斜的法人的情形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6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  <w:t>2021年10月至12月期间，东利源与东升针纺发生采购交易合计78,394,916.74元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  <w:t>与东源针织发生销售交易合计69,951,988.98元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</w:rPr>
        <w:t>上述关联交易金额合计148,346,905.7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</w:rPr>
        <w:t>元，占上市公司披露的2021年年报记载的净资产绝对值比例为30.79%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搜于特未按规定及时披露东利源与东源针织、东升针纺的关联关系情况及上述关联交易，也未在2021年年报中披露，存在重大遗漏。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6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上述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" w:eastAsia="zh-CN"/>
        </w:rPr>
        <w:t>有关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违法事实，有上市公司公告、相关银行账户资金流水、记账凭证及原始凭证、情况说明、询问笔录等证据证明。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60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我局认为，搜于特公告的2020年半年报、2020年年报、2021年年报存在虚假记载，违反《证券法》第七十八条第二款、第七十九条的规定，构成《证券法》第一百九十七条第二款所述违法行为。搜于特未及时披露关联交易、2021年年报存在重大遗漏，违反《证券法》第七十八条第二款、第七十九条第一项、第八十条第一款、第二款第三项的规定，构成《证券法》第一百九十七条第一款、第二款所述违法行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60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黎某望作为时任瑞悦隆供应链财务总监，实施、参与瑞悦隆供应链开展无商业实质的PTA贸易链条业务，其行为与搜于特信息披露违法违规行为之间存在直接因果关系，是搜于特2020年半年报、2020年年报、2021年年报存在虚假记载的其他直接责任人员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根据当事人违法行为的事实、性质、情节及社会危害程度，</w:t>
      </w:r>
      <w:r>
        <w:rPr>
          <w:rFonts w:hint="default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依据《证券法》第一百九十七条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第二款</w:t>
      </w:r>
      <w:r>
        <w:rPr>
          <w:rFonts w:hint="default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的规定，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我局拟决定：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highlight w:val="none"/>
          <w:lang w:val="en-US" w:eastAsia="zh-CN"/>
        </w:rPr>
        <w:t>对黎某望给予警告，并处以50万元的罚款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。</w:t>
      </w:r>
    </w:p>
    <w:p>
      <w:pPr>
        <w:overflowPunct w:val="0"/>
        <w:adjustRightInd w:val="0"/>
        <w:snapToGrid w:val="0"/>
        <w:spacing w:beforeLines="0" w:afterLines="0" w:line="360" w:lineRule="auto"/>
        <w:ind w:firstLine="640" w:firstLineChars="200"/>
        <w:jc w:val="left"/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当事人应自收到本处罚决定书之日起15日内，将罚款汇交中国证券监督管理委员会，开户银行：中信银行北京分行营业部，账号7111010189800000162，由该行直接上缴国库，并将注有当事人名称的付款凭证复印件送我局备案。当事人如果对本处罚决定不服，可在收到本处罚决定书之日起60日内向中国证券监督管理委员会申请行政复议，也可在收到本处罚决定书之日起6个月内直接向有管辖权的人民法院提起行政诉讼。复议和诉讼期间，上述决定不停止执行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adjustRightInd w:val="0"/>
        <w:snapToGrid w:val="0"/>
        <w:spacing w:line="360" w:lineRule="auto"/>
        <w:ind w:right="1705"/>
        <w:jc w:val="right"/>
        <w:rPr>
          <w:rFonts w:hint="eastAsia" w:ascii="仿宋_GB2312" w:hAnsi="Times New Roman" w:eastAsia="仿宋_GB2312" w:cs="Times New Roman"/>
          <w:color w:val="000000"/>
          <w:sz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</w:rPr>
        <w:t>广东证监局</w:t>
      </w:r>
    </w:p>
    <w:p>
      <w:pPr>
        <w:widowControl/>
        <w:numPr>
          <w:ilvl w:val="0"/>
          <w:numId w:val="0"/>
        </w:numPr>
        <w:pBdr>
          <w:top w:val="none" w:color="auto" w:sz="0" w:space="0"/>
          <w:bottom w:val="none" w:color="auto" w:sz="0" w:space="0"/>
        </w:pBdr>
        <w:adjustRightInd w:val="0"/>
        <w:snapToGrid w:val="0"/>
        <w:spacing w:beforeLines="0" w:afterLines="0" w:line="360" w:lineRule="auto"/>
        <w:ind w:right="1134"/>
        <w:jc w:val="right"/>
        <w:outlineLvl w:val="9"/>
      </w:pP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lang w:val="en-US" w:eastAsia="zh-CN"/>
        </w:rPr>
        <w:t>023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年</w:t>
      </w:r>
      <w:r>
        <w:rPr>
          <w:rFonts w:hint="default" w:ascii="仿宋_GB2312" w:eastAsia="仿宋_GB2312" w:cs="Times New Roman"/>
          <w:color w:val="000000"/>
          <w:spacing w:val="10"/>
          <w:sz w:val="32"/>
          <w:lang w:val="en-US" w:eastAsia="zh-CN"/>
        </w:rPr>
        <w:t>12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月</w:t>
      </w:r>
      <w:r>
        <w:rPr>
          <w:rFonts w:hint="default" w:ascii="仿宋_GB2312" w:eastAsia="仿宋_GB2312" w:cs="Times New Roman"/>
          <w:color w:val="000000"/>
          <w:spacing w:val="10"/>
          <w:sz w:val="32"/>
          <w:lang w:val="en-US" w:eastAsia="zh-CN"/>
        </w:rPr>
        <w:t>21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日</w:t>
      </w: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bookmarkEnd w:id="0"/>
    <w:p>
      <w:pPr>
        <w:snapToGrid w:val="0"/>
        <w:spacing w:beforeLines="0" w:afterLines="0"/>
        <w:rPr>
          <w:sz w:val="2"/>
          <w:szCs w:val="2"/>
        </w:rPr>
      </w:pPr>
    </w:p>
    <w:sectPr>
      <w:headerReference r:id="rId3" w:type="default"/>
      <w:footerReference r:id="rId4" w:type="default"/>
      <w:pgSz w:w="11906" w:h="16838"/>
      <w:pgMar w:top="2097" w:right="1474" w:bottom="1984" w:left="1587" w:header="851" w:footer="1587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s0lY7tAAAAAFAQAADwAAAAAAAAABACAAAAA4AAAAZHJzL2Rvd25yZXYueG1s&#10;UEsBAhQAFAAAAAgAh07iQMCtmvAjAgAAOQQAAA4AAAAAAAAAAQAgAAAAN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revisionView w:markup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8E535A"/>
    <w:rsid w:val="01EE3C37"/>
    <w:rsid w:val="0387042E"/>
    <w:rsid w:val="04DC3BAB"/>
    <w:rsid w:val="08103B8A"/>
    <w:rsid w:val="08E52704"/>
    <w:rsid w:val="08FA938F"/>
    <w:rsid w:val="092D18A9"/>
    <w:rsid w:val="093F1451"/>
    <w:rsid w:val="0B0A2458"/>
    <w:rsid w:val="0FF868D8"/>
    <w:rsid w:val="10AC1C3A"/>
    <w:rsid w:val="10E84883"/>
    <w:rsid w:val="158072DF"/>
    <w:rsid w:val="159F9BAB"/>
    <w:rsid w:val="16043697"/>
    <w:rsid w:val="1B8761D5"/>
    <w:rsid w:val="1C027F3B"/>
    <w:rsid w:val="1D2836F9"/>
    <w:rsid w:val="1F9D35F0"/>
    <w:rsid w:val="1FF79328"/>
    <w:rsid w:val="242F10C3"/>
    <w:rsid w:val="255F673A"/>
    <w:rsid w:val="25F63E98"/>
    <w:rsid w:val="265B67AE"/>
    <w:rsid w:val="29FF5613"/>
    <w:rsid w:val="2A7BF9EC"/>
    <w:rsid w:val="2BEA4B19"/>
    <w:rsid w:val="2C9F7D10"/>
    <w:rsid w:val="2F6B5FF1"/>
    <w:rsid w:val="2F9F21C1"/>
    <w:rsid w:val="304E2C57"/>
    <w:rsid w:val="310930B0"/>
    <w:rsid w:val="32CE0878"/>
    <w:rsid w:val="339F1A43"/>
    <w:rsid w:val="35404C63"/>
    <w:rsid w:val="35F75A41"/>
    <w:rsid w:val="368C1A00"/>
    <w:rsid w:val="36FF9721"/>
    <w:rsid w:val="3768B604"/>
    <w:rsid w:val="37FB0412"/>
    <w:rsid w:val="37FE1425"/>
    <w:rsid w:val="394752ED"/>
    <w:rsid w:val="3A4504DD"/>
    <w:rsid w:val="3A510F7D"/>
    <w:rsid w:val="3D707408"/>
    <w:rsid w:val="3D7C7E2A"/>
    <w:rsid w:val="3EFE14A3"/>
    <w:rsid w:val="3FBF8230"/>
    <w:rsid w:val="3FFE46AD"/>
    <w:rsid w:val="3FFF8BC9"/>
    <w:rsid w:val="42DE6A81"/>
    <w:rsid w:val="4467652F"/>
    <w:rsid w:val="457E21BD"/>
    <w:rsid w:val="46032A33"/>
    <w:rsid w:val="484553C4"/>
    <w:rsid w:val="48586558"/>
    <w:rsid w:val="48F0368A"/>
    <w:rsid w:val="48FE1925"/>
    <w:rsid w:val="490C2616"/>
    <w:rsid w:val="499C5345"/>
    <w:rsid w:val="4B9F25AF"/>
    <w:rsid w:val="4CC50A33"/>
    <w:rsid w:val="4DF6566B"/>
    <w:rsid w:val="4F68501F"/>
    <w:rsid w:val="50784FF7"/>
    <w:rsid w:val="52D97D33"/>
    <w:rsid w:val="534D5323"/>
    <w:rsid w:val="53A54CC2"/>
    <w:rsid w:val="54F56B5A"/>
    <w:rsid w:val="5523120C"/>
    <w:rsid w:val="56B705B0"/>
    <w:rsid w:val="570CFED5"/>
    <w:rsid w:val="57930E6A"/>
    <w:rsid w:val="5B1800A2"/>
    <w:rsid w:val="5B9D222E"/>
    <w:rsid w:val="5BBB2438"/>
    <w:rsid w:val="5BCD6048"/>
    <w:rsid w:val="5C7DBC77"/>
    <w:rsid w:val="5DA368D1"/>
    <w:rsid w:val="5DDA46E9"/>
    <w:rsid w:val="5F3F6B5C"/>
    <w:rsid w:val="60F37A16"/>
    <w:rsid w:val="6161507D"/>
    <w:rsid w:val="62D07B0B"/>
    <w:rsid w:val="62E63586"/>
    <w:rsid w:val="64593189"/>
    <w:rsid w:val="646E00F3"/>
    <w:rsid w:val="65063D4A"/>
    <w:rsid w:val="656E6FDA"/>
    <w:rsid w:val="65BBEDE2"/>
    <w:rsid w:val="674972E0"/>
    <w:rsid w:val="676524C1"/>
    <w:rsid w:val="6774EDB4"/>
    <w:rsid w:val="67AD4321"/>
    <w:rsid w:val="69BFCE99"/>
    <w:rsid w:val="69EE5740"/>
    <w:rsid w:val="6AA50818"/>
    <w:rsid w:val="6B7B7991"/>
    <w:rsid w:val="6BBFE434"/>
    <w:rsid w:val="6BE46820"/>
    <w:rsid w:val="6D84113C"/>
    <w:rsid w:val="6EDECB42"/>
    <w:rsid w:val="6EEF8B74"/>
    <w:rsid w:val="6F1FECAB"/>
    <w:rsid w:val="6FB30963"/>
    <w:rsid w:val="6FE09C35"/>
    <w:rsid w:val="6FFB00D6"/>
    <w:rsid w:val="6FFF1F09"/>
    <w:rsid w:val="70041F3C"/>
    <w:rsid w:val="727EDD9F"/>
    <w:rsid w:val="73CF2A8D"/>
    <w:rsid w:val="7662311E"/>
    <w:rsid w:val="7726123F"/>
    <w:rsid w:val="77ED4529"/>
    <w:rsid w:val="78FC60B2"/>
    <w:rsid w:val="7A4F8512"/>
    <w:rsid w:val="7A6F73E3"/>
    <w:rsid w:val="7A9FE4C4"/>
    <w:rsid w:val="7AEF34AE"/>
    <w:rsid w:val="7AFF409E"/>
    <w:rsid w:val="7B9FCE30"/>
    <w:rsid w:val="7BFBC1C9"/>
    <w:rsid w:val="7DD3965B"/>
    <w:rsid w:val="7DDB151D"/>
    <w:rsid w:val="7EE2272E"/>
    <w:rsid w:val="7EED9AB5"/>
    <w:rsid w:val="7FA5A954"/>
    <w:rsid w:val="7FDEA870"/>
    <w:rsid w:val="7FDF78F2"/>
    <w:rsid w:val="7FDFC4AE"/>
    <w:rsid w:val="7FF79EF4"/>
    <w:rsid w:val="7FFFCBB7"/>
    <w:rsid w:val="9BEE2EAC"/>
    <w:rsid w:val="9DDD2426"/>
    <w:rsid w:val="9EDE7063"/>
    <w:rsid w:val="9F3F765B"/>
    <w:rsid w:val="ABF300C3"/>
    <w:rsid w:val="AF722F6C"/>
    <w:rsid w:val="AFBBBDEF"/>
    <w:rsid w:val="B9CF0F6F"/>
    <w:rsid w:val="BB3532C9"/>
    <w:rsid w:val="BBAD257E"/>
    <w:rsid w:val="BBBAF94A"/>
    <w:rsid w:val="BBDD45E3"/>
    <w:rsid w:val="BDE9203D"/>
    <w:rsid w:val="BF6A7A0E"/>
    <w:rsid w:val="BF7F91E8"/>
    <w:rsid w:val="BFBFDBC2"/>
    <w:rsid w:val="BFEF0D06"/>
    <w:rsid w:val="BFFFD36C"/>
    <w:rsid w:val="D317E9D9"/>
    <w:rsid w:val="D7DF7652"/>
    <w:rsid w:val="DBFDF507"/>
    <w:rsid w:val="DD78ED5D"/>
    <w:rsid w:val="DDDCEF29"/>
    <w:rsid w:val="DEFFA3AF"/>
    <w:rsid w:val="E67F6415"/>
    <w:rsid w:val="ECFFF080"/>
    <w:rsid w:val="EDBEE004"/>
    <w:rsid w:val="EF7F8092"/>
    <w:rsid w:val="F7B92056"/>
    <w:rsid w:val="F7C98A9C"/>
    <w:rsid w:val="F7EEE0D5"/>
    <w:rsid w:val="F7FF8EFF"/>
    <w:rsid w:val="FB7E8CA0"/>
    <w:rsid w:val="FBD30D73"/>
    <w:rsid w:val="FBFF0D4A"/>
    <w:rsid w:val="FBFF75E5"/>
    <w:rsid w:val="FC3CA113"/>
    <w:rsid w:val="FD7DFEC7"/>
    <w:rsid w:val="FDEF8723"/>
    <w:rsid w:val="FEFB03F7"/>
    <w:rsid w:val="FEFDA64A"/>
    <w:rsid w:val="FFB6EABF"/>
    <w:rsid w:val="FFBD7CAE"/>
    <w:rsid w:val="FFDFDD05"/>
    <w:rsid w:val="FFEF2DDE"/>
    <w:rsid w:val="FFEFF658"/>
    <w:rsid w:val="FFF9D441"/>
    <w:rsid w:val="FFFF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12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 w:cs="Times New Roman"/>
      <w:b/>
      <w:sz w:val="32"/>
      <w:szCs w:val="20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next w:val="1"/>
    <w:qFormat/>
    <w:uiPriority w:val="0"/>
    <w:pPr>
      <w:widowControl w:val="0"/>
      <w:spacing w:line="240" w:lineRule="auto"/>
      <w:ind w:firstLine="420"/>
      <w:jc w:val="both"/>
      <w:textAlignment w:val="baseline"/>
    </w:pPr>
    <w:rPr>
      <w:rFonts w:ascii="宋体" w:hAnsi="Calibri" w:eastAsia="宋体" w:cs="Times New Roman"/>
      <w:kern w:val="0"/>
      <w:sz w:val="21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宋体" w:cs="Times New Roman"/>
      <w:sz w:val="18"/>
      <w:szCs w:val="20"/>
    </w:rPr>
  </w:style>
  <w:style w:type="paragraph" w:styleId="6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  <w:style w:type="paragraph" w:styleId="7">
    <w:name w:val="Normal (Web)"/>
    <w:basedOn w:val="1"/>
    <w:unhideWhenUsed/>
    <w:qFormat/>
    <w:uiPriority w:val="99"/>
    <w:pPr>
      <w:spacing w:before="100" w:beforeLines="0" w:beforeAutospacing="1" w:after="100" w:afterLines="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0"/>
      <w:lang w:val="en-US" w:eastAsia="zh-CN" w:bidi="ar-SA"/>
    </w:rPr>
  </w:style>
  <w:style w:type="character" w:styleId="10">
    <w:name w:val="page number"/>
    <w:basedOn w:val="9"/>
    <w:qFormat/>
    <w:uiPriority w:val="0"/>
    <w:rPr>
      <w:rFonts w:ascii="Times New Roman" w:hAnsi="Times New Roman" w:eastAsia="宋体" w:cs="Times New Roman"/>
    </w:rPr>
  </w:style>
  <w:style w:type="paragraph" w:customStyle="1" w:styleId="11">
    <w:name w:val="列出段落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2">
    <w:name w:val="标题 2 Char Char Char"/>
    <w:link w:val="3"/>
    <w:qFormat/>
    <w:uiPriority w:val="0"/>
    <w:rPr>
      <w:rFonts w:ascii="Arial" w:hAnsi="Arial" w:eastAsia="黑体" w:cs="Times New Roman"/>
      <w:b/>
      <w:sz w:val="32"/>
    </w:rPr>
  </w:style>
  <w:style w:type="paragraph" w:customStyle="1" w:styleId="13">
    <w:name w:val=" Char Char Char Char Char Char1 Char Char Char"/>
    <w:basedOn w:val="1"/>
    <w:qFormat/>
    <w:uiPriority w:val="0"/>
    <w:pPr>
      <w:autoSpaceDE w:val="0"/>
      <w:autoSpaceDN w:val="0"/>
      <w:adjustRightInd w:val="0"/>
      <w:jc w:val="left"/>
      <w:textAlignment w:val="baseline"/>
    </w:pPr>
    <w:rPr>
      <w:rFonts w:ascii="Times New Roman" w:hAnsi="Times New Roman" w:eastAsia="宋体" w:cs="Times New Roman"/>
      <w:szCs w:val="20"/>
    </w:rPr>
  </w:style>
  <w:style w:type="paragraph" w:customStyle="1" w:styleId="14">
    <w:name w:val="_Style 1"/>
    <w:basedOn w:val="1"/>
    <w:qFormat/>
    <w:uiPriority w:val="0"/>
    <w:pPr>
      <w:tabs>
        <w:tab w:val="left" w:pos="360"/>
      </w:tabs>
      <w:spacing w:line="360" w:lineRule="auto"/>
    </w:pPr>
    <w:rPr>
      <w:rFonts w:ascii="Times New Roman" w:hAnsi="Times New Roman" w:eastAsia="宋体" w:cs="Times New Roman"/>
      <w:szCs w:val="20"/>
    </w:rPr>
  </w:style>
  <w:style w:type="paragraph" w:customStyle="1" w:styleId="15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6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paragraph" w:customStyle="1" w:styleId="17">
    <w:name w:val="招股说明书"/>
    <w:basedOn w:val="1"/>
    <w:qFormat/>
    <w:uiPriority w:val="0"/>
    <w:pPr>
      <w:spacing w:line="360" w:lineRule="auto"/>
      <w:ind w:firstLine="200" w:firstLineChars="200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18">
    <w:name w:val="列出段落3"/>
    <w:basedOn w:val="1"/>
    <w:qFormat/>
    <w:uiPriority w:val="34"/>
    <w:pPr>
      <w:ind w:firstLine="420" w:firstLineChars="200"/>
    </w:pPr>
    <w:rPr>
      <w:rFonts w:ascii="Times New Roman" w:hAnsi="Times New Roman" w:eastAsia="宋体" w:cs="黑体"/>
      <w:szCs w:val="22"/>
    </w:rPr>
  </w:style>
  <w:style w:type="paragraph" w:customStyle="1" w:styleId="19">
    <w:name w:val=" Char Char3 Char Char Char Char Char Char Char Char Char Char Char Char1"/>
    <w:basedOn w:val="1"/>
    <w:qFormat/>
    <w:uiPriority w:val="0"/>
    <w:rPr>
      <w:rFonts w:ascii="Times New Roman" w:hAnsi="Times New Roman" w:eastAsia="宋体" w:cs="Times New Roman"/>
      <w:szCs w:val="20"/>
    </w:rPr>
  </w:style>
  <w:style w:type="paragraph" w:customStyle="1" w:styleId="20">
    <w:name w:val="List Paragraph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1"/>
    </w:rPr>
  </w:style>
  <w:style w:type="paragraph" w:customStyle="1" w:styleId="21">
    <w:name w:val="Char Char Char Char"/>
    <w:basedOn w:val="1"/>
    <w:qFormat/>
    <w:uiPriority w:val="0"/>
    <w:pPr>
      <w:spacing w:before="0" w:beforeLines="0"/>
    </w:pPr>
    <w:rPr>
      <w:rFonts w:ascii="Times New Roman" w:hAnsi="Times New Roman" w:eastAsia="宋体" w:cs="Times New Roman"/>
      <w:szCs w:val="20"/>
    </w:rPr>
  </w:style>
  <w:style w:type="paragraph" w:customStyle="1" w:styleId="22">
    <w:name w:val="列出段落2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paragraph" w:customStyle="1" w:styleId="23">
    <w:name w:val="Char Char Char Char Char Char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2023-12-17T08:43:00Z</dcterms:created>
  <dc:creator>奚呈</dc:creator>
  <cp:lastModifiedBy>奚呈</cp:lastModifiedBy>
  <dcterms:modified xsi:type="dcterms:W3CDTF">2023-12-28T16:23:18Z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5BCC3D07D0E6953E9B52816552E5C631</vt:lpwstr>
  </property>
</Properties>
</file>