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5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当事人：马某，男，196X年11月出生，搜于特集团股份有限公司（以下简称搜于特）时任董事长，住址：广东省普宁市流沙北街道。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根据《证券法》第八十二条第三款的规定，董事、监事、高级管理人员应当保证所披露的信息真实、准确、完整。根据《上市公司信息披露管理办法》（证监会令第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号）第五十八条第三款、《上市公司信息披露管理办法》（证监会令第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182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号）第五十一条第三款的规定，上市公司董事长、经理、财务负责人应当对公司财务会计报告的真实性、准确性、完整性、及时性、公平性承担主要责任。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马某作为搜于特时任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董事长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，负责召集和主持董事会会议审议定期报告，全面负责搜于特的经营管理工作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，签字确认保证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搜于特2020年半年报、2020年年报、2021年年报真实、准确、完整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，未勤勉尽责，是对搜于特上述信息披露违法行为直接负责的主管人员。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对马某给予警告，并处以100万元的罚款。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0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6FDCA9A"/>
    <w:rsid w:val="7726123F"/>
    <w:rsid w:val="77ED4529"/>
    <w:rsid w:val="78FC60B2"/>
    <w:rsid w:val="7A291E2C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8BFFF079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2023-12-28T15:33:55Z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