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240" w:line="300" w:lineRule="auto"/>
        <w:jc w:val="center"/>
        <w:rPr>
          <w:rFonts w:hint="eastAsia" w:ascii="方正小标宋简体" w:hAnsi="方正小标宋简体" w:eastAsia="方正小标宋简体"/>
          <w:color w:val="FF0000"/>
          <w:spacing w:val="12"/>
          <w:w w:val="75"/>
          <w:sz w:val="60"/>
        </w:rPr>
      </w:pPr>
      <w:bookmarkStart w:id="1" w:name="_GoBack"/>
      <w:r>
        <w:rPr>
          <w:rFonts w:hint="eastAsia" w:ascii="方正小标宋简体" w:hAnsi="方正小标宋简体" w:eastAsia="方正小标宋简体"/>
          <w:color w:val="FF0000"/>
          <w:w w:val="75"/>
          <w:sz w:val="60"/>
        </w:rPr>
        <w:t>中国证券监督管理委员会广东监管局</w:t>
      </w:r>
    </w:p>
    <w:p>
      <w:pPr>
        <w:snapToGrid w:val="0"/>
        <w:spacing w:line="300" w:lineRule="auto"/>
        <w:ind w:right="-194"/>
        <w:jc w:val="center"/>
        <w:rPr>
          <w:rFonts w:hint="eastAsia" w:ascii="方正小标宋简体" w:hAnsi="方正小标宋简体" w:eastAsia="方正小标宋简体"/>
          <w:snapToGrid w:val="0"/>
          <w:color w:val="FF0000"/>
          <w:spacing w:val="136"/>
          <w:kern w:val="0"/>
          <w:sz w:val="80"/>
        </w:rPr>
      </w:pPr>
      <w:r>
        <w:rPr>
          <w:rFonts w:hint="eastAsia" w:ascii="方正小标宋简体" w:hAnsi="方正小标宋简体" w:eastAsia="方正小标宋简体"/>
          <w:snapToGrid w:val="0"/>
          <w:color w:val="FF0000"/>
          <w:spacing w:val="136"/>
          <w:kern w:val="0"/>
          <w:sz w:val="80"/>
        </w:rPr>
        <w:t>行政处罚决定书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before="0" w:beforeLines="0" w:after="0" w:afterLines="0" w:line="300" w:lineRule="auto"/>
        <w:ind w:left="0" w:leftChars="0" w:right="0" w:rightChars="0"/>
        <w:jc w:val="center"/>
        <w:textAlignment w:val="auto"/>
        <w:outlineLvl w:val="9"/>
        <w:rPr>
          <w:rFonts w:hint="eastAsia" w:ascii="仿宋_GB2312" w:eastAsia="仿宋_GB2312"/>
          <w:spacing w:val="12"/>
          <w:sz w:val="16"/>
          <w:szCs w:val="16"/>
        </w:rPr>
      </w:pPr>
      <w:bookmarkStart w:id="0" w:name="quanwen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before="0" w:beforeLines="0" w:after="0" w:afterLines="0" w:line="324" w:lineRule="auto"/>
        <w:ind w:left="0" w:leftChars="0" w:right="0" w:rightChars="0"/>
        <w:jc w:val="center"/>
        <w:textAlignment w:val="auto"/>
        <w:outlineLvl w:val="9"/>
        <w:rPr>
          <w:rFonts w:hint="eastAsia" w:ascii="仿宋_GB2312" w:eastAsia="仿宋_GB2312"/>
          <w:spacing w:val="12"/>
          <w:sz w:val="28"/>
        </w:rPr>
      </w:pPr>
      <w:r>
        <w:rPr>
          <w:rFonts w:hint="eastAsia" w:ascii="仿宋_GB2312" w:eastAsia="仿宋_GB2312"/>
          <w:spacing w:val="12"/>
          <w:sz w:val="28"/>
        </w:rPr>
        <w:t>〔20</w:t>
      </w:r>
      <w:r>
        <w:rPr>
          <w:rFonts w:hint="eastAsia" w:ascii="仿宋_GB2312" w:eastAsia="仿宋_GB2312"/>
          <w:spacing w:val="12"/>
          <w:sz w:val="28"/>
          <w:lang w:val="en-US" w:eastAsia="zh-CN"/>
        </w:rPr>
        <w:t>23</w:t>
      </w:r>
      <w:r>
        <w:rPr>
          <w:rFonts w:hint="eastAsia" w:ascii="仿宋_GB2312" w:eastAsia="仿宋_GB2312"/>
          <w:spacing w:val="12"/>
          <w:sz w:val="28"/>
        </w:rPr>
        <w:t>〕</w:t>
      </w:r>
      <w:r>
        <w:rPr>
          <w:rFonts w:hint="default" w:ascii="仿宋_GB2312" w:eastAsia="仿宋_GB2312"/>
          <w:spacing w:val="12"/>
          <w:sz w:val="28"/>
          <w:lang w:val="en-US" w:eastAsia="zh-CN"/>
        </w:rPr>
        <w:t>34</w:t>
      </w:r>
      <w:r>
        <w:rPr>
          <w:rFonts w:hint="eastAsia" w:ascii="仿宋_GB2312" w:eastAsia="仿宋_GB2312"/>
          <w:spacing w:val="12"/>
          <w:sz w:val="28"/>
        </w:rPr>
        <w:t>号</w:t>
      </w:r>
    </w:p>
    <w:bookmarkEnd w:id="1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324" w:lineRule="auto"/>
        <w:ind w:left="0" w:leftChars="0" w:right="0" w:rightChars="0" w:firstLine="512" w:firstLineChars="200"/>
        <w:textAlignment w:val="auto"/>
        <w:outlineLvl w:val="9"/>
        <w:rPr>
          <w:rFonts w:hint="eastAsia" w:ascii="仿宋_GB2312" w:eastAsia="仿宋_GB2312"/>
          <w:spacing w:val="8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324" w:lineRule="auto"/>
        <w:ind w:left="0" w:leftChars="0" w:right="0" w:rightChars="0" w:firstLine="512" w:firstLineChars="200"/>
        <w:textAlignment w:val="auto"/>
        <w:outlineLvl w:val="9"/>
        <w:rPr>
          <w:rFonts w:hint="eastAsia" w:ascii="仿宋_GB2312" w:eastAsia="仿宋_GB2312"/>
          <w:spacing w:val="8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Lines="0" w:after="0" w:afterLines="0" w:line="360" w:lineRule="auto"/>
        <w:ind w:left="0" w:leftChars="0" w:right="0" w:rightChars="0" w:firstLine="64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当事人：搜于特集团股份有限公司（以下简称搜于特），住所：广东省东莞市道滘镇新鸿昌路1号。</w:t>
      </w: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Lines="0" w:after="0" w:afterLines="0" w:line="360" w:lineRule="auto"/>
        <w:ind w:left="0" w:leftChars="0" w:right="0" w:rightChars="0" w:firstLine="64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依据《中华人民共和国证券法》（以下简称《证券法》）的有关规定，我局对搜于特信息披露违法违规行为进行了立案调查、审理，并依法向当事人告知了作出行政处罚的事实、理由、依据及当事人依法享有的权利。当事人未提出陈述、申辩意见，也未要求听证。本案现已调查、审理终结。</w:t>
      </w: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6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经查明，</w:t>
      </w:r>
      <w:r>
        <w:rPr>
          <w:rFonts w:hint="eastAsia" w:ascii="仿宋_GB2312" w:hAnsi="仿宋_GB2312" w:eastAsia="仿宋_GB2312" w:cs="Times New Roman"/>
          <w:sz w:val="32"/>
          <w:szCs w:val="32"/>
          <w:lang w:val="en-US" w:eastAsia="zh-CN"/>
        </w:rPr>
        <w:t>搜于特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存在以下违法事实：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51"/>
          <w:tab w:val="left" w:pos="1276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360" w:lineRule="auto"/>
        <w:ind w:firstLine="64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一、搜于特2020年半年报、2020年年报、2021年年报存在虚假记载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51"/>
          <w:tab w:val="left" w:pos="1276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360" w:lineRule="auto"/>
        <w:ind w:firstLine="640"/>
        <w:textAlignment w:val="auto"/>
        <w:rPr>
          <w:rFonts w:hint="eastAsia" w:ascii="仿宋_GB2312" w:hAnsi="仿宋_GB2312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sz w:val="32"/>
          <w:szCs w:val="32"/>
          <w:lang w:val="en-US" w:eastAsia="zh-CN"/>
        </w:rPr>
        <w:t>2020年至2021年，搜于特、搜于特子公司东莞市搜于特供应链管理有限公司（以下简称东莞供应链）、厦门瑞悦隆供应链管理有限公司（以下简称瑞悦隆供应链）介入逸盛大化石化有限公司（以下简称逸盛大化）、鑫东森集团有限公司（以下简称鑫东森集团）等公司相关精对苯二甲酸（以下简称PTA）贸易业务，形成采购与销售多层流转的贸易链条，以逸盛大化、鑫东森集团或其关联方作为业务起点，逸盛大化子公司、鑫东森集团关联公司作为业务终点。PTA货物以货权确认</w:t>
      </w:r>
      <w:r>
        <w:rPr>
          <w:rFonts w:hint="eastAsia" w:ascii="仿宋_GB2312" w:hAnsi="仿宋_GB2312" w:eastAsia="仿宋_GB2312" w:cs="Times New Roman"/>
          <w:sz w:val="32"/>
          <w:szCs w:val="32"/>
          <w:highlight w:val="none"/>
          <w:lang w:val="en-US" w:eastAsia="zh-CN"/>
        </w:rPr>
        <w:t>单据</w:t>
      </w:r>
      <w:r>
        <w:rPr>
          <w:rFonts w:hint="eastAsia" w:ascii="仿宋_GB2312" w:hAnsi="仿宋_GB2312" w:eastAsia="仿宋_GB2312" w:cs="Times New Roman"/>
          <w:sz w:val="32"/>
          <w:szCs w:val="32"/>
          <w:lang w:val="en-US" w:eastAsia="zh-CN"/>
        </w:rPr>
        <w:t>形式，在介入贸易链的各个主体间流转，采购和销售数量逐笔对应，货物实际控制权未真实发生转移，所开展的PTA购销业务无商业实质。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51"/>
          <w:tab w:val="left" w:pos="1276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360" w:lineRule="auto"/>
        <w:ind w:firstLine="640"/>
        <w:textAlignment w:val="auto"/>
        <w:rPr>
          <w:rFonts w:hint="eastAsia" w:ascii="仿宋_GB2312" w:hAnsi="仿宋_GB2312" w:eastAsia="仿宋_GB2312" w:cs="Times New Roman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b w:val="0"/>
          <w:bCs/>
          <w:sz w:val="32"/>
          <w:szCs w:val="32"/>
          <w:lang w:val="en-US" w:eastAsia="zh-CN"/>
        </w:rPr>
        <w:t>通过以上方式，搜于特及其子公司东莞供应链、瑞悦隆供应链开展无商业实质的PTA贸易业务虚增营业收入、虚减利润。搜于特2020年半年报、2020年年报、2021年年报分别虚增营业收入1,076,851,571.63元、1,835,096,087.28元、615,679,260.55元，占当期营业总收入比例为28.15%、21.27%、11.89%</w:t>
      </w:r>
      <w:r>
        <w:rPr>
          <w:rFonts w:hint="eastAsia" w:ascii="仿宋_GB2312" w:hAnsi="仿宋_GB2312" w:eastAsia="仿宋_GB2312"/>
          <w:bCs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Times New Roman"/>
          <w:b w:val="0"/>
          <w:bCs/>
          <w:sz w:val="32"/>
          <w:szCs w:val="32"/>
          <w:lang w:val="en-US" w:eastAsia="zh-CN"/>
        </w:rPr>
        <w:t>虚减利润2,123,511.31元、9,030,251.37元、6,200,444.47元，占当期利润总额比例为5.13%、0.47%、0.19%。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51"/>
          <w:tab w:val="left" w:pos="1276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360" w:lineRule="auto"/>
        <w:ind w:firstLine="64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二、搜于特未按规定披露关联交易，2021年年报存在重大遗漏</w:t>
      </w: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6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sz w:val="32"/>
          <w:szCs w:val="32"/>
          <w:lang w:val="en-US" w:eastAsia="zh-CN"/>
        </w:rPr>
        <w:t>搜于特子公司浙江东利源供应链管理有限公司（以下简称东利源）与绍兴市东升针纺有限公司（以下简称东升针纺）、绍兴市东源针织有限公司（以下简称东源针织）存在以下关系：第一，2021年10月起，东利源代管东升针纺、东源针织的业务审批。第二，东源针织、东升针纺的部分采购、销售业务由东利源的工作人员办理。第三，东利源、东源针织、东升针纺共用一个库存管理系统账号、密码。东利源与东源针织、东升针纺存在的上述关系，符合《企业会计准则第36号——关联方披露》第三条第一款“一方控制、共同控制另一方或对另一方施加重大影响，以及两方或两方以上同受一方控制、共同控制或重大影响的，构成关联方”规定所述的情形。同时，根据实质重于形式的原则，东源针织、东升针纺也符合《上市公司信息披露管理办法》（证监会令第182号）第六十二条第四项所述与上市公司有特殊关系，可能或者已经造成上市公司对其利益倾斜的法人的情形。</w:t>
      </w: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6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Times New Roman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Times New Roman"/>
          <w:sz w:val="32"/>
          <w:szCs w:val="32"/>
          <w:lang w:val="en-US" w:eastAsia="zh-CN"/>
        </w:rPr>
        <w:t>2021年10月至12月期间，东利源与东升针纺发生采购交易合计78,394,916.74元</w:t>
      </w:r>
      <w:r>
        <w:rPr>
          <w:rFonts w:hint="eastAsia" w:ascii="仿宋_GB2312" w:hAnsi="仿宋_GB2312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仿宋_GB2312" w:hAnsi="仿宋_GB2312" w:eastAsia="仿宋_GB2312" w:cs="Times New Roman"/>
          <w:sz w:val="32"/>
          <w:szCs w:val="32"/>
          <w:lang w:val="en-US" w:eastAsia="zh-CN"/>
        </w:rPr>
        <w:t>与东源针织发生销售交易合计69,951,988.98元</w:t>
      </w:r>
      <w:r>
        <w:rPr>
          <w:rFonts w:hint="eastAsia" w:ascii="仿宋_GB2312" w:hAnsi="仿宋_GB2312" w:eastAsia="仿宋_GB2312" w:cs="Times New Roman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/>
          <w:sz w:val="32"/>
          <w:szCs w:val="32"/>
        </w:rPr>
        <w:t>上述关联交易金额合计148,346,905.7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/>
          <w:sz w:val="32"/>
          <w:szCs w:val="32"/>
        </w:rPr>
        <w:t>元，占上市公司披露的2021年年报记载的净资产绝对值比例为30.79%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Times New Roman"/>
          <w:sz w:val="32"/>
          <w:szCs w:val="32"/>
          <w:lang w:val="en-US" w:eastAsia="zh-CN"/>
        </w:rPr>
        <w:t>搜于特未按规定及时披露东利源与东源针织、东升针纺的关联关系情况及上述关联交易，也未在2021年年报中披露，存在重大遗漏。</w:t>
      </w: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6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default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sz w:val="32"/>
          <w:szCs w:val="32"/>
          <w:lang w:val="en-US" w:eastAsia="zh-CN"/>
        </w:rPr>
        <w:t>上述</w:t>
      </w:r>
      <w:r>
        <w:rPr>
          <w:rFonts w:hint="default" w:ascii="仿宋_GB2312" w:hAnsi="仿宋_GB2312" w:eastAsia="仿宋_GB2312" w:cs="Times New Roman"/>
          <w:sz w:val="32"/>
          <w:szCs w:val="32"/>
          <w:lang w:val="en" w:eastAsia="zh-CN"/>
        </w:rPr>
        <w:t>有关</w:t>
      </w:r>
      <w:r>
        <w:rPr>
          <w:rFonts w:hint="eastAsia" w:ascii="仿宋_GB2312" w:hAnsi="仿宋_GB2312" w:eastAsia="仿宋_GB2312" w:cs="Times New Roman"/>
          <w:sz w:val="32"/>
          <w:szCs w:val="32"/>
          <w:lang w:val="en-US" w:eastAsia="zh-CN"/>
        </w:rPr>
        <w:t>违法事实，有上市公司公告、相关银行账户资金流水、记账凭证及原始凭证、情况说明、询问笔录等证据证明，足以认定。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60" w:lineRule="auto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sz w:val="32"/>
          <w:szCs w:val="32"/>
          <w:lang w:val="en-US" w:eastAsia="zh-CN"/>
        </w:rPr>
        <w:t>我局认为，搜于特公告的2020年半年报、2020年年报、2021年年报存在虚假记载，违反《证券法》第七十八条第二款、第七十九条的规定，构成《证券法》第一百九十七条第二款所述违法行为。搜于特未及时披露关联交易、2021年年报存在重大遗漏，违反《证券法》第七十八条第二款、第七十九条第一项、第八十条第一款、第二款第三项的规定，构成《证券法》第一百九十七条第一款、第二款所述违法行为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Lines="0" w:afterLines="0" w:line="360" w:lineRule="auto"/>
        <w:ind w:firstLine="640" w:firstLineChars="200"/>
        <w:textAlignment w:val="auto"/>
        <w:rPr>
          <w:rFonts w:hint="eastAsia" w:ascii="仿宋_GB2312" w:hAnsi="仿宋_GB2312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spacing w:val="0"/>
          <w:sz w:val="32"/>
          <w:szCs w:val="32"/>
          <w:lang w:val="en-US" w:eastAsia="zh-CN"/>
        </w:rPr>
        <w:t>综合考虑本案搜于特开展无商业实质的PTA贸易业务持续时间不足两年，因该业务导致的虚减利润金额当年占比均不足1%，而子公司关联交易涉及的采购、销售财务数据已在合并报表中披露，且本案不涉及资金占用，搜于特在调查中能够积极配合开展调查询问并提供调查所需材料。根据当事人违法行为的事实、性质、情节及社会危害程度，</w:t>
      </w:r>
      <w:r>
        <w:rPr>
          <w:rFonts w:hint="default" w:ascii="仿宋_GB2312" w:hAnsi="仿宋_GB2312" w:eastAsia="仿宋_GB2312" w:cs="Times New Roman"/>
          <w:spacing w:val="0"/>
          <w:sz w:val="32"/>
          <w:szCs w:val="32"/>
          <w:lang w:val="en-US" w:eastAsia="zh-CN"/>
        </w:rPr>
        <w:t>依据《证券法》第一百九十七条</w:t>
      </w:r>
      <w:r>
        <w:rPr>
          <w:rFonts w:hint="eastAsia" w:ascii="仿宋_GB2312" w:hAnsi="仿宋_GB2312" w:eastAsia="仿宋_GB2312" w:cs="Times New Roman"/>
          <w:spacing w:val="0"/>
          <w:sz w:val="32"/>
          <w:szCs w:val="32"/>
          <w:lang w:val="en-US" w:eastAsia="zh-CN"/>
        </w:rPr>
        <w:t>第二款</w:t>
      </w:r>
      <w:r>
        <w:rPr>
          <w:rFonts w:hint="default" w:ascii="仿宋_GB2312" w:hAnsi="仿宋_GB2312" w:eastAsia="仿宋_GB2312" w:cs="Times New Roman"/>
          <w:spacing w:val="0"/>
          <w:sz w:val="32"/>
          <w:szCs w:val="32"/>
          <w:lang w:val="en-US" w:eastAsia="zh-CN"/>
        </w:rPr>
        <w:t>的规定，</w:t>
      </w:r>
      <w:r>
        <w:rPr>
          <w:rFonts w:hint="eastAsia" w:ascii="仿宋_GB2312" w:hAnsi="仿宋_GB2312" w:eastAsia="仿宋_GB2312" w:cs="Times New Roman"/>
          <w:spacing w:val="0"/>
          <w:sz w:val="32"/>
          <w:szCs w:val="32"/>
          <w:lang w:val="en-US" w:eastAsia="zh-CN"/>
        </w:rPr>
        <w:t>我局决定：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Lines="0" w:afterLines="0" w:line="360" w:lineRule="auto"/>
        <w:ind w:firstLine="640" w:firstLineChars="200"/>
        <w:jc w:val="both"/>
        <w:textAlignment w:val="auto"/>
        <w:outlineLvl w:val="0"/>
        <w:rPr>
          <w:rFonts w:hint="eastAsia" w:ascii="仿宋_GB2312" w:hAnsi="仿宋_GB2312" w:eastAsia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spacing w:val="0"/>
          <w:sz w:val="32"/>
          <w:szCs w:val="32"/>
          <w:lang w:val="en-US" w:eastAsia="zh-CN"/>
        </w:rPr>
        <w:t>对搜于特集团股份有限公司责令改正，给予警告，并处以300万元的罚款。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Lines="0" w:afterLines="0" w:line="360" w:lineRule="auto"/>
        <w:ind w:firstLine="640" w:firstLineChars="200"/>
        <w:jc w:val="both"/>
        <w:textAlignment w:val="auto"/>
        <w:outlineLvl w:val="0"/>
        <w:rPr>
          <w:rFonts w:hint="eastAsia" w:ascii="仿宋_GB2312" w:hAnsi="仿宋_GB2312" w:eastAsia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spacing w:val="0"/>
          <w:sz w:val="32"/>
          <w:szCs w:val="32"/>
          <w:lang w:val="en-US" w:eastAsia="zh-CN"/>
        </w:rPr>
        <w:t>当事人应自收到本处罚决定书之日起15日内，将罚款汇交中国证券监督管理委员会，开户银行：中信银行北京分行营业部，账号7111010189800000162，由该行直接上缴国库，并将注有当事人名称的付款凭证复印件送我局备案。当事人如果对本处罚决定不服，可在收到本处罚决定书之日起60日内向中国证券监督管理委员会申请行政复议，也可在收到本处罚决定书之日起6个月内直接向有管辖权的人民法院提起行政诉讼。复议和诉讼期间，上述决定不停止执行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ascii="宋体" w:hAnsi="宋体" w:cs="宋体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ascii="宋体" w:hAnsi="宋体" w:cs="宋体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ascii="宋体" w:hAnsi="宋体" w:cs="宋体"/>
          <w:color w:val="000000"/>
          <w:sz w:val="28"/>
          <w:szCs w:val="28"/>
        </w:rPr>
      </w:pPr>
    </w:p>
    <w:p>
      <w:pPr>
        <w:adjustRightInd w:val="0"/>
        <w:snapToGrid w:val="0"/>
        <w:spacing w:line="360" w:lineRule="auto"/>
        <w:ind w:right="1705"/>
        <w:jc w:val="right"/>
        <w:rPr>
          <w:rFonts w:hint="eastAsia" w:ascii="仿宋_GB2312" w:hAnsi="Times New Roman" w:eastAsia="仿宋_GB2312" w:cs="Times New Roman"/>
          <w:color w:val="000000"/>
          <w:sz w:val="32"/>
        </w:rPr>
      </w:pPr>
      <w:r>
        <w:rPr>
          <w:rFonts w:hint="eastAsia" w:ascii="仿宋_GB2312" w:hAnsi="Times New Roman" w:eastAsia="仿宋_GB2312" w:cs="Times New Roman"/>
          <w:color w:val="000000"/>
          <w:sz w:val="32"/>
        </w:rPr>
        <w:t>广东证监局</w:t>
      </w:r>
    </w:p>
    <w:p>
      <w:pPr>
        <w:widowControl/>
        <w:numPr>
          <w:ilvl w:val="0"/>
          <w:numId w:val="0"/>
        </w:numPr>
        <w:pBdr>
          <w:top w:val="none" w:color="auto" w:sz="0" w:space="0"/>
          <w:bottom w:val="none" w:color="auto" w:sz="0" w:space="0"/>
        </w:pBdr>
        <w:adjustRightInd w:val="0"/>
        <w:snapToGrid w:val="0"/>
        <w:spacing w:beforeLines="0" w:afterLines="0" w:line="360" w:lineRule="auto"/>
        <w:ind w:right="1134"/>
        <w:jc w:val="right"/>
        <w:outlineLvl w:val="9"/>
      </w:pP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lang w:eastAsia="zh-CN"/>
        </w:rPr>
        <w:t>2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lang w:val="en-US" w:eastAsia="zh-CN"/>
        </w:rPr>
        <w:t>023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</w:rPr>
        <w:t>年</w:t>
      </w:r>
      <w:r>
        <w:rPr>
          <w:rFonts w:hint="default" w:ascii="仿宋_GB2312" w:eastAsia="仿宋_GB2312" w:cs="Times New Roman"/>
          <w:color w:val="000000"/>
          <w:spacing w:val="10"/>
          <w:sz w:val="32"/>
          <w:lang w:val="en-US" w:eastAsia="zh-CN"/>
        </w:rPr>
        <w:t>12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</w:rPr>
        <w:t>月</w:t>
      </w:r>
      <w:r>
        <w:rPr>
          <w:rFonts w:hint="default" w:ascii="仿宋_GB2312" w:eastAsia="仿宋_GB2312" w:cs="Times New Roman"/>
          <w:color w:val="000000"/>
          <w:spacing w:val="10"/>
          <w:sz w:val="32"/>
          <w:lang w:val="en-US" w:eastAsia="zh-CN"/>
        </w:rPr>
        <w:t>21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</w:rPr>
        <w:t>日</w:t>
      </w:r>
    </w:p>
    <w:p>
      <w:pPr>
        <w:adjustRightInd w:val="0"/>
        <w:snapToGrid w:val="0"/>
        <w:spacing w:line="360" w:lineRule="auto"/>
        <w:jc w:val="left"/>
        <w:rPr>
          <w:rFonts w:hint="eastAsia" w:ascii="黑体" w:eastAsia="黑体"/>
          <w:spacing w:val="8"/>
          <w:sz w:val="32"/>
          <w:szCs w:val="32"/>
        </w:rPr>
      </w:pPr>
    </w:p>
    <w:p>
      <w:pPr>
        <w:snapToGrid w:val="0"/>
        <w:spacing w:line="360" w:lineRule="auto"/>
        <w:ind w:right="28"/>
        <w:jc w:val="left"/>
        <w:rPr>
          <w:rFonts w:ascii="黑体" w:eastAsia="黑体"/>
          <w:spacing w:val="8"/>
          <w:sz w:val="32"/>
          <w:szCs w:val="32"/>
        </w:rPr>
      </w:pPr>
    </w:p>
    <w:p>
      <w:pPr>
        <w:snapToGrid w:val="0"/>
        <w:spacing w:line="360" w:lineRule="auto"/>
        <w:ind w:right="28"/>
        <w:jc w:val="left"/>
        <w:rPr>
          <w:rFonts w:ascii="黑体" w:eastAsia="黑体"/>
          <w:spacing w:val="8"/>
          <w:sz w:val="32"/>
          <w:szCs w:val="32"/>
        </w:rPr>
      </w:pPr>
    </w:p>
    <w:p>
      <w:pPr>
        <w:snapToGrid w:val="0"/>
        <w:spacing w:line="360" w:lineRule="auto"/>
        <w:ind w:right="28"/>
        <w:jc w:val="left"/>
        <w:rPr>
          <w:rFonts w:ascii="黑体" w:eastAsia="黑体"/>
          <w:spacing w:val="8"/>
          <w:sz w:val="32"/>
          <w:szCs w:val="32"/>
        </w:rPr>
      </w:pPr>
    </w:p>
    <w:p>
      <w:pPr>
        <w:snapToGrid w:val="0"/>
        <w:spacing w:line="360" w:lineRule="auto"/>
        <w:ind w:right="28"/>
        <w:jc w:val="left"/>
        <w:rPr>
          <w:rFonts w:ascii="黑体" w:eastAsia="黑体"/>
          <w:spacing w:val="8"/>
          <w:sz w:val="32"/>
          <w:szCs w:val="32"/>
        </w:rPr>
      </w:pPr>
    </w:p>
    <w:p>
      <w:pPr>
        <w:adjustRightInd w:val="0"/>
        <w:snapToGrid w:val="0"/>
        <w:spacing w:line="360" w:lineRule="auto"/>
        <w:jc w:val="left"/>
        <w:rPr>
          <w:rFonts w:hint="eastAsia" w:ascii="黑体" w:eastAsia="黑体"/>
          <w:spacing w:val="8"/>
          <w:sz w:val="32"/>
          <w:szCs w:val="32"/>
        </w:rPr>
      </w:pPr>
    </w:p>
    <w:p>
      <w:pPr>
        <w:snapToGrid w:val="0"/>
        <w:spacing w:line="360" w:lineRule="auto"/>
        <w:ind w:right="28"/>
        <w:jc w:val="left"/>
        <w:rPr>
          <w:rFonts w:ascii="黑体" w:eastAsia="黑体"/>
          <w:spacing w:val="8"/>
          <w:sz w:val="32"/>
          <w:szCs w:val="32"/>
        </w:rPr>
      </w:pPr>
    </w:p>
    <w:p>
      <w:pPr>
        <w:adjustRightInd w:val="0"/>
        <w:snapToGrid w:val="0"/>
        <w:spacing w:line="360" w:lineRule="auto"/>
        <w:jc w:val="left"/>
        <w:rPr>
          <w:rFonts w:hint="eastAsia" w:ascii="黑体" w:eastAsia="黑体"/>
          <w:spacing w:val="8"/>
          <w:sz w:val="32"/>
          <w:szCs w:val="32"/>
        </w:rPr>
      </w:pPr>
    </w:p>
    <w:p>
      <w:pPr>
        <w:snapToGrid w:val="0"/>
        <w:spacing w:line="360" w:lineRule="auto"/>
        <w:ind w:right="28"/>
        <w:jc w:val="left"/>
        <w:rPr>
          <w:rFonts w:ascii="黑体" w:eastAsia="黑体"/>
          <w:spacing w:val="8"/>
          <w:sz w:val="32"/>
          <w:szCs w:val="32"/>
        </w:rPr>
      </w:pPr>
    </w:p>
    <w:bookmarkEnd w:id="0"/>
    <w:p>
      <w:pPr>
        <w:snapToGrid w:val="0"/>
        <w:spacing w:beforeLines="0" w:afterLines="0"/>
        <w:rPr>
          <w:sz w:val="2"/>
          <w:szCs w:val="2"/>
        </w:rPr>
      </w:pPr>
    </w:p>
    <w:sectPr>
      <w:headerReference r:id="rId3" w:type="default"/>
      <w:footerReference r:id="rId4" w:type="default"/>
      <w:pgSz w:w="11906" w:h="16838"/>
      <w:pgMar w:top="2097" w:right="1474" w:bottom="1984" w:left="1587" w:header="851" w:footer="1587" w:gutter="0"/>
      <w:pgNumType w:fmt="numberInDash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长城仿宋">
    <w:altName w:val="宋体"/>
    <w:panose1 w:val="02010609000101010101"/>
    <w:charset w:val="00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FgAAAGRycy9QSwEC&#10;FAAUAAAACACHTuJAs0lY7tAAAAAFAQAADwAAAAAAAAABACAAAAA4AAAAZHJzL2Rvd25yZXYueG1s&#10;UEsBAhQAFAAAAAgAh07iQMCtmvAjAgAAOQQAAA4AAAAAAAAAAQAgAAAANQ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revisionView w:markup="0"/>
  <w:documentProtection w:edit="readOnly"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8E535A"/>
    <w:rsid w:val="01EE3C37"/>
    <w:rsid w:val="0387042E"/>
    <w:rsid w:val="04DC3BAB"/>
    <w:rsid w:val="08103B8A"/>
    <w:rsid w:val="08E52704"/>
    <w:rsid w:val="08FA938F"/>
    <w:rsid w:val="092D18A9"/>
    <w:rsid w:val="093F1451"/>
    <w:rsid w:val="0B0A2458"/>
    <w:rsid w:val="0FF868D8"/>
    <w:rsid w:val="10AC1C3A"/>
    <w:rsid w:val="10E84883"/>
    <w:rsid w:val="158072DF"/>
    <w:rsid w:val="159F9BAB"/>
    <w:rsid w:val="16043697"/>
    <w:rsid w:val="1B8761D5"/>
    <w:rsid w:val="1C027F3B"/>
    <w:rsid w:val="1D2836F9"/>
    <w:rsid w:val="1F9D35F0"/>
    <w:rsid w:val="1FF79328"/>
    <w:rsid w:val="242F10C3"/>
    <w:rsid w:val="255F673A"/>
    <w:rsid w:val="25F63E98"/>
    <w:rsid w:val="265B67AE"/>
    <w:rsid w:val="29FF5613"/>
    <w:rsid w:val="2A7BF9EC"/>
    <w:rsid w:val="2BEA4B19"/>
    <w:rsid w:val="2C9F7D10"/>
    <w:rsid w:val="2F6B5FF1"/>
    <w:rsid w:val="304E2C57"/>
    <w:rsid w:val="310930B0"/>
    <w:rsid w:val="32CE0878"/>
    <w:rsid w:val="339F1A43"/>
    <w:rsid w:val="35404C63"/>
    <w:rsid w:val="35F75A41"/>
    <w:rsid w:val="368C1A00"/>
    <w:rsid w:val="36FF9721"/>
    <w:rsid w:val="3768B604"/>
    <w:rsid w:val="37FB0412"/>
    <w:rsid w:val="37FE1425"/>
    <w:rsid w:val="394752ED"/>
    <w:rsid w:val="3A4504DD"/>
    <w:rsid w:val="3A510F7D"/>
    <w:rsid w:val="3D707408"/>
    <w:rsid w:val="3D7C7E2A"/>
    <w:rsid w:val="3EFE14A3"/>
    <w:rsid w:val="3FBF8230"/>
    <w:rsid w:val="3FFE46AD"/>
    <w:rsid w:val="3FFF8BC9"/>
    <w:rsid w:val="42DE6A81"/>
    <w:rsid w:val="4467652F"/>
    <w:rsid w:val="457E21BD"/>
    <w:rsid w:val="46032A33"/>
    <w:rsid w:val="484553C4"/>
    <w:rsid w:val="48586558"/>
    <w:rsid w:val="48F0368A"/>
    <w:rsid w:val="48FE1925"/>
    <w:rsid w:val="490C2616"/>
    <w:rsid w:val="499C5345"/>
    <w:rsid w:val="4B9F25AF"/>
    <w:rsid w:val="4CC50A33"/>
    <w:rsid w:val="4DF6566B"/>
    <w:rsid w:val="4F68501F"/>
    <w:rsid w:val="50784FF7"/>
    <w:rsid w:val="52D97D33"/>
    <w:rsid w:val="534D5323"/>
    <w:rsid w:val="53A54CC2"/>
    <w:rsid w:val="54F56B5A"/>
    <w:rsid w:val="5523120C"/>
    <w:rsid w:val="56B705B0"/>
    <w:rsid w:val="570CFED5"/>
    <w:rsid w:val="57930E6A"/>
    <w:rsid w:val="5B1800A2"/>
    <w:rsid w:val="5B9D222E"/>
    <w:rsid w:val="5BBB2438"/>
    <w:rsid w:val="5BCD6048"/>
    <w:rsid w:val="5C7DBC77"/>
    <w:rsid w:val="5DA368D1"/>
    <w:rsid w:val="5DDA46E9"/>
    <w:rsid w:val="5F3F6B5C"/>
    <w:rsid w:val="60F37A16"/>
    <w:rsid w:val="6161507D"/>
    <w:rsid w:val="62D07B0B"/>
    <w:rsid w:val="62E63586"/>
    <w:rsid w:val="64593189"/>
    <w:rsid w:val="646E00F3"/>
    <w:rsid w:val="65063D4A"/>
    <w:rsid w:val="656E6FDA"/>
    <w:rsid w:val="65BBEDE2"/>
    <w:rsid w:val="674972E0"/>
    <w:rsid w:val="676524C1"/>
    <w:rsid w:val="6774EDB4"/>
    <w:rsid w:val="67AD4321"/>
    <w:rsid w:val="69BFCE99"/>
    <w:rsid w:val="69EE5740"/>
    <w:rsid w:val="6AA50818"/>
    <w:rsid w:val="6B7B7991"/>
    <w:rsid w:val="6BBFE434"/>
    <w:rsid w:val="6BE46820"/>
    <w:rsid w:val="6D84113C"/>
    <w:rsid w:val="6EDECB42"/>
    <w:rsid w:val="6EEF8B74"/>
    <w:rsid w:val="6F1FECAB"/>
    <w:rsid w:val="6FB30963"/>
    <w:rsid w:val="6FE09C35"/>
    <w:rsid w:val="6FFB00D6"/>
    <w:rsid w:val="6FFF1F09"/>
    <w:rsid w:val="70041F3C"/>
    <w:rsid w:val="727EDD9F"/>
    <w:rsid w:val="73CF2A8D"/>
    <w:rsid w:val="7662311E"/>
    <w:rsid w:val="7726123F"/>
    <w:rsid w:val="77ED4529"/>
    <w:rsid w:val="78FC60B2"/>
    <w:rsid w:val="7A4F8512"/>
    <w:rsid w:val="7A6F73E3"/>
    <w:rsid w:val="7A9FE4C4"/>
    <w:rsid w:val="7AEF34AE"/>
    <w:rsid w:val="7AFF409E"/>
    <w:rsid w:val="7B9FCE30"/>
    <w:rsid w:val="7DD3965B"/>
    <w:rsid w:val="7DDB151D"/>
    <w:rsid w:val="7EE2272E"/>
    <w:rsid w:val="7EED9AB5"/>
    <w:rsid w:val="7FA5A954"/>
    <w:rsid w:val="7FDEA870"/>
    <w:rsid w:val="7FDF78F2"/>
    <w:rsid w:val="7FDFC4AE"/>
    <w:rsid w:val="7FF79EF4"/>
    <w:rsid w:val="7FFFCBB7"/>
    <w:rsid w:val="9BEE2EAC"/>
    <w:rsid w:val="9BF5DF84"/>
    <w:rsid w:val="9DDD2426"/>
    <w:rsid w:val="9EDE7063"/>
    <w:rsid w:val="9F3F765B"/>
    <w:rsid w:val="ABF300C3"/>
    <w:rsid w:val="AF722F6C"/>
    <w:rsid w:val="AFBBBDEF"/>
    <w:rsid w:val="B9CF0F6F"/>
    <w:rsid w:val="BB3532C9"/>
    <w:rsid w:val="BBAD257E"/>
    <w:rsid w:val="BBBAF94A"/>
    <w:rsid w:val="BBDD45E3"/>
    <w:rsid w:val="BDE9203D"/>
    <w:rsid w:val="BF6A7A0E"/>
    <w:rsid w:val="BF7F91E8"/>
    <w:rsid w:val="BFBFDBC2"/>
    <w:rsid w:val="BFEF0D06"/>
    <w:rsid w:val="BFFFD36C"/>
    <w:rsid w:val="D317E9D9"/>
    <w:rsid w:val="D7DF7652"/>
    <w:rsid w:val="DBFDF507"/>
    <w:rsid w:val="DD78ED5D"/>
    <w:rsid w:val="DDDCEF29"/>
    <w:rsid w:val="DEFFA3AF"/>
    <w:rsid w:val="E67F6415"/>
    <w:rsid w:val="ECFFF080"/>
    <w:rsid w:val="EDBEE004"/>
    <w:rsid w:val="EF7F8092"/>
    <w:rsid w:val="F7B92056"/>
    <w:rsid w:val="F7C98A9C"/>
    <w:rsid w:val="F7EEE0D5"/>
    <w:rsid w:val="F7FF8EFF"/>
    <w:rsid w:val="FB7E8CA0"/>
    <w:rsid w:val="FBD30D73"/>
    <w:rsid w:val="FBFF0D4A"/>
    <w:rsid w:val="FBFF75E5"/>
    <w:rsid w:val="FC3CA113"/>
    <w:rsid w:val="FD7DFEC7"/>
    <w:rsid w:val="FDEF8723"/>
    <w:rsid w:val="FEFB03F7"/>
    <w:rsid w:val="FEFDA64A"/>
    <w:rsid w:val="FFB6EABF"/>
    <w:rsid w:val="FFBD7CAE"/>
    <w:rsid w:val="FFDFDD05"/>
    <w:rsid w:val="FFEF2DDE"/>
    <w:rsid w:val="FFEFF658"/>
    <w:rsid w:val="FFF9D441"/>
    <w:rsid w:val="FFFF1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link w:val="12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 w:cs="Times New Roman"/>
      <w:b/>
      <w:sz w:val="32"/>
      <w:szCs w:val="20"/>
    </w:rPr>
  </w:style>
  <w:style w:type="character" w:default="1" w:styleId="9">
    <w:name w:val="Default Paragraph Font"/>
    <w:qFormat/>
    <w:uiPriority w:val="0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Indent"/>
    <w:next w:val="1"/>
    <w:qFormat/>
    <w:uiPriority w:val="0"/>
    <w:pPr>
      <w:widowControl w:val="0"/>
      <w:spacing w:line="240" w:lineRule="auto"/>
      <w:ind w:firstLine="420"/>
      <w:jc w:val="both"/>
      <w:textAlignment w:val="baseline"/>
    </w:pPr>
    <w:rPr>
      <w:rFonts w:ascii="宋体" w:hAnsi="Calibri" w:eastAsia="宋体" w:cs="Times New Roman"/>
      <w:kern w:val="0"/>
      <w:sz w:val="21"/>
      <w:szCs w:val="24"/>
      <w:lang w:val="en-US" w:eastAsia="zh-CN" w:bidi="ar-SA"/>
    </w:rPr>
  </w:style>
  <w:style w:type="paragraph" w:styleId="4">
    <w:name w:val="footer"/>
    <w:basedOn w:val="1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 w:eastAsia="宋体" w:cs="Times New Roman"/>
      <w:sz w:val="18"/>
      <w:szCs w:val="20"/>
    </w:rPr>
  </w:style>
  <w:style w:type="paragraph" w:styleId="6">
    <w:name w:val="HTML Preformatted"/>
    <w:basedOn w:val="1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/>
    </w:rPr>
  </w:style>
  <w:style w:type="paragraph" w:styleId="7">
    <w:name w:val="Normal (Web)"/>
    <w:basedOn w:val="1"/>
    <w:unhideWhenUsed/>
    <w:qFormat/>
    <w:uiPriority w:val="99"/>
    <w:pPr>
      <w:spacing w:before="100" w:beforeLines="0" w:beforeAutospacing="1" w:after="100" w:afterLines="0" w:afterAutospacing="1"/>
      <w:ind w:left="0" w:right="0"/>
      <w:jc w:val="left"/>
    </w:pPr>
    <w:rPr>
      <w:rFonts w:ascii="Times New Roman" w:hAnsi="Times New Roman" w:eastAsia="宋体" w:cs="Times New Roman"/>
      <w:kern w:val="0"/>
      <w:sz w:val="24"/>
      <w:szCs w:val="20"/>
      <w:lang w:val="en-US" w:eastAsia="zh-CN" w:bidi="ar-SA"/>
    </w:rPr>
  </w:style>
  <w:style w:type="character" w:styleId="10">
    <w:name w:val="page number"/>
    <w:basedOn w:val="9"/>
    <w:qFormat/>
    <w:uiPriority w:val="0"/>
    <w:rPr>
      <w:rFonts w:ascii="Times New Roman" w:hAnsi="Times New Roman" w:eastAsia="宋体" w:cs="Times New Roman"/>
    </w:rPr>
  </w:style>
  <w:style w:type="paragraph" w:customStyle="1" w:styleId="11">
    <w:name w:val="列出段落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12">
    <w:name w:val="标题 2 Char Char Char"/>
    <w:link w:val="3"/>
    <w:qFormat/>
    <w:uiPriority w:val="0"/>
    <w:rPr>
      <w:rFonts w:ascii="Arial" w:hAnsi="Arial" w:eastAsia="黑体" w:cs="Times New Roman"/>
      <w:b/>
      <w:sz w:val="32"/>
    </w:rPr>
  </w:style>
  <w:style w:type="paragraph" w:customStyle="1" w:styleId="13">
    <w:name w:val=" Char Char Char Char Char Char1 Char Char Char"/>
    <w:basedOn w:val="1"/>
    <w:qFormat/>
    <w:uiPriority w:val="0"/>
    <w:pPr>
      <w:autoSpaceDE w:val="0"/>
      <w:autoSpaceDN w:val="0"/>
      <w:adjustRightInd w:val="0"/>
      <w:jc w:val="left"/>
      <w:textAlignment w:val="baseline"/>
    </w:pPr>
    <w:rPr>
      <w:rFonts w:ascii="Times New Roman" w:hAnsi="Times New Roman" w:eastAsia="宋体" w:cs="Times New Roman"/>
      <w:szCs w:val="20"/>
    </w:rPr>
  </w:style>
  <w:style w:type="paragraph" w:customStyle="1" w:styleId="14">
    <w:name w:val="_Style 1"/>
    <w:basedOn w:val="1"/>
    <w:qFormat/>
    <w:uiPriority w:val="0"/>
    <w:pPr>
      <w:tabs>
        <w:tab w:val="left" w:pos="360"/>
      </w:tabs>
      <w:spacing w:line="360" w:lineRule="auto"/>
    </w:pPr>
    <w:rPr>
      <w:rFonts w:ascii="Times New Roman" w:hAnsi="Times New Roman" w:eastAsia="宋体" w:cs="Times New Roman"/>
      <w:szCs w:val="20"/>
    </w:rPr>
  </w:style>
  <w:style w:type="paragraph" w:customStyle="1" w:styleId="15">
    <w:name w:val="p0"/>
    <w:basedOn w:val="1"/>
    <w:qFormat/>
    <w:uiPriority w:val="0"/>
    <w:pPr>
      <w:widowControl/>
    </w:pPr>
    <w:rPr>
      <w:rFonts w:ascii="Times New Roman" w:hAnsi="Times New Roman" w:eastAsia="宋体" w:cs="Times New Roman"/>
      <w:kern w:val="0"/>
      <w:szCs w:val="21"/>
    </w:rPr>
  </w:style>
  <w:style w:type="paragraph" w:customStyle="1" w:styleId="16">
    <w:name w:val="List Paragraph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  <w:szCs w:val="20"/>
    </w:rPr>
  </w:style>
  <w:style w:type="paragraph" w:customStyle="1" w:styleId="17">
    <w:name w:val="招股说明书"/>
    <w:basedOn w:val="1"/>
    <w:qFormat/>
    <w:uiPriority w:val="0"/>
    <w:pPr>
      <w:spacing w:line="360" w:lineRule="auto"/>
      <w:ind w:firstLine="200" w:firstLineChars="200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paragraph" w:customStyle="1" w:styleId="18">
    <w:name w:val="列出段落3"/>
    <w:basedOn w:val="1"/>
    <w:qFormat/>
    <w:uiPriority w:val="34"/>
    <w:pPr>
      <w:ind w:firstLine="420" w:firstLineChars="200"/>
    </w:pPr>
    <w:rPr>
      <w:rFonts w:ascii="Times New Roman" w:hAnsi="Times New Roman" w:eastAsia="宋体" w:cs="黑体"/>
      <w:szCs w:val="22"/>
    </w:rPr>
  </w:style>
  <w:style w:type="paragraph" w:customStyle="1" w:styleId="19">
    <w:name w:val=" Char Char3 Char Char Char Char Char Char Char Char Char Char Char Char1"/>
    <w:basedOn w:val="1"/>
    <w:qFormat/>
    <w:uiPriority w:val="0"/>
    <w:rPr>
      <w:rFonts w:ascii="Times New Roman" w:hAnsi="Times New Roman" w:eastAsia="宋体" w:cs="Times New Roman"/>
      <w:szCs w:val="20"/>
    </w:rPr>
  </w:style>
  <w:style w:type="paragraph" w:customStyle="1" w:styleId="20">
    <w:name w:val="List Paragraph1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1"/>
    </w:rPr>
  </w:style>
  <w:style w:type="paragraph" w:customStyle="1" w:styleId="21">
    <w:name w:val="Char Char Char Char"/>
    <w:basedOn w:val="1"/>
    <w:qFormat/>
    <w:uiPriority w:val="0"/>
    <w:pPr>
      <w:spacing w:before="0" w:beforeLines="0"/>
    </w:pPr>
    <w:rPr>
      <w:rFonts w:ascii="Times New Roman" w:hAnsi="Times New Roman" w:eastAsia="宋体" w:cs="Times New Roman"/>
      <w:szCs w:val="20"/>
    </w:rPr>
  </w:style>
  <w:style w:type="paragraph" w:customStyle="1" w:styleId="22">
    <w:name w:val="列出段落2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  <w:szCs w:val="20"/>
    </w:rPr>
  </w:style>
  <w:style w:type="paragraph" w:customStyle="1" w:styleId="23">
    <w:name w:val="Char Char Char Char Char Char Char Char Char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Office_11.8.2.9849_F1E327BC-269C-435d-A152-05C5408002CA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2023-12-17T00:43:00Z</dcterms:created>
  <dc:creator>奚呈</dc:creator>
  <cp:lastModifiedBy>奚呈</cp:lastModifiedBy>
  <dcterms:modified xsi:type="dcterms:W3CDTF">2023-12-28T15:29:06Z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2052-11.8.2.9849</vt:lpwstr>
  </property>
  <property fmtid="{D5CDD505-2E9C-101B-9397-08002B2CF9AE}" pid="3" name="ICV">
    <vt:lpwstr>5BCC3D07D0E6953E9B52816552E5C631</vt:lpwstr>
  </property>
</Properties>
</file>