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240" w:line="300" w:lineRule="auto"/>
        <w:jc w:val="center"/>
        <w:rPr>
          <w:rFonts w:hint="eastAsia" w:ascii="方正小标宋简体" w:hAnsi="方正小标宋简体" w:eastAsia="方正小标宋简体"/>
          <w:color w:val="FF0000"/>
          <w:spacing w:val="12"/>
          <w:w w:val="75"/>
          <w:sz w:val="60"/>
        </w:rPr>
      </w:pPr>
      <w:r>
        <w:rPr>
          <w:rFonts w:hint="eastAsia" w:ascii="方正小标宋简体" w:hAnsi="方正小标宋简体" w:eastAsia="方正小标宋简体"/>
          <w:color w:val="FF0000"/>
          <w:w w:val="75"/>
          <w:sz w:val="60"/>
        </w:rPr>
        <w:t>中国证券监督管理委员会广东监管局</w:t>
      </w:r>
    </w:p>
    <w:p>
      <w:pPr>
        <w:snapToGrid w:val="0"/>
        <w:spacing w:line="300" w:lineRule="auto"/>
        <w:ind w:right="-194"/>
        <w:jc w:val="center"/>
        <w:rPr>
          <w:rFonts w:hint="eastAsia" w:ascii="方正小标宋简体" w:hAnsi="方正小标宋简体" w:eastAsia="方正小标宋简体"/>
          <w:snapToGrid w:val="0"/>
          <w:color w:val="FF0000"/>
          <w:spacing w:val="136"/>
          <w:kern w:val="0"/>
          <w:sz w:val="80"/>
        </w:rPr>
      </w:pPr>
      <w:r>
        <w:rPr>
          <w:rFonts w:hint="eastAsia" w:ascii="方正小标宋简体" w:hAnsi="方正小标宋简体" w:eastAsia="方正小标宋简体"/>
          <w:snapToGrid w:val="0"/>
          <w:color w:val="FF0000"/>
          <w:spacing w:val="136"/>
          <w:kern w:val="0"/>
          <w:sz w:val="80"/>
        </w:rPr>
        <w:t>行政处罚决定书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324" w:lineRule="auto"/>
        <w:ind w:left="0" w:leftChars="0" w:right="0" w:rightChars="0" w:firstLine="352" w:firstLineChars="200"/>
        <w:textAlignment w:val="auto"/>
        <w:outlineLvl w:val="9"/>
        <w:rPr>
          <w:rFonts w:hint="eastAsia" w:ascii="仿宋_GB2312" w:eastAsia="仿宋_GB2312"/>
          <w:spacing w:val="8"/>
          <w:sz w:val="16"/>
          <w:szCs w:val="1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before="0" w:beforeLines="0" w:after="0" w:afterLines="0" w:line="324" w:lineRule="auto"/>
        <w:ind w:left="0" w:leftChars="0" w:right="0" w:rightChars="0"/>
        <w:jc w:val="center"/>
        <w:textAlignment w:val="auto"/>
        <w:outlineLvl w:val="9"/>
        <w:rPr>
          <w:rFonts w:hint="eastAsia" w:ascii="仿宋_GB2312" w:eastAsia="仿宋_GB2312"/>
          <w:spacing w:val="12"/>
          <w:sz w:val="28"/>
        </w:rPr>
      </w:pPr>
      <w:r>
        <w:rPr>
          <w:rFonts w:hint="eastAsia" w:ascii="仿宋_GB2312" w:eastAsia="仿宋_GB2312"/>
          <w:spacing w:val="12"/>
          <w:sz w:val="28"/>
        </w:rPr>
        <w:t>〔20</w:t>
      </w:r>
      <w:r>
        <w:rPr>
          <w:rFonts w:hint="eastAsia" w:ascii="仿宋_GB2312" w:eastAsia="仿宋_GB2312"/>
          <w:spacing w:val="12"/>
          <w:sz w:val="28"/>
          <w:lang w:val="en-US" w:eastAsia="zh-CN"/>
        </w:rPr>
        <w:t>23</w:t>
      </w:r>
      <w:r>
        <w:rPr>
          <w:rFonts w:hint="eastAsia" w:ascii="仿宋_GB2312" w:eastAsia="仿宋_GB2312"/>
          <w:spacing w:val="12"/>
          <w:sz w:val="28"/>
        </w:rPr>
        <w:t>〕</w:t>
      </w:r>
      <w:r>
        <w:rPr>
          <w:rFonts w:hint="default" w:ascii="仿宋_GB2312" w:eastAsia="仿宋_GB2312"/>
          <w:spacing w:val="12"/>
          <w:sz w:val="28"/>
          <w:lang w:val="en-US" w:eastAsia="zh-CN"/>
        </w:rPr>
        <w:t>21</w:t>
      </w:r>
      <w:r>
        <w:rPr>
          <w:rFonts w:hint="eastAsia" w:ascii="仿宋_GB2312" w:eastAsia="仿宋_GB2312"/>
          <w:spacing w:val="12"/>
          <w:sz w:val="28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324" w:lineRule="auto"/>
        <w:ind w:left="0" w:leftChars="0" w:right="0" w:rightChars="0" w:firstLine="512" w:firstLineChars="200"/>
        <w:textAlignment w:val="auto"/>
        <w:outlineLvl w:val="9"/>
        <w:rPr>
          <w:rFonts w:hint="eastAsia" w:ascii="仿宋_GB2312" w:eastAsia="仿宋_GB2312"/>
          <w:spacing w:val="8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324" w:lineRule="auto"/>
        <w:ind w:left="0" w:leftChars="0" w:right="0" w:rightChars="0" w:firstLine="512" w:firstLineChars="200"/>
        <w:textAlignment w:val="auto"/>
        <w:outlineLvl w:val="9"/>
        <w:rPr>
          <w:rFonts w:hint="eastAsia" w:ascii="仿宋_GB2312" w:eastAsia="仿宋_GB2312"/>
          <w:spacing w:val="8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Lines="0" w:after="0" w:afterLines="0" w:line="336" w:lineRule="auto"/>
        <w:ind w:left="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24"/>
          <w:lang w:val="en-US" w:eastAsia="zh-CN" w:bidi="ar-SA"/>
        </w:rPr>
        <w:t xml:space="preserve">    当事人：林某，男，196X年1月出生，时任格力地产股份有限公司（以下简称格力地产）董事、总裁，住址：广东省珠海市香洲区。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Lines="0" w:after="0" w:afterLines="0" w:line="336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24"/>
          <w:lang w:val="en-US" w:eastAsia="zh-CN" w:bidi="ar-SA"/>
        </w:rPr>
        <w:t xml:space="preserve">    依据2005年修订、2014年修正的《中华人民共和国证券法》（以下简称2005年《证券法》）和2019年修订的《中华人民共和国证券法》（以下简称《证券法》）的有关规定，我局对格力地产信息披露违法违规行为进行了立案调查、审理，并依法向当事人告知了作出行政处罚的事实、理由、依据及当事人依法享有的权利。当事人未提出陈述、申辩意见，也未要求听证。本案现已调查、审理终结。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bidi w:val="0"/>
        <w:adjustRightInd w:val="0"/>
        <w:snapToGrid w:val="0"/>
        <w:spacing w:beforeLines="0" w:afterLines="0" w:line="336" w:lineRule="auto"/>
        <w:ind w:firstLine="0" w:firstLineChars="0"/>
        <w:jc w:val="both"/>
        <w:outlineLvl w:val="9"/>
        <w:rPr>
          <w:rFonts w:hint="eastAsia" w:ascii="仿宋_GB2312" w:hAnsi="仿宋_GB2312" w:eastAsia="仿宋_GB2312" w:cs="Times New Roman"/>
          <w:kern w:val="0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24"/>
          <w:lang w:val="en-US" w:eastAsia="zh-CN" w:bidi="ar-SA"/>
        </w:rPr>
        <w:t xml:space="preserve">    经查明，格力地产存在以下违法事实：</w:t>
      </w:r>
    </w:p>
    <w:p>
      <w:pPr>
        <w:widowControl w:val="0"/>
        <w:overflowPunct w:val="0"/>
        <w:autoSpaceDN/>
        <w:adjustRightInd w:val="0"/>
        <w:snapToGrid w:val="0"/>
        <w:spacing w:beforeLines="0" w:afterLines="0" w:line="336" w:lineRule="auto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 w:bidi="ar-SA"/>
        </w:rPr>
        <w:t>格力地产在2018年至2021年存货减值测试中，存在对子公司上海海控保联置业有限公司“海德壹号”、上海海控太联置业有限公司“公园海德”两个地产项目可售面积、可比售价选取错误，对重庆两江新区格力地产有限公司“重庆两江”地产项目P19地块可比售价选取错误、未对可比售价进行修正等问题，高估存货可变现净值、少计提存货跌价准备。</w:t>
      </w:r>
    </w:p>
    <w:p>
      <w:pPr>
        <w:widowControl w:val="0"/>
        <w:overflowPunct w:val="0"/>
        <w:autoSpaceDN/>
        <w:adjustRightInd w:val="0"/>
        <w:snapToGrid w:val="0"/>
        <w:spacing w:beforeLines="0" w:afterLines="0" w:line="336" w:lineRule="auto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 w:bidi="ar-SA"/>
        </w:rPr>
        <w:t>格力地产在2018至2021年度累计少提存货减值导致多计净利润626,386,989.85元。其中，2018年度少提存货减值并多计利润441,920,402.48元，占当年度净利润的86.21%；2019年度少提存货减值并多计利润3,038,056.57元，占当年度净利润的0.58%；2020年度少提存货减值并多计利润162,567,224.17元，占当年度净利润的29.10%；2021年度少提存货减值并多计利润18,861,306.63元，占当年度净利润的4.10%。同时，2022年度，格力地产多提存货减值并少计利润626,386,989.85元，占当年度净利润绝对值的23.34%。上述事项导致格力地产2018年年度报告、2019年年度报告、2020年年度报告、2021年年度报告、2022年年度报告，“21格地02”“22格地02”“23格地01”债券发行公告、募集说明书等文件，银行间债券市场2018年年度报告、2019年年度报告、2020年年度报告存在错报。</w:t>
      </w:r>
    </w:p>
    <w:p>
      <w:pPr>
        <w:widowControl w:val="0"/>
        <w:overflowPunct w:val="0"/>
        <w:autoSpaceDN/>
        <w:adjustRightInd w:val="0"/>
        <w:snapToGrid w:val="0"/>
        <w:spacing w:beforeLines="0" w:afterLines="0" w:line="336" w:lineRule="auto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 w:bidi="ar-SA"/>
        </w:rPr>
        <w:t>2023年7月18日，格力地产发布《关于前期会计差错更正的公告》，主动纠正违法行为，采用追溯重述法补提2018至2021年度存货跌价准备，对2018至2022年度财务报表进行追溯调整。</w:t>
      </w:r>
    </w:p>
    <w:p>
      <w:pPr>
        <w:widowControl w:val="0"/>
        <w:overflowPunct w:val="0"/>
        <w:autoSpaceDN/>
        <w:adjustRightInd w:val="0"/>
        <w:snapToGrid w:val="0"/>
        <w:spacing w:beforeLines="0" w:afterLines="0" w:line="336" w:lineRule="auto"/>
        <w:ind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 w:bidi="ar-SA"/>
        </w:rPr>
        <w:t>上述违法事实，有公司公告、情况说明、会议决议、专项报告、产权证明文件、询问笔录等证据证明，足以认定。</w:t>
      </w:r>
    </w:p>
    <w:p>
      <w:pPr>
        <w:widowControl w:val="0"/>
        <w:overflowPunct w:val="0"/>
        <w:autoSpaceDN/>
        <w:adjustRightInd w:val="0"/>
        <w:snapToGrid w:val="0"/>
        <w:spacing w:beforeLines="0" w:afterLines="0" w:line="336" w:lineRule="auto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 w:bidi="ar-SA"/>
        </w:rPr>
        <w:t>格力地产上述行为违反2005年《证券法》第六十三条、第六十六条，《证券法》第七十八条第二款、第七十九条第一项，《银行间债券市场非金融企业债务融资工具管理办法》（中国人民银行令〔2008〕第1号）第七条的规定，构成2005年《证券法》第一百九十三条第一款、《证券法》第一百九十七条第二款所述的违法情形。</w:t>
      </w:r>
    </w:p>
    <w:p>
      <w:pPr>
        <w:widowControl w:val="0"/>
        <w:overflowPunct w:val="0"/>
        <w:autoSpaceDN/>
        <w:adjustRightInd w:val="0"/>
        <w:snapToGrid w:val="0"/>
        <w:spacing w:beforeLines="0" w:afterLines="0" w:line="336" w:lineRule="auto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 w:bidi="ar-SA"/>
        </w:rPr>
        <w:t>根据2005年《证券法》第六十八条第三款、《证券法》第八十二条第三款、《上市公司信息披露管理办法》（证监会令第40号）第五十八条第三款、《上市公司信息披露管理办法》（证监会令第182号）第五十一条第三款的规定，林某</w:t>
      </w:r>
      <w:r>
        <w:rPr>
          <w:rFonts w:hint="default" w:ascii="仿宋_GB2312" w:hAnsi="仿宋_GB2312" w:eastAsia="仿宋_GB2312" w:cs="Times New Roman"/>
          <w:kern w:val="0"/>
          <w:sz w:val="32"/>
          <w:szCs w:val="32"/>
          <w:lang w:val="en" w:eastAsia="zh-CN" w:bidi="ar-SA"/>
        </w:rPr>
        <w:t>在涉案期间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 w:bidi="ar-SA"/>
        </w:rPr>
        <w:t>担任格力地产董事、总裁，主持格力地产的日常生产经营管理，对格力地产财务会计报告的真实性、准确性、完整性承担主要责任，是对其任期内格力地产信息披露违法事项直接负责的主管人员。</w:t>
      </w:r>
    </w:p>
    <w:p>
      <w:pPr>
        <w:widowControl w:val="0"/>
        <w:overflowPunct w:val="0"/>
        <w:autoSpaceDN/>
        <w:adjustRightInd w:val="0"/>
        <w:snapToGrid w:val="0"/>
        <w:spacing w:beforeLines="0" w:afterLines="0" w:line="336" w:lineRule="auto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 w:bidi="ar-SA"/>
        </w:rPr>
        <w:t>根据当事人违法行为的事实、性质、情节及社会危害程度，结合违法行为跨越新旧《证券法》适用的特别情形，依据《人民银行、证监会、发展改革委关于进一步加强债券市场执法工作的意见》（银发〔2018〕296号）和《证券法》第一百九十七条第二款的规定，我局决定：</w:t>
      </w:r>
    </w:p>
    <w:p>
      <w:pPr>
        <w:widowControl w:val="0"/>
        <w:overflowPunct w:val="0"/>
        <w:autoSpaceDN/>
        <w:adjustRightInd w:val="0"/>
        <w:snapToGrid w:val="0"/>
        <w:spacing w:beforeLines="0" w:afterLines="0" w:line="336" w:lineRule="auto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 w:bidi="ar-SA"/>
        </w:rPr>
        <w:t>对林某给予警告，并处以70万元罚款。</w:t>
      </w:r>
    </w:p>
    <w:p>
      <w:pPr>
        <w:widowControl w:val="0"/>
        <w:overflowPunct w:val="0"/>
        <w:autoSpaceDN/>
        <w:adjustRightInd w:val="0"/>
        <w:snapToGrid w:val="0"/>
        <w:spacing w:beforeLines="0" w:afterLines="0" w:line="336" w:lineRule="auto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spacing w:val="0"/>
          <w:kern w:val="0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spacing w:val="0"/>
          <w:kern w:val="0"/>
          <w:sz w:val="32"/>
          <w:szCs w:val="24"/>
          <w:lang w:val="en-US" w:eastAsia="zh-CN" w:bidi="ar-SA"/>
        </w:rPr>
        <w:t>当事人应自收到本处罚决定书之日起15日内，将罚款汇交中国证券监督管理委员会，开户银行：中信银行北京分行营业部，账号7111010189800000162，由该行直接上缴国库，并将注有当事人名称的付款凭证复印件送我局备案。当事人如果对本处罚决定不服，可在收到本处罚决定书之日起60日内向中国证券监督管理委员会申请行政复议，也可在收到本处罚决定书之日起6个月内直接向有管辖权的人民法院提起行政诉讼。复议和诉讼期间，上述决定不停止执行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ascii="宋体" w:hAnsi="宋体" w:cs="宋体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ascii="宋体" w:hAnsi="宋体" w:cs="宋体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ascii="宋体" w:hAnsi="宋体" w:cs="宋体"/>
          <w:sz w:val="28"/>
          <w:szCs w:val="28"/>
        </w:rPr>
      </w:pPr>
    </w:p>
    <w:p>
      <w:pPr>
        <w:adjustRightInd w:val="0"/>
        <w:snapToGrid w:val="0"/>
        <w:spacing w:line="360" w:lineRule="auto"/>
        <w:ind w:right="1705"/>
        <w:jc w:val="right"/>
        <w:rPr>
          <w:rFonts w:hint="eastAsia" w:ascii="仿宋_GB2312" w:hAnsi="Times New Roman" w:eastAsia="仿宋_GB2312" w:cs="Times New Roman"/>
          <w:sz w:val="32"/>
        </w:rPr>
      </w:pPr>
      <w:r>
        <w:rPr>
          <w:rFonts w:hint="eastAsia" w:ascii="仿宋_GB2312" w:hAnsi="Times New Roman" w:eastAsia="仿宋_GB2312" w:cs="Times New Roman"/>
          <w:sz w:val="32"/>
        </w:rPr>
        <w:t>广东证监局</w:t>
      </w:r>
    </w:p>
    <w:p>
      <w:pPr>
        <w:widowControl/>
        <w:numPr>
          <w:ilvl w:val="0"/>
          <w:numId w:val="0"/>
        </w:numPr>
        <w:pBdr>
          <w:top w:val="none" w:color="auto" w:sz="0" w:space="0"/>
        </w:pBdr>
        <w:adjustRightInd w:val="0"/>
        <w:snapToGrid w:val="0"/>
        <w:spacing w:beforeLines="0" w:after="0" w:afterLines="0" w:line="360" w:lineRule="auto"/>
        <w:ind w:right="1191" w:firstLine="0"/>
        <w:jc w:val="right"/>
        <w:outlineLvl w:val="9"/>
      </w:pPr>
      <w:r>
        <w:rPr>
          <w:rFonts w:hint="eastAsia" w:ascii="仿宋_GB2312" w:hAnsi="Times New Roman" w:eastAsia="仿宋_GB2312" w:cs="Times New Roman"/>
          <w:spacing w:val="10"/>
          <w:sz w:val="32"/>
          <w:lang w:eastAsia="zh-CN"/>
        </w:rPr>
        <w:t>2</w:t>
      </w:r>
      <w:r>
        <w:rPr>
          <w:rFonts w:hint="eastAsia" w:ascii="仿宋_GB2312" w:hAnsi="Times New Roman" w:eastAsia="仿宋_GB2312" w:cs="Times New Roman"/>
          <w:spacing w:val="10"/>
          <w:sz w:val="32"/>
          <w:lang w:val="en-US" w:eastAsia="zh-CN"/>
        </w:rPr>
        <w:t>023</w:t>
      </w:r>
      <w:r>
        <w:rPr>
          <w:rFonts w:hint="eastAsia" w:ascii="仿宋_GB2312" w:hAnsi="Times New Roman" w:eastAsia="仿宋_GB2312" w:cs="Times New Roman"/>
          <w:spacing w:val="10"/>
          <w:sz w:val="32"/>
        </w:rPr>
        <w:t>年</w:t>
      </w:r>
      <w:r>
        <w:rPr>
          <w:rFonts w:hint="default" w:ascii="仿宋_GB2312" w:eastAsia="仿宋_GB2312" w:cs="Times New Roman"/>
          <w:spacing w:val="10"/>
          <w:sz w:val="32"/>
          <w:lang w:val="en-US" w:eastAsia="zh-CN"/>
        </w:rPr>
        <w:t>9</w:t>
      </w:r>
      <w:r>
        <w:rPr>
          <w:rFonts w:hint="eastAsia" w:ascii="仿宋_GB2312" w:hAnsi="Times New Roman" w:eastAsia="仿宋_GB2312" w:cs="Times New Roman"/>
          <w:spacing w:val="10"/>
          <w:sz w:val="32"/>
        </w:rPr>
        <w:t>月</w:t>
      </w:r>
      <w:r>
        <w:rPr>
          <w:rFonts w:hint="default" w:ascii="仿宋_GB2312" w:eastAsia="仿宋_GB2312" w:cs="Times New Roman"/>
          <w:spacing w:val="10"/>
          <w:sz w:val="32"/>
          <w:lang w:val="en-US" w:eastAsia="zh-CN"/>
        </w:rPr>
        <w:t>27</w:t>
      </w:r>
      <w:r>
        <w:rPr>
          <w:rFonts w:hint="eastAsia" w:ascii="仿宋_GB2312" w:hAnsi="Times New Roman" w:eastAsia="仿宋_GB2312" w:cs="Times New Roman"/>
          <w:spacing w:val="10"/>
          <w:sz w:val="32"/>
        </w:rPr>
        <w:t>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>
      <w:pPr>
        <w:pStyle w:val="2"/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>
      <w:pPr>
        <w:pStyle w:val="2"/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长城仿宋">
    <w:altName w:val="宋体"/>
    <w:panose1 w:val="02010609000101010101"/>
    <w:charset w:val="00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WAAAAZHJzL1BLAQIU&#10;ABQAAAAIAIdO4kCzSVju0AAAAAUBAAAPAAAAAAAAAAEAIAAAADgAAABkcnMvZG93bnJldi54bWxQ&#10;SwECFAAUAAAACACHTuJAuVUEISICAAA3BAAADgAAAAAAAAABACAAAAA1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93BF2413"/>
    <w:rsid w:val="93BF2413"/>
    <w:rsid w:val="FA1FD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Indent"/>
    <w:next w:val="1"/>
    <w:qFormat/>
    <w:uiPriority w:val="0"/>
    <w:pPr>
      <w:widowControl w:val="0"/>
      <w:spacing w:line="240" w:lineRule="auto"/>
      <w:ind w:firstLine="420"/>
      <w:jc w:val="both"/>
      <w:textAlignment w:val="baseline"/>
    </w:pPr>
    <w:rPr>
      <w:rFonts w:ascii="Times New Roman" w:hAnsi="Times New Roman" w:eastAsia="宋体" w:cs="Times New Roman"/>
      <w:snapToGrid w:val="0"/>
      <w:kern w:val="0"/>
      <w:sz w:val="32"/>
      <w:szCs w:val="32"/>
      <w:lang w:val="en-US" w:eastAsia="zh-CN" w:bidi="ar-SA"/>
    </w:rPr>
  </w:style>
  <w:style w:type="paragraph" w:styleId="3">
    <w:name w:val="footer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Office_11.8.2.9849_F1E327BC-269C-435d-A152-05C5408002CA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2023-10-08T17:06:00Z</dcterms:created>
  <dc:creator>谢可君</dc:creator>
  <cp:lastModifiedBy>谢可君</cp:lastModifiedBy>
  <dcterms:modified xsi:type="dcterms:W3CDTF">2023-10-08T09:13:35Z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2052-11.8.2.9849</vt:lpwstr>
  </property>
</Properties>
</file>