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32"/>
          <w:szCs w:val="32"/>
        </w:rPr>
      </w:pPr>
      <w:bookmarkStart w:id="0" w:name="内容"/>
      <w:bookmarkEnd w:id="0"/>
      <w:bookmarkStart w:id="1" w:name="begin"/>
      <w:bookmarkEnd w:id="1"/>
      <w:bookmarkStart w:id="2" w:name="quanwen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</w:t>
      </w:r>
      <w:r>
        <w:rPr>
          <w:rFonts w:hint="default" w:ascii="仿宋_GB2312" w:eastAsia="仿宋_GB2312"/>
          <w:spacing w:val="12"/>
          <w:sz w:val="28"/>
          <w:lang w:val="en" w:eastAsia="zh-CN"/>
        </w:rPr>
        <w:t>2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" w:eastAsia="zh-CN"/>
        </w:rPr>
        <w:t>1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4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332" w:firstLineChars="200"/>
        <w:textAlignment w:val="auto"/>
        <w:outlineLvl w:val="9"/>
        <w:rPr>
          <w:rFonts w:hint="eastAsia" w:ascii="仿宋_GB2312" w:eastAsia="仿宋_GB2312"/>
          <w:spacing w:val="8"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332" w:firstLineChars="200"/>
        <w:textAlignment w:val="auto"/>
        <w:outlineLvl w:val="9"/>
        <w:rPr>
          <w:rFonts w:hint="eastAsia" w:ascii="仿宋_GB2312" w:eastAsia="仿宋_GB2312"/>
          <w:spacing w:val="8"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当事人：德奥通用航空股份有限公司（以下简称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），住所：广东省佛山市南海区松岗松夏工业园工业大道西。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 w:val="0"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依据2005年修订的《中国人民共和国证券法》（以下简称2005年《证券法》）、2019年修订的《中华人民共和国证券法》（以下简称《证券法》）的有关规定，我局对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德奥通航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信息披露违法违规行为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进行了立案调查、审理，并依法向当事人告知了作出行政处罚的事实、理由、依据及当事人依法享有的权利。当事人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提出陈述、申辩意见，未要求听证。本案现已调查、审理终结。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 w:val="0"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经查明，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存在以下违法事实：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2017年6月27日，广州农村商业银行股份有限公司（以下简称广州农商行）、华翔（北京）投资有限公司（以下简称华翔投资）分别与国通信托有限责任公司（以下简称国通信托）签订《国通信托·华翔北京贷款单一资金信托合同》（以下简称信托合同）、《信托贷款合同》。上述合同约定，国通信托受托管理广州农商行25亿元的信托资金（具体数额以实际交付为准），将信托资金用于向华翔投资发放不超过25亿元的信托贷款，贷款专项用于华翔投资补充流动资金，信托期限为48个月。同日，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与广州农商行签订《差额补足协议》，约定无论何种原因导致广州农商行在任一信托合同约定的核算日（含利息分配日、本金还款日以及信托提前终止日）未能足额收到信托合同约定的投资本金或收益时，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应向广州农商行承担差额补足义务。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广州农商行在2017年6月28日、8月3日分别将信托资金15亿元、10亿元划转至国通信托，国通信托于资金划转同日向华翔投资发放信托贷款15亿元、10亿元。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对于上述担保事项，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未及时予以披露，也未在2017年半年报、2017年年报、2018年半年报、2018年年报、2019年半年报、2019年年报、2020年半年报中披露。直至广州农商行对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提起诉讼后，</w:t>
      </w:r>
      <w:r>
        <w:rPr>
          <w:rFonts w:hint="default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才在2020年年报中对上述《差额补足协议》以及诉讼的相关情况予以披露。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上述违法事实，有相关协议、公司公告、情况说明、询问笔录等证据证明，足以认定。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/>
        </w:rPr>
        <w:t>德奥通航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/>
        </w:rPr>
        <w:t>未及时、未在定期报告中披露重大担保事项的行为，违反了《上市公司信息披露管理办法》（证监会令第40号）第三十条第二款第十七项、2005年《证券法》第六十七条第二款第十二项、《公开发行证券的公司信息披露内容与格式准则第3号——半年度报告的内容与格式（2016年修订、2017年修订）》（证监会公告〔2016〕32号、〔2017〕18号）第三十九条第二项、《公开发行证券的公司信息披露内容与格式准则第2号——年度报告的内容与格式（2017年修订）》（证监会公告〔2017〕17号）第四十一条第二项、2005年《证券法》第六十五条第五项、第六十六条第六项、《证券法》第七十九条的规定，构成2005年《证券法》第一百九十三条第一款、《证券法》第一百九十七条第二款所述的违法情形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提出如下陈述申辩意见：《差额补足协议》系原法定代表人超越法定权限签订，公司对该事项的发生并无任何主观过错，且公司积极采取措施，减轻该违法行为的危害后果。同时，该信息披露违法行为发生于《证券法》实施之前，应适用旧《证券法》，在30万至60万元的幅度内进行处罚。因此，请求免于处罚或减轻处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我局认为：第一，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MathJax_Script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时任董事长、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法定代表人代表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公司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签署《差额补足协议》，</w:t>
      </w:r>
      <w:r>
        <w:rPr>
          <w:rFonts w:hint="eastAsia" w:ascii="仿宋_GB2312" w:hAnsi="仿宋_GB2312" w:eastAsia="仿宋_GB2312" w:cs="MathJax_Script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公司未严格执行公章管理、对外担保管理、信息披露管理等制度，以致出现信息披露违法行为，应承担相应的行政法律责任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。第二，本案量罚已经综合考虑违法行为的事实、性质、情节、社会危害程度等因素，并在法律规定幅度内给予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最低处罚。第三，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未及时履行重大事项临时披露义务，且多份定期报告存在重大遗漏，相关违法行为跨越新旧《证券法》，持续至2021年才予以改正，我局适用《证券法》进行处罚符合法律规定和执法实践。综上，我局对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" w:eastAsia="zh-CN" w:bidi="ar-SA"/>
        </w:rPr>
        <w:t>德奥通航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的申辩意见不予采纳。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24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根据当事人违法行为的事实、性质、情节与社会危害程度，并结合违法行为跨越新旧《证券法》适用的特别情形，依据《证券法》第一百九十七条第二款的规定，我局决定：</w:t>
      </w:r>
    </w:p>
    <w:p>
      <w:pPr>
        <w:widowControl w:val="0"/>
        <w:overflowPunct w:val="0"/>
        <w:autoSpaceDN w:val="0"/>
        <w:adjustRightInd w:val="0"/>
        <w:snapToGrid w:val="0"/>
        <w:spacing w:beforeLines="0" w:afterLines="0" w:line="324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对德奥通用航空股份有限公司给予警告，并处以罚款100万元。</w:t>
      </w:r>
    </w:p>
    <w:p>
      <w:pPr>
        <w:overflowPunct w:val="0"/>
        <w:autoSpaceDN w:val="0"/>
        <w:adjustRightInd w:val="0"/>
        <w:snapToGrid w:val="0"/>
        <w:spacing w:beforeLines="0" w:afterLines="0" w:line="324" w:lineRule="auto"/>
        <w:ind w:firstLine="640" w:firstLineChars="200"/>
        <w:jc w:val="both"/>
        <w:outlineLvl w:val="9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4"/>
          <w:szCs w:val="24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Times New Roman"/>
          <w:sz w:val="32"/>
        </w:rPr>
        <w:t>广东证监局</w:t>
      </w:r>
    </w:p>
    <w:p>
      <w:pPr>
        <w:widowControl/>
        <w:pBdr>
          <w:top w:val="none" w:color="auto" w:sz="0" w:space="0"/>
        </w:pBdr>
        <w:adjustRightInd w:val="0"/>
        <w:snapToGrid w:val="0"/>
        <w:spacing w:beforeLines="0" w:afterLines="0" w:line="360" w:lineRule="auto"/>
        <w:ind w:right="1191"/>
        <w:jc w:val="right"/>
        <w:outlineLvl w:val="9"/>
      </w:pPr>
      <w:r>
        <w:rPr>
          <w:rFonts w:hint="eastAsia" w:ascii="仿宋_GB2312" w:hAnsi="Times New Roman" w:eastAsia="仿宋_GB2312" w:cs="Times New Roman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spacing w:val="10"/>
          <w:sz w:val="32"/>
          <w:lang w:val="en-US" w:eastAsia="zh-CN"/>
        </w:rPr>
        <w:t>02</w:t>
      </w:r>
      <w:r>
        <w:rPr>
          <w:rFonts w:hint="eastAsia" w:ascii="仿宋_GB2312" w:eastAsia="仿宋_GB2312" w:cs="Times New Roman"/>
          <w:spacing w:val="10"/>
          <w:sz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年</w:t>
      </w:r>
      <w:r>
        <w:rPr>
          <w:rFonts w:hint="eastAsia" w:ascii="仿宋_GB2312" w:eastAsia="仿宋_GB2312" w:cs="Times New Roman"/>
          <w:spacing w:val="10"/>
          <w:sz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月</w:t>
      </w:r>
      <w:r>
        <w:rPr>
          <w:rFonts w:hint="eastAsia" w:ascii="仿宋_GB2312" w:hAnsi="Times New Roman" w:eastAsia="仿宋_GB2312" w:cs="Times New Roman"/>
          <w:spacing w:val="10"/>
          <w:sz w:val="32"/>
          <w:lang w:val="en-US" w:eastAsia="zh-CN"/>
        </w:rPr>
        <w:t>28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日</w:t>
      </w:r>
    </w:p>
    <w:bookmarkEnd w:id="2"/>
    <w:p>
      <w:pPr>
        <w:snapToGrid w:val="0"/>
        <w:spacing w:beforeLines="0" w:afterLines="0"/>
        <w:rPr>
          <w:sz w:val="2"/>
          <w:szCs w:val="2"/>
        </w:rPr>
      </w:pPr>
      <w:bookmarkStart w:id="3" w:name="_GoBack"/>
      <w:bookmarkEnd w:id="3"/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Script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DCF2"/>
    <w:rsid w:val="BFD9A3A4"/>
    <w:rsid w:val="FAF676AB"/>
    <w:rsid w:val="FFF7D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2022-10-09T01:12:00Z</dcterms:created>
  <dc:creator>邹敏</dc:creator>
  <cp:lastModifiedBy>邹敏</cp:lastModifiedBy>
  <dcterms:modified xsi:type="dcterms:W3CDTF">2022-10-08T16:50:30Z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