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EA8C7" w14:textId="77777777" w:rsidR="00C76C45" w:rsidRDefault="009A4126">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3CEEFF81" wp14:editId="37CCDC58">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320B14BB" w14:textId="77777777" w:rsidR="00C76C45" w:rsidRDefault="00C76C45">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CEEFF81"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320B14BB" w14:textId="77777777" w:rsidR="00C76C45" w:rsidRDefault="00C76C45">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372DCA76" w14:textId="77777777" w:rsidR="00C76C45" w:rsidRDefault="00C76C45">
      <w:pPr>
        <w:rPr>
          <w:rFonts w:asciiTheme="minorEastAsia" w:hAnsiTheme="minorEastAsia" w:cstheme="minorEastAsia"/>
          <w:sz w:val="44"/>
          <w:szCs w:val="44"/>
        </w:rPr>
      </w:pPr>
    </w:p>
    <w:p w14:paraId="72BCE78E" w14:textId="77777777" w:rsidR="00C76C45" w:rsidRDefault="009A4126">
      <w:pPr>
        <w:pStyle w:val="a6"/>
        <w:widowControl/>
        <w:wordWrap w:val="0"/>
        <w:spacing w:beforeAutospacing="0" w:afterAutospacing="0"/>
        <w:ind w:left="76"/>
        <w:jc w:val="center"/>
        <w:rPr>
          <w:rFonts w:asciiTheme="minorEastAsia" w:hAnsiTheme="minorEastAsia" w:cstheme="minorEastAsia"/>
          <w:kern w:val="2"/>
          <w:sz w:val="44"/>
          <w:szCs w:val="44"/>
        </w:rPr>
      </w:pPr>
      <w:r>
        <w:rPr>
          <w:rFonts w:asciiTheme="minorEastAsia" w:hAnsiTheme="minorEastAsia" w:cstheme="minorEastAsia" w:hint="eastAsia"/>
          <w:kern w:val="2"/>
          <w:sz w:val="44"/>
          <w:szCs w:val="44"/>
        </w:rPr>
        <w:t>证券登记结算管理办法</w:t>
      </w:r>
    </w:p>
    <w:p w14:paraId="540C38DB" w14:textId="77777777" w:rsidR="00C76C45" w:rsidRDefault="009A4126">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2006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4</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29</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2009</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11</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65</w:t>
      </w:r>
      <w:r>
        <w:rPr>
          <w:rFonts w:ascii="楷体_GB2312" w:eastAsia="楷体_GB2312" w:hAnsi="楷体_GB2312" w:cs="楷体_GB2312"/>
          <w:color w:val="333333"/>
          <w:sz w:val="32"/>
          <w:szCs w:val="32"/>
          <w:shd w:val="clear" w:color="auto" w:fill="FFFFFF"/>
        </w:rPr>
        <w:t>号《关于修改〈证券登记结算管理办法〉的决定》第一次修订</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2017</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12</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137</w:t>
      </w:r>
      <w:r>
        <w:rPr>
          <w:rFonts w:ascii="楷体_GB2312" w:eastAsia="楷体_GB2312" w:hAnsi="楷体_GB2312" w:cs="楷体_GB2312"/>
          <w:color w:val="333333"/>
          <w:sz w:val="32"/>
          <w:szCs w:val="32"/>
          <w:shd w:val="clear" w:color="auto" w:fill="FFFFFF"/>
        </w:rPr>
        <w:t>号《关于修改</w:t>
      </w:r>
      <w:r>
        <w:rPr>
          <w:rFonts w:ascii="楷体_GB2312" w:eastAsia="楷体_GB2312" w:hAnsi="楷体_GB2312" w:cs="楷体_GB2312"/>
          <w:color w:val="333333"/>
          <w:sz w:val="32"/>
          <w:szCs w:val="32"/>
          <w:shd w:val="clear" w:color="auto" w:fill="FFFFFF"/>
        </w:rPr>
        <w:t>&lt;</w:t>
      </w:r>
      <w:r>
        <w:rPr>
          <w:rFonts w:ascii="楷体_GB2312" w:eastAsia="楷体_GB2312" w:hAnsi="楷体_GB2312" w:cs="楷体_GB2312"/>
          <w:color w:val="333333"/>
          <w:sz w:val="32"/>
          <w:szCs w:val="32"/>
          <w:shd w:val="clear" w:color="auto" w:fill="FFFFFF"/>
        </w:rPr>
        <w:t>证券登记结算管理办法</w:t>
      </w:r>
      <w:r>
        <w:rPr>
          <w:rFonts w:ascii="楷体_GB2312" w:eastAsia="楷体_GB2312" w:hAnsi="楷体_GB2312" w:cs="楷体_GB2312"/>
          <w:color w:val="333333"/>
          <w:sz w:val="32"/>
          <w:szCs w:val="32"/>
          <w:shd w:val="clear" w:color="auto" w:fill="FFFFFF"/>
        </w:rPr>
        <w:t>&gt;</w:t>
      </w:r>
      <w:r>
        <w:rPr>
          <w:rFonts w:ascii="楷体_GB2312" w:eastAsia="楷体_GB2312" w:hAnsi="楷体_GB2312" w:cs="楷体_GB2312"/>
          <w:color w:val="333333"/>
          <w:sz w:val="32"/>
          <w:szCs w:val="32"/>
          <w:shd w:val="clear" w:color="auto" w:fill="FFFFFF"/>
        </w:rPr>
        <w:t>等七部规章的决定》第二次修订</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2018</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15</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147</w:t>
      </w:r>
      <w:r>
        <w:rPr>
          <w:rFonts w:ascii="楷体_GB2312" w:eastAsia="楷体_GB2312" w:hAnsi="楷体_GB2312" w:cs="楷体_GB2312"/>
          <w:color w:val="333333"/>
          <w:sz w:val="32"/>
          <w:szCs w:val="32"/>
          <w:shd w:val="clear" w:color="auto" w:fill="FFFFFF"/>
        </w:rPr>
        <w:t>号《关于修改〈证券登记结算管理办法〉的决定》第</w:t>
      </w:r>
      <w:r>
        <w:rPr>
          <w:rFonts w:ascii="楷体_GB2312" w:eastAsia="楷体_GB2312" w:hAnsi="楷体_GB2312" w:cs="楷体_GB2312"/>
          <w:color w:val="333333"/>
          <w:sz w:val="32"/>
          <w:szCs w:val="32"/>
          <w:shd w:val="clear" w:color="auto" w:fill="FFFFFF"/>
        </w:rPr>
        <w:t>三次修订）</w:t>
      </w:r>
    </w:p>
    <w:p w14:paraId="73EE1694" w14:textId="77777777" w:rsidR="00C76C45" w:rsidRDefault="00C76C45">
      <w:pPr>
        <w:rPr>
          <w:rFonts w:ascii="仿宋_GB2312" w:eastAsia="仿宋_GB2312" w:hAnsi="仿宋_GB2312"/>
          <w:sz w:val="30"/>
        </w:rPr>
      </w:pPr>
    </w:p>
    <w:p w14:paraId="0FE5109F" w14:textId="77777777" w:rsidR="00C76C45" w:rsidRDefault="009A4126">
      <w:pPr>
        <w:numPr>
          <w:ilvl w:val="0"/>
          <w:numId w:val="1"/>
        </w:numPr>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总</w:t>
      </w:r>
      <w:r>
        <w:rPr>
          <w:rFonts w:ascii="黑体" w:eastAsia="黑体" w:hAnsi="黑体" w:cs="黑体"/>
          <w:color w:val="333333"/>
          <w:sz w:val="32"/>
          <w:szCs w:val="32"/>
          <w:shd w:val="clear" w:color="auto" w:fill="FFFFFF"/>
        </w:rPr>
        <w:t xml:space="preserve">  </w:t>
      </w:r>
      <w:r>
        <w:rPr>
          <w:rFonts w:ascii="黑体" w:eastAsia="黑体" w:hAnsi="黑体" w:cs="黑体" w:hint="eastAsia"/>
          <w:color w:val="333333"/>
          <w:sz w:val="32"/>
          <w:szCs w:val="32"/>
          <w:shd w:val="clear" w:color="auto" w:fill="FFFFFF"/>
        </w:rPr>
        <w:t>则</w:t>
      </w:r>
    </w:p>
    <w:p w14:paraId="61BB6A1E" w14:textId="77777777" w:rsidR="00C76C45" w:rsidRDefault="00C76C45">
      <w:pPr>
        <w:rPr>
          <w:rFonts w:ascii="黑体" w:eastAsia="黑体" w:hAnsi="黑体" w:cs="黑体"/>
          <w:color w:val="333333"/>
          <w:sz w:val="32"/>
          <w:szCs w:val="32"/>
          <w:shd w:val="clear" w:color="auto" w:fill="FFFFFF"/>
        </w:rPr>
      </w:pPr>
    </w:p>
    <w:p w14:paraId="6DE2F03D" w14:textId="77777777" w:rsidR="00C76C45" w:rsidRDefault="009A4126">
      <w:pPr>
        <w:ind w:firstLineChars="200" w:firstLine="640"/>
        <w:rPr>
          <w:rFonts w:ascii="仿宋_GB2312" w:eastAsia="仿宋_GB2312" w:hAnsi="仿宋_GB2312"/>
          <w:sz w:val="32"/>
          <w:szCs w:val="32"/>
        </w:rPr>
      </w:pPr>
      <w:r>
        <w:rPr>
          <w:rFonts w:ascii="黑体" w:eastAsia="黑体" w:hAnsi="黑体" w:cs="黑体" w:hint="eastAsia"/>
          <w:sz w:val="32"/>
          <w:szCs w:val="32"/>
        </w:rPr>
        <w:t>第一条</w:t>
      </w:r>
      <w:r>
        <w:rPr>
          <w:rFonts w:ascii="仿宋_GB2312" w:eastAsia="仿宋_GB2312" w:hAnsi="仿宋_GB2312" w:hint="eastAsia"/>
          <w:sz w:val="32"/>
          <w:szCs w:val="32"/>
        </w:rPr>
        <w:t xml:space="preserve">  </w:t>
      </w:r>
      <w:r>
        <w:rPr>
          <w:rFonts w:ascii="仿宋_GB2312" w:eastAsia="仿宋_GB2312" w:hAnsi="仿宋_GB2312"/>
          <w:sz w:val="32"/>
          <w:szCs w:val="32"/>
        </w:rPr>
        <w:t>为了规范证券登记结算行为，保护投资者的合法权益，维护证券登记结算秩序，防范证券登记结算风险，保障证券市场安全高效运行，根据《证券法》、《公司法》等法律、行政法规的规定，制定本办法。</w:t>
      </w:r>
    </w:p>
    <w:p w14:paraId="3627513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第二条</w:t>
      </w:r>
      <w:r>
        <w:rPr>
          <w:rFonts w:ascii="仿宋_GB2312" w:eastAsia="仿宋_GB2312" w:hAnsi="仿宋_GB2312" w:hint="eastAsia"/>
          <w:sz w:val="32"/>
          <w:szCs w:val="32"/>
        </w:rPr>
        <w:t xml:space="preserve">  </w:t>
      </w:r>
      <w:r>
        <w:rPr>
          <w:rFonts w:ascii="仿宋_GB2312" w:eastAsia="仿宋_GB2312" w:hAnsi="仿宋_GB2312"/>
          <w:sz w:val="32"/>
          <w:szCs w:val="32"/>
        </w:rPr>
        <w:t>在证券交易所上市的股票、债券、证券投资基金份额等证券及证券衍生品种（以下统称证券）的登记结算，适用本办法。</w:t>
      </w:r>
    </w:p>
    <w:p w14:paraId="1D638AF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非上市证券的登记结算业务，参照本办法执行。</w:t>
      </w:r>
    </w:p>
    <w:p w14:paraId="0ED6F35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境内上市外资股的登记结算业务，法律、行政法规、中国证券监督管理委员会（以下简称中国证监会）另有规定的，从其规定。</w:t>
      </w:r>
    </w:p>
    <w:p w14:paraId="6742CAC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第三条</w:t>
      </w:r>
      <w:r>
        <w:rPr>
          <w:rFonts w:ascii="黑体" w:eastAsia="黑体" w:hAnsi="黑体" w:cs="黑体" w:hint="eastAsia"/>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证券登记结算活动必须实行公开、公平、公正、安全、高效的原则。</w:t>
      </w:r>
    </w:p>
    <w:p w14:paraId="086A9455"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第四条</w:t>
      </w:r>
      <w:r>
        <w:rPr>
          <w:rFonts w:ascii="黑体" w:eastAsia="黑体" w:hAnsi="黑体" w:cs="黑体" w:hint="eastAsia"/>
          <w:sz w:val="32"/>
          <w:szCs w:val="32"/>
        </w:rPr>
        <w:t xml:space="preserve">  </w:t>
      </w:r>
      <w:r>
        <w:rPr>
          <w:rFonts w:ascii="仿宋_GB2312" w:eastAsia="仿宋_GB2312" w:hAnsi="仿宋_GB2312"/>
          <w:sz w:val="32"/>
          <w:szCs w:val="32"/>
        </w:rPr>
        <w:t>证券登记结算机构是为证券交易提供集中登记、存管与结算服务，不以营利为目的的法人。</w:t>
      </w:r>
    </w:p>
    <w:p w14:paraId="7BC93866"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证券登记结算业务采取全国集中统一的运营方式，由证券登记结算机构依法集中统一办理。</w:t>
      </w:r>
    </w:p>
    <w:p w14:paraId="718591B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证券登记结算机构实行行业自律管理。</w:t>
      </w:r>
    </w:p>
    <w:p w14:paraId="2C352D6C"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第五条</w:t>
      </w:r>
      <w:r>
        <w:rPr>
          <w:rFonts w:ascii="黑体" w:eastAsia="黑体" w:hAnsi="黑体" w:cs="黑体" w:hint="eastAsia"/>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证券登记结算活动必须遵守法律、行政法规、中国证监会的规定以及证券登记结算机构依法制定的业务规则。</w:t>
      </w:r>
    </w:p>
    <w:p w14:paraId="0F1C446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第六条</w:t>
      </w:r>
      <w:r>
        <w:rPr>
          <w:rFonts w:ascii="仿宋_GB2312" w:eastAsia="仿宋_GB2312" w:hAnsi="仿宋_GB2312" w:hint="eastAsia"/>
          <w:sz w:val="32"/>
          <w:szCs w:val="32"/>
        </w:rPr>
        <w:t xml:space="preserve">  </w:t>
      </w:r>
      <w:r>
        <w:rPr>
          <w:rFonts w:ascii="仿宋_GB2312" w:eastAsia="仿宋_GB2312" w:hAnsi="仿宋_GB2312"/>
          <w:sz w:val="32"/>
          <w:szCs w:val="32"/>
        </w:rPr>
        <w:t>中国证监会依法对证券登记结算机构及证券登记结算活动进行监督管理。</w:t>
      </w:r>
    </w:p>
    <w:p w14:paraId="4A78F7C9" w14:textId="77777777" w:rsidR="00C76C45" w:rsidRDefault="00C76C45">
      <w:pPr>
        <w:ind w:firstLineChars="200" w:firstLine="640"/>
        <w:rPr>
          <w:rFonts w:ascii="仿宋_GB2312" w:eastAsia="仿宋_GB2312" w:hAnsi="仿宋_GB2312"/>
          <w:sz w:val="32"/>
          <w:szCs w:val="32"/>
        </w:rPr>
      </w:pPr>
    </w:p>
    <w:p w14:paraId="1DC6C817"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t>证券登记结算机构</w:t>
      </w:r>
    </w:p>
    <w:p w14:paraId="6DF6EDAC" w14:textId="77777777" w:rsidR="00C76C45" w:rsidRDefault="00C76C45">
      <w:pPr>
        <w:rPr>
          <w:rFonts w:ascii="楷体_GB2312" w:eastAsia="楷体_GB2312" w:hAnsi="楷体_GB2312"/>
          <w:b/>
          <w:bCs/>
          <w:sz w:val="32"/>
          <w:szCs w:val="32"/>
        </w:rPr>
      </w:pPr>
    </w:p>
    <w:p w14:paraId="3508DF1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证券登记结算机构的设立和解散，必须经中国证监</w:t>
      </w:r>
      <w:r>
        <w:rPr>
          <w:rFonts w:ascii="仿宋_GB2312" w:eastAsia="仿宋_GB2312" w:hAnsi="仿宋_GB2312"/>
          <w:sz w:val="32"/>
          <w:szCs w:val="32"/>
        </w:rPr>
        <w:lastRenderedPageBreak/>
        <w:t>会批准。</w:t>
      </w:r>
    </w:p>
    <w:p w14:paraId="306335B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第八条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证券登记结算机构履行下列职能：</w:t>
      </w:r>
    </w:p>
    <w:p w14:paraId="6910AEC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（一）证券账户、结算账户的设立和管理；</w:t>
      </w:r>
    </w:p>
    <w:p w14:paraId="400F024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（二）证券的存管和过户；</w:t>
      </w:r>
    </w:p>
    <w:p w14:paraId="1AD852A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（三）证券持有人名册登记及权益登记；</w:t>
      </w:r>
    </w:p>
    <w:p w14:paraId="77E70B0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（四）证券和资金的清算交收及相关管理；</w:t>
      </w:r>
    </w:p>
    <w:p w14:paraId="75A0221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（五）受发行人的委托派发证券权益；</w:t>
      </w:r>
    </w:p>
    <w:p w14:paraId="1B492FC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（六）依法提供与证券登记结算业务有关的查询、信息、咨询和培训服务；</w:t>
      </w:r>
    </w:p>
    <w:p w14:paraId="61BA3078"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（七）中国证监会批准的其他业务。</w:t>
      </w:r>
    </w:p>
    <w:p w14:paraId="3EE24343"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第九条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证券登记结算机构不得从事下列活动：</w:t>
      </w:r>
    </w:p>
    <w:p w14:paraId="093B28C0"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（一）与证券登记结算业务无关的投资；</w:t>
      </w:r>
    </w:p>
    <w:p w14:paraId="3D97053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（二）购置非自用不动产；</w:t>
      </w:r>
    </w:p>
    <w:p w14:paraId="65AF38E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（三）在本办法第六十五条、第六十六条规定之外买卖证券；</w:t>
      </w:r>
    </w:p>
    <w:p w14:paraId="0E26419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（四）法律、行政法规和中国证监会禁止的其他行为。</w:t>
      </w:r>
    </w:p>
    <w:p w14:paraId="6CB02C7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证券登记结算机构的下列事项，应当报中国证监会批准：</w:t>
      </w:r>
    </w:p>
    <w:p w14:paraId="3DA73B9B"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（一）章程、业务规则的制定和修改；</w:t>
      </w:r>
    </w:p>
    <w:p w14:paraId="53A689B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（二）董事长、副董事长、总经理和副总经理的任免；</w:t>
      </w:r>
    </w:p>
    <w:p w14:paraId="36FF0F1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（三）依法应当报中国证监会批准的其他事项。</w:t>
      </w:r>
    </w:p>
    <w:p w14:paraId="71F2FA16"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前款第（一）项中所称的业务规则，是指证券登记结算机构的证券账户管理、证券登记、证券托管与存管、证券结算、结算参与人管理等与证券登记结算业务有关的业务规则。</w:t>
      </w:r>
    </w:p>
    <w:p w14:paraId="11710D30"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第十一条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证券登记结算机构的下列事项和文件，应当向中国证监会报告：</w:t>
      </w:r>
    </w:p>
    <w:p w14:paraId="3913B33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（一）业务实施细则；</w:t>
      </w:r>
    </w:p>
    <w:p w14:paraId="43CE46F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（二）制定或修改业务管理制度、业务复原计划、紧急应对程序；</w:t>
      </w:r>
    </w:p>
    <w:p w14:paraId="5B84C48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（三）办理新的证券品种的登记结算业务，变更登记结算业务模式；</w:t>
      </w:r>
    </w:p>
    <w:p w14:paraId="0F751AC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（四）结算参与人和结算银行资格的取得和丧失等变动</w:t>
      </w:r>
      <w:r>
        <w:rPr>
          <w:rFonts w:ascii="仿宋_GB2312" w:eastAsia="仿宋_GB2312" w:hAnsi="仿宋_GB2312"/>
          <w:sz w:val="32"/>
          <w:szCs w:val="32"/>
        </w:rPr>
        <w:t>情况；</w:t>
      </w:r>
    </w:p>
    <w:p w14:paraId="1A904D8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（五）发现重大业务风险和技术风险，发现重大违法违规行为，或涉及重大诉讼；</w:t>
      </w:r>
    </w:p>
    <w:p w14:paraId="2CFB381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（六）任免分公司总经理、公司总经理助理、公司部门负责人；</w:t>
      </w:r>
    </w:p>
    <w:p w14:paraId="3CA2BFF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（七）有关经营情况和国家有关规定执行情况的年度工作报告；</w:t>
      </w:r>
    </w:p>
    <w:p w14:paraId="4AAB2DC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（八）经会计师事务所审计的年度财务报告，财务预决算方案和重大开支项目，聘请或更换会计师事务所；</w:t>
      </w:r>
    </w:p>
    <w:p w14:paraId="2407732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（九）与证券交易所签订的主要业务合作协议，与证券发行人、结算参与人和结算银行签订的各项业务协议的样本格式；</w:t>
      </w:r>
    </w:p>
    <w:p w14:paraId="4CDA36F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（十）重大国际合作与交流活动、涉港澳台重大事务；</w:t>
      </w:r>
    </w:p>
    <w:p w14:paraId="6A7AEB8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（十一）与证券登记结算有关的主要收费项目和标准的制定或调整；</w:t>
      </w:r>
    </w:p>
    <w:p w14:paraId="08AB9A4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（十二）中国证监会要求报告的其他事项和文件。</w:t>
      </w:r>
    </w:p>
    <w:p w14:paraId="3A4A5AA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第十二条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证券登记结算机构应当妥善保存登记、存管和结算的原始凭证及有关文件和资料。其保存期限不得少于</w:t>
      </w:r>
      <w:r>
        <w:rPr>
          <w:rFonts w:ascii="仿宋_GB2312" w:eastAsia="仿宋_GB2312" w:hAnsi="仿宋_GB2312"/>
          <w:sz w:val="32"/>
          <w:szCs w:val="32"/>
        </w:rPr>
        <w:t>20</w:t>
      </w:r>
      <w:r>
        <w:rPr>
          <w:rFonts w:ascii="仿宋_GB2312" w:eastAsia="仿宋_GB2312" w:hAnsi="仿宋_GB2312"/>
          <w:sz w:val="32"/>
          <w:szCs w:val="32"/>
        </w:rPr>
        <w:t>年。</w:t>
      </w:r>
    </w:p>
    <w:p w14:paraId="51848FBC"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第十三条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证券登记结算机构对其所编制的与证券登记结算业务有关的数据和资料进行专属管理；未经证券登记结算机构同意，任何组织和个人不得将其专属管理的数据和资料用于商业目的。</w:t>
      </w:r>
    </w:p>
    <w:p w14:paraId="658AFBA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第十四条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证券登记结算机构及其工作人员依法对与证券登记结算业务有关的数据和资料负有保密义务。</w:t>
      </w:r>
    </w:p>
    <w:p w14:paraId="1FE640F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对与证券登记结算业务有关</w:t>
      </w:r>
      <w:r>
        <w:rPr>
          <w:rFonts w:ascii="仿宋_GB2312" w:eastAsia="仿宋_GB2312" w:hAnsi="仿宋_GB2312"/>
          <w:sz w:val="32"/>
          <w:szCs w:val="32"/>
        </w:rPr>
        <w:t>的数据和资料，证券登记结算机构应当拒绝查询，但有下列情形之一的，证券登记结算机构应当依法办理：</w:t>
      </w:r>
    </w:p>
    <w:p w14:paraId="5F5810A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（一）证券持有人查询其本人的有关证券资料；</w:t>
      </w:r>
    </w:p>
    <w:p w14:paraId="5083182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（二）证券发行人查询其证券持有人名册及有关资料；</w:t>
      </w:r>
    </w:p>
    <w:p w14:paraId="504363D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（三）证券交易所、中国金融期货交易所依法履行职责要求证券登记结算机构提供相关数据和资料；</w:t>
      </w:r>
    </w:p>
    <w:p w14:paraId="4459313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（四）人民法院、人民检察院、公安机关和中国证监会依照法定的条件和程序进行查询和取证。</w:t>
      </w:r>
    </w:p>
    <w:p w14:paraId="2CC251EB"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证券登记结算机构应当采取有效措施，方便证券持有人查询其本人证券的持有记录。</w:t>
      </w:r>
    </w:p>
    <w:p w14:paraId="35CD61A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第十五条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证券登记结算机构应当公开业务规则、与证券登记结算业务有关的</w:t>
      </w:r>
      <w:r>
        <w:rPr>
          <w:rFonts w:ascii="仿宋_GB2312" w:eastAsia="仿宋_GB2312" w:hAnsi="仿宋_GB2312"/>
          <w:sz w:val="32"/>
          <w:szCs w:val="32"/>
        </w:rPr>
        <w:t>主要收费项目和标准。</w:t>
      </w:r>
    </w:p>
    <w:p w14:paraId="23288090"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证券登记结算机构制定或者变更业务规则、调整证券登记结算主要收费项目和标准等，应当征求相关市场参与人的意见。</w:t>
      </w:r>
    </w:p>
    <w:p w14:paraId="63D8EAE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第十六条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证券登记结算机构工作人员必须忠于职守、依法办事、不得利用职务便利谋取不正当利益，不得泄露所知悉的有关单位和个人的商业秘密。</w:t>
      </w:r>
    </w:p>
    <w:p w14:paraId="13B9856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证券登记结算机构违反《证券法》及本办法规定的，中国证监会依法予以行政处罚；对直接负责的主管人员和其他直接责任人员，依法给予行政处分。</w:t>
      </w:r>
    </w:p>
    <w:p w14:paraId="4F3F8B32" w14:textId="77777777" w:rsidR="00C76C45" w:rsidRDefault="00C76C45">
      <w:pPr>
        <w:ind w:firstLineChars="200" w:firstLine="640"/>
        <w:rPr>
          <w:rFonts w:ascii="仿宋_GB2312" w:eastAsia="仿宋_GB2312" w:hAnsi="仿宋_GB2312"/>
          <w:sz w:val="32"/>
          <w:szCs w:val="32"/>
        </w:rPr>
      </w:pPr>
    </w:p>
    <w:p w14:paraId="53CBE1A4"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lastRenderedPageBreak/>
        <w:t>证券账户的管理</w:t>
      </w:r>
    </w:p>
    <w:p w14:paraId="4F9C40AC" w14:textId="77777777" w:rsidR="00C76C45" w:rsidRDefault="00C76C45">
      <w:pPr>
        <w:rPr>
          <w:rFonts w:ascii="楷体_GB2312" w:eastAsia="楷体_GB2312" w:hAnsi="楷体_GB2312"/>
          <w:b/>
          <w:bCs/>
          <w:sz w:val="32"/>
          <w:szCs w:val="32"/>
        </w:rPr>
      </w:pPr>
    </w:p>
    <w:p w14:paraId="3869D62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第十七条</w:t>
      </w:r>
      <w:r>
        <w:rPr>
          <w:rFonts w:ascii="仿宋_GB2312" w:eastAsia="仿宋_GB2312" w:hAnsi="仿宋_GB2312" w:hint="eastAsia"/>
          <w:sz w:val="32"/>
          <w:szCs w:val="32"/>
        </w:rPr>
        <w:t xml:space="preserve">  </w:t>
      </w:r>
      <w:r>
        <w:rPr>
          <w:rFonts w:ascii="仿宋_GB2312" w:eastAsia="仿宋_GB2312" w:hAnsi="仿宋_GB2312"/>
          <w:sz w:val="32"/>
          <w:szCs w:val="32"/>
        </w:rPr>
        <w:t>投资者通过证券账户持有证券，证券账户用于记录投资者持有证券的余额及其变动情况。</w:t>
      </w:r>
    </w:p>
    <w:p w14:paraId="4F48B369"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第十八条</w:t>
      </w:r>
      <w:r>
        <w:rPr>
          <w:rFonts w:ascii="仿宋_GB2312" w:eastAsia="仿宋_GB2312" w:hAnsi="仿宋_GB2312" w:hint="eastAsia"/>
          <w:sz w:val="32"/>
          <w:szCs w:val="32"/>
        </w:rPr>
        <w:t xml:space="preserve">  </w:t>
      </w:r>
      <w:r>
        <w:rPr>
          <w:rFonts w:ascii="仿宋_GB2312" w:eastAsia="仿宋_GB2312" w:hAnsi="仿宋_GB2312"/>
          <w:sz w:val="32"/>
          <w:szCs w:val="32"/>
        </w:rPr>
        <w:t>证券应当记录在证券持有人本人的证券账户内，但依据法律、行政法规和中国证监会的规定，证券记录在名义持有人证券账户内的，从其规定。</w:t>
      </w:r>
    </w:p>
    <w:p w14:paraId="3317B3E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证券登记结算机构为依法履行职责，可以要求名义持有人提供其名下证券权益拥有人的相关资料。</w:t>
      </w:r>
    </w:p>
    <w:p w14:paraId="2F5DD9A5"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第十九条</w:t>
      </w:r>
      <w:r>
        <w:rPr>
          <w:rFonts w:ascii="仿宋_GB2312" w:eastAsia="仿宋_GB2312" w:hAnsi="仿宋_GB2312" w:hint="eastAsia"/>
          <w:sz w:val="32"/>
          <w:szCs w:val="32"/>
        </w:rPr>
        <w:t xml:space="preserve">  </w:t>
      </w:r>
      <w:r>
        <w:rPr>
          <w:rFonts w:ascii="仿宋_GB2312" w:eastAsia="仿宋_GB2312" w:hAnsi="仿宋_GB2312"/>
          <w:sz w:val="32"/>
          <w:szCs w:val="32"/>
        </w:rPr>
        <w:t>投资者开立证券账户应当向证券登记结算机构提出申请。</w:t>
      </w:r>
    </w:p>
    <w:p w14:paraId="3E736D4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前款所称投资者包括中国公民、中国法人、中国合伙企业</w:t>
      </w:r>
      <w:r>
        <w:rPr>
          <w:rFonts w:ascii="仿宋_GB2312" w:eastAsia="仿宋_GB2312" w:hAnsi="仿宋_GB2312" w:hint="eastAsia"/>
          <w:sz w:val="32"/>
          <w:szCs w:val="32"/>
        </w:rPr>
        <w:t>、</w:t>
      </w:r>
      <w:r>
        <w:rPr>
          <w:rFonts w:ascii="仿宋_GB2312" w:eastAsia="仿宋_GB2312" w:hAnsi="仿宋_GB2312"/>
          <w:sz w:val="32"/>
          <w:szCs w:val="32"/>
        </w:rPr>
        <w:t>符合规定的外国人及法律、行政法规、中国证监会规章规定的其他投资者。</w:t>
      </w:r>
    </w:p>
    <w:p w14:paraId="6D340A9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外国人申请开立证券账</w:t>
      </w:r>
      <w:r>
        <w:rPr>
          <w:rFonts w:ascii="仿宋_GB2312" w:eastAsia="仿宋_GB2312" w:hAnsi="仿宋_GB2312"/>
          <w:sz w:val="32"/>
          <w:szCs w:val="32"/>
        </w:rPr>
        <w:t>户的具体办法，由证券登记结算机构制定，报中国证监会批准。</w:t>
      </w:r>
    </w:p>
    <w:p w14:paraId="00864B5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投资者申请开立证券账户应当保证其提交的开户资料真实、准确、完整。</w:t>
      </w:r>
    </w:p>
    <w:p w14:paraId="3B0553BF"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证券登记结算机构可以直接为投资者开立证券</w:t>
      </w:r>
      <w:r>
        <w:rPr>
          <w:rFonts w:ascii="仿宋_GB2312" w:eastAsia="仿宋_GB2312" w:hAnsi="仿宋_GB2312"/>
          <w:sz w:val="32"/>
          <w:szCs w:val="32"/>
        </w:rPr>
        <w:lastRenderedPageBreak/>
        <w:t>账户，也可以委托证券公司代为办理。</w:t>
      </w:r>
    </w:p>
    <w:p w14:paraId="566AABF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证券登记结算机构为投资者开立证券账户，应当遵循方便投资者和优化配置账户资源的原则。</w:t>
      </w:r>
    </w:p>
    <w:p w14:paraId="5554F9E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第二十一条</w:t>
      </w:r>
      <w:r>
        <w:rPr>
          <w:rFonts w:ascii="仿宋_GB2312" w:eastAsia="仿宋_GB2312" w:hAnsi="仿宋_GB2312" w:hint="eastAsia"/>
          <w:sz w:val="32"/>
          <w:szCs w:val="32"/>
        </w:rPr>
        <w:t xml:space="preserve">  </w:t>
      </w:r>
      <w:r>
        <w:rPr>
          <w:rFonts w:ascii="仿宋_GB2312" w:eastAsia="仿宋_GB2312" w:hAnsi="仿宋_GB2312"/>
          <w:sz w:val="32"/>
          <w:szCs w:val="32"/>
        </w:rPr>
        <w:t>证券公司代理开立证券账户，应当向证券登记结算机构申请取得开户代理资格。</w:t>
      </w:r>
    </w:p>
    <w:p w14:paraId="3803E976"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公司代理开立证券账户，应当根据证券登记结算机构的业务规则，对投资者提供的有效身份证明文件原件及其他开户资料的真实性、准确性、完整性进行审核，并应当妥善保管相关开户资料，保管期限不得少于</w:t>
      </w:r>
      <w:r>
        <w:rPr>
          <w:rFonts w:ascii="仿宋_GB2312" w:eastAsia="仿宋_GB2312" w:hAnsi="仿宋_GB2312"/>
          <w:sz w:val="32"/>
          <w:szCs w:val="32"/>
        </w:rPr>
        <w:t xml:space="preserve">20 </w:t>
      </w:r>
      <w:r>
        <w:rPr>
          <w:rFonts w:ascii="仿宋_GB2312" w:eastAsia="仿宋_GB2312" w:hAnsi="仿宋_GB2312"/>
          <w:sz w:val="32"/>
          <w:szCs w:val="32"/>
        </w:rPr>
        <w:t>年。</w:t>
      </w:r>
    </w:p>
    <w:p w14:paraId="092025D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第二十二条</w:t>
      </w:r>
      <w:r>
        <w:rPr>
          <w:rFonts w:ascii="仿宋_GB2312" w:eastAsia="仿宋_GB2312" w:hAnsi="仿宋_GB2312" w:hint="eastAsia"/>
          <w:sz w:val="32"/>
          <w:szCs w:val="32"/>
        </w:rPr>
        <w:t xml:space="preserve">  </w:t>
      </w:r>
      <w:r>
        <w:rPr>
          <w:rFonts w:ascii="仿宋_GB2312" w:eastAsia="仿宋_GB2312" w:hAnsi="仿宋_GB2312"/>
          <w:sz w:val="32"/>
          <w:szCs w:val="32"/>
        </w:rPr>
        <w:t>投资者不得将本人的证券账户提供给他人使用。</w:t>
      </w:r>
    </w:p>
    <w:p w14:paraId="3158780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第二十三条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根据业务规则，对开户代理机构开立证券账户的活动进行监督。开户代理机构违反业务规则的，证券登记结算机构可以根据业务规则暂停、取消其开户代理资格，并提请中国证监会按照相关规定采取暂停或撤销其相关证券业务许可；对直接负责的主管</w:t>
      </w:r>
      <w:r>
        <w:rPr>
          <w:rFonts w:ascii="仿宋_GB2312" w:eastAsia="仿宋_GB2312" w:hAnsi="仿宋_GB2312"/>
          <w:sz w:val="32"/>
          <w:szCs w:val="32"/>
        </w:rPr>
        <w:t>人员和其他直接责任人员，单处或并处警告、罚款、撤销任职资格或证券从业资格等处罚措施。</w:t>
      </w:r>
    </w:p>
    <w:p w14:paraId="2A00A27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第二十四条</w:t>
      </w:r>
      <w:r>
        <w:rPr>
          <w:rFonts w:ascii="仿宋_GB2312" w:eastAsia="仿宋_GB2312" w:hAnsi="仿宋_GB2312" w:hint="eastAsia"/>
          <w:sz w:val="32"/>
          <w:szCs w:val="32"/>
        </w:rPr>
        <w:t xml:space="preserve">  </w:t>
      </w:r>
      <w:r>
        <w:rPr>
          <w:rFonts w:ascii="仿宋_GB2312" w:eastAsia="仿宋_GB2312" w:hAnsi="仿宋_GB2312"/>
          <w:sz w:val="32"/>
          <w:szCs w:val="32"/>
        </w:rPr>
        <w:t>证券公司应当掌握其客户的资料及资信状况，</w:t>
      </w:r>
      <w:r>
        <w:rPr>
          <w:rFonts w:ascii="仿宋_GB2312" w:eastAsia="仿宋_GB2312" w:hAnsi="仿宋_GB2312"/>
          <w:sz w:val="32"/>
          <w:szCs w:val="32"/>
        </w:rPr>
        <w:lastRenderedPageBreak/>
        <w:t>并对其客户证券账户的使用情况进行监督。证券公司发现其客户在证券账户使用过程中存在违规行为的，应当按照证券登记结算机构的业务规则处理，并及时向证券登记结算机构和证券交易所报告。涉及法人以他人名义设立证券账户或者利用他人证券账户买卖证券的，还应当向中国证监会报告，由中国证监会依法予以处罚。</w:t>
      </w:r>
    </w:p>
    <w:p w14:paraId="7565A2D8" w14:textId="77777777" w:rsidR="00C76C45" w:rsidRDefault="009A4126">
      <w:pPr>
        <w:ind w:firstLineChars="200" w:firstLine="640"/>
        <w:rPr>
          <w:rFonts w:ascii="仿宋_GB2312" w:eastAsia="仿宋_GB2312" w:hAnsi="仿宋_GB2312"/>
          <w:sz w:val="32"/>
          <w:szCs w:val="32"/>
        </w:rPr>
      </w:pPr>
      <w:r>
        <w:rPr>
          <w:rFonts w:ascii="黑体" w:eastAsia="黑体" w:hAnsi="黑体" w:cs="黑体" w:hint="eastAsia"/>
          <w:sz w:val="32"/>
          <w:szCs w:val="32"/>
        </w:rPr>
        <w:t>第二十五条</w:t>
      </w:r>
      <w:r>
        <w:rPr>
          <w:rFonts w:ascii="黑体" w:eastAsia="黑体" w:hAnsi="黑体" w:cs="黑体" w:hint="eastAsia"/>
          <w:sz w:val="32"/>
          <w:szCs w:val="32"/>
        </w:rPr>
        <w:t xml:space="preserve">  </w:t>
      </w:r>
      <w:r>
        <w:rPr>
          <w:rFonts w:ascii="仿宋_GB2312" w:eastAsia="仿宋_GB2312" w:hAnsi="仿宋_GB2312"/>
          <w:sz w:val="32"/>
          <w:szCs w:val="32"/>
        </w:rPr>
        <w:t>投资者在证券账户开立和使用过程中存在违规行为的，证券登记结算机构应当依法对违规证券账户采取限制使用、注销等处置措施。</w:t>
      </w:r>
    </w:p>
    <w:p w14:paraId="57251CB9" w14:textId="77777777" w:rsidR="00C76C45" w:rsidRDefault="00C76C45">
      <w:pPr>
        <w:ind w:firstLineChars="200" w:firstLine="640"/>
        <w:rPr>
          <w:rFonts w:ascii="仿宋_GB2312" w:eastAsia="仿宋_GB2312" w:hAnsi="仿宋_GB2312"/>
          <w:sz w:val="32"/>
          <w:szCs w:val="32"/>
        </w:rPr>
      </w:pPr>
    </w:p>
    <w:p w14:paraId="45CBC08B"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t>证券的登记</w:t>
      </w:r>
    </w:p>
    <w:p w14:paraId="34A67E72" w14:textId="77777777" w:rsidR="00C76C45" w:rsidRDefault="00C76C45">
      <w:pPr>
        <w:rPr>
          <w:rFonts w:ascii="楷体_GB2312" w:eastAsia="楷体_GB2312" w:hAnsi="楷体_GB2312"/>
          <w:b/>
          <w:bCs/>
          <w:sz w:val="32"/>
          <w:szCs w:val="32"/>
        </w:rPr>
      </w:pPr>
    </w:p>
    <w:p w14:paraId="724DAF1B"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第二十六条</w:t>
      </w:r>
      <w:r>
        <w:rPr>
          <w:rFonts w:ascii="仿宋_GB2312" w:eastAsia="仿宋_GB2312" w:hAnsi="仿宋_GB2312" w:hint="eastAsia"/>
          <w:sz w:val="32"/>
          <w:szCs w:val="32"/>
        </w:rPr>
        <w:t xml:space="preserve">  </w:t>
      </w:r>
      <w:r>
        <w:rPr>
          <w:rFonts w:ascii="仿宋_GB2312" w:eastAsia="仿宋_GB2312" w:hAnsi="仿宋_GB2312"/>
          <w:sz w:val="32"/>
          <w:szCs w:val="32"/>
        </w:rPr>
        <w:t>上市证券的发行人，应当委托证券登记结算机构办理其所发行证券的登记业务。</w:t>
      </w:r>
    </w:p>
    <w:p w14:paraId="29439AE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证券登记结算机构应当与委托其办理证券登记业务的证券发行人签订证券登记及服务协议，明确双方的权利义务。</w:t>
      </w:r>
    </w:p>
    <w:p w14:paraId="2199EEE0"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证券登记结算机构应当制定并公布证券登记及服务协议的范本。</w:t>
      </w:r>
    </w:p>
    <w:p w14:paraId="296DDD3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证券登记结算机构可以根据政府债券主管部门的要求办理</w:t>
      </w:r>
      <w:r>
        <w:rPr>
          <w:rFonts w:ascii="仿宋_GB2312" w:eastAsia="仿宋_GB2312" w:hAnsi="仿宋_GB2312"/>
          <w:sz w:val="32"/>
          <w:szCs w:val="32"/>
        </w:rPr>
        <w:lastRenderedPageBreak/>
        <w:t>上市政府债券的登记业务。</w:t>
      </w:r>
    </w:p>
    <w:p w14:paraId="76CD738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第二十七条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证券登记结算机构根据证券账户的记录，确认证</w:t>
      </w:r>
      <w:r>
        <w:rPr>
          <w:rFonts w:ascii="仿宋_GB2312" w:eastAsia="仿宋_GB2312" w:hAnsi="仿宋_GB2312"/>
          <w:sz w:val="32"/>
          <w:szCs w:val="32"/>
        </w:rPr>
        <w:t>券持有人持有证券的事实，办理证券持有人名册的登记。</w:t>
      </w:r>
    </w:p>
    <w:p w14:paraId="42D50FD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第二十八条</w:t>
      </w:r>
      <w:r>
        <w:rPr>
          <w:rFonts w:ascii="仿宋_GB2312" w:eastAsia="仿宋_GB2312" w:hAnsi="仿宋_GB2312" w:hint="eastAsia"/>
          <w:sz w:val="32"/>
          <w:szCs w:val="32"/>
        </w:rPr>
        <w:t xml:space="preserve">  </w:t>
      </w:r>
      <w:r>
        <w:rPr>
          <w:rFonts w:ascii="仿宋_GB2312" w:eastAsia="仿宋_GB2312" w:hAnsi="仿宋_GB2312"/>
          <w:sz w:val="32"/>
          <w:szCs w:val="32"/>
        </w:rPr>
        <w:t>证券公开发行后，证券发行人应当向证券登记结算机构提交已发行证券的证券持有人名册及其他相关资料。证券登记结算机构据此办理证券持有人名册的初始登记。</w:t>
      </w:r>
    </w:p>
    <w:p w14:paraId="02CDFEE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证券发行人应当保证其所提交资料的合法、真实、准确、完整。证券登记结算机构不承担由于证券发行人原因导致证券持有人名册及其他相关资料有误而产生的损失和法律后果。</w:t>
      </w:r>
    </w:p>
    <w:p w14:paraId="33B9B70B"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第二十九条</w:t>
      </w:r>
      <w:r>
        <w:rPr>
          <w:rFonts w:ascii="仿宋_GB2312" w:eastAsia="仿宋_GB2312" w:hAnsi="仿宋_GB2312" w:hint="eastAsia"/>
          <w:sz w:val="32"/>
          <w:szCs w:val="32"/>
        </w:rPr>
        <w:t xml:space="preserve">  </w:t>
      </w:r>
      <w:r>
        <w:rPr>
          <w:rFonts w:ascii="仿宋_GB2312" w:eastAsia="仿宋_GB2312" w:hAnsi="仿宋_GB2312"/>
          <w:sz w:val="32"/>
          <w:szCs w:val="32"/>
        </w:rPr>
        <w:t>证券在证券交易所上市交易的，证券登记结算机构应当根据证券交易的交收结果办理证券持有人名册的变更登记。</w:t>
      </w:r>
    </w:p>
    <w:p w14:paraId="76AFFEE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证券以协议转让、继承、捐赠</w:t>
      </w:r>
      <w:r>
        <w:rPr>
          <w:rFonts w:ascii="仿宋_GB2312" w:eastAsia="仿宋_GB2312" w:hAnsi="仿宋_GB2312"/>
          <w:sz w:val="32"/>
          <w:szCs w:val="32"/>
        </w:rPr>
        <w:t>、强制执行、行政划拨等方式转让的，证券登记结算机构根据业务规则变更相关证券账户的余额，并相应办理证券持有人名册的变更登记。</w:t>
      </w:r>
    </w:p>
    <w:p w14:paraId="58D2056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证券因质押、锁定、冻结等原因导致其持有人权利受到限制的，证券登记结算机构应当在证券持有人名册上加以标记。</w:t>
      </w:r>
    </w:p>
    <w:p w14:paraId="0C274B5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证券登记结算机构应当保证证券持有人名册和登记过户记录真实、准确、完整，不得隐匿、伪造或者毁损。</w:t>
      </w:r>
    </w:p>
    <w:p w14:paraId="5A83190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lastRenderedPageBreak/>
        <w:t>第三十一条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证券登记结算机构应当按照业务规则和协议定期向证券发行人发送其证券持有人名册及有关资料。</w:t>
      </w:r>
    </w:p>
    <w:p w14:paraId="72643779"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第三十二条</w:t>
      </w:r>
      <w:r>
        <w:rPr>
          <w:rFonts w:ascii="仿宋_GB2312" w:eastAsia="仿宋_GB2312" w:hAnsi="仿宋_GB2312" w:hint="eastAsia"/>
          <w:sz w:val="32"/>
          <w:szCs w:val="32"/>
        </w:rPr>
        <w:t xml:space="preserve">  </w:t>
      </w:r>
      <w:r>
        <w:rPr>
          <w:rFonts w:ascii="仿宋_GB2312" w:eastAsia="仿宋_GB2312" w:hAnsi="仿宋_GB2312"/>
          <w:sz w:val="32"/>
          <w:szCs w:val="32"/>
        </w:rPr>
        <w:t>证券发行人申请办理权益分派等代理服务的，应当按照业务规则和</w:t>
      </w:r>
      <w:r>
        <w:rPr>
          <w:rFonts w:ascii="仿宋_GB2312" w:eastAsia="仿宋_GB2312" w:hAnsi="仿宋_GB2312"/>
          <w:sz w:val="32"/>
          <w:szCs w:val="32"/>
        </w:rPr>
        <w:t>协议向证券登记结算机构提交有关资料并支付款项。</w:t>
      </w:r>
    </w:p>
    <w:p w14:paraId="09B1088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证券发行人未及时履行上述义务的，证券登记结算机构有权推迟或不予办理，证券发行人应当及时发布公告说明有关情况。</w:t>
      </w:r>
    </w:p>
    <w:p w14:paraId="67A2032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第三十三条</w:t>
      </w:r>
      <w:r>
        <w:rPr>
          <w:rFonts w:ascii="仿宋_GB2312" w:eastAsia="仿宋_GB2312" w:hAnsi="仿宋_GB2312" w:hint="eastAsia"/>
          <w:sz w:val="32"/>
          <w:szCs w:val="32"/>
        </w:rPr>
        <w:t xml:space="preserve">  </w:t>
      </w:r>
      <w:r>
        <w:rPr>
          <w:rFonts w:ascii="仿宋_GB2312" w:eastAsia="仿宋_GB2312" w:hAnsi="仿宋_GB2312"/>
          <w:sz w:val="32"/>
          <w:szCs w:val="32"/>
        </w:rPr>
        <w:t>证券发行人或者其清算组等终止证券登记及相关服务协议的，证券登记结算机构应当依法向其交付证券持有人名册及其他登记资料。</w:t>
      </w:r>
    </w:p>
    <w:p w14:paraId="4D5EF722" w14:textId="77777777" w:rsidR="00C76C45" w:rsidRDefault="00C76C45">
      <w:pPr>
        <w:ind w:firstLineChars="200" w:firstLine="640"/>
        <w:rPr>
          <w:rFonts w:ascii="仿宋_GB2312" w:eastAsia="仿宋_GB2312" w:hAnsi="仿宋_GB2312"/>
          <w:sz w:val="32"/>
          <w:szCs w:val="32"/>
        </w:rPr>
      </w:pPr>
    </w:p>
    <w:p w14:paraId="4F3BADA4"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t>证券的托管和存管</w:t>
      </w:r>
    </w:p>
    <w:p w14:paraId="3F8141B2" w14:textId="77777777" w:rsidR="00C76C45" w:rsidRDefault="00C76C45">
      <w:pPr>
        <w:rPr>
          <w:rFonts w:ascii="楷体_GB2312" w:eastAsia="楷体_GB2312" w:hAnsi="楷体_GB2312"/>
          <w:b/>
          <w:bCs/>
          <w:sz w:val="32"/>
          <w:szCs w:val="32"/>
        </w:rPr>
      </w:pPr>
    </w:p>
    <w:p w14:paraId="5CC230B0"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第三十四条</w:t>
      </w:r>
      <w:r>
        <w:rPr>
          <w:rFonts w:ascii="仿宋_GB2312" w:eastAsia="仿宋_GB2312" w:hAnsi="仿宋_GB2312" w:hint="eastAsia"/>
          <w:sz w:val="32"/>
          <w:szCs w:val="32"/>
        </w:rPr>
        <w:t xml:space="preserve">  </w:t>
      </w:r>
      <w:r>
        <w:rPr>
          <w:rFonts w:ascii="仿宋_GB2312" w:eastAsia="仿宋_GB2312" w:hAnsi="仿宋_GB2312"/>
          <w:sz w:val="32"/>
          <w:szCs w:val="32"/>
        </w:rPr>
        <w:t>投资者应当委托证券公司托管其持有的证券，证券公司应当将其自有证券和所托管的客户证券交由证券登记结算机构存管，但法律、行政法规和中国证监会另有规定的除外。</w:t>
      </w:r>
    </w:p>
    <w:p w14:paraId="20D2C6C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第三十五条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证券登记结算机构为证券公司设立客户证券总账和自有证券总账，用以统计证券公司交存的客户证券和自有证券。</w:t>
      </w:r>
    </w:p>
    <w:p w14:paraId="512076E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证券公司应当委托证券登记结算机构维护其客户及自有证券账户，但法律、行政法规和中国证监会另有规定的除外。</w:t>
      </w:r>
    </w:p>
    <w:p w14:paraId="657ED8C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第三十六条</w:t>
      </w:r>
      <w:r>
        <w:rPr>
          <w:rFonts w:ascii="仿宋_GB2312" w:eastAsia="仿宋_GB2312" w:hAnsi="仿宋_GB2312" w:hint="eastAsia"/>
          <w:sz w:val="32"/>
          <w:szCs w:val="32"/>
        </w:rPr>
        <w:t xml:space="preserve">  </w:t>
      </w:r>
      <w:r>
        <w:rPr>
          <w:rFonts w:ascii="仿宋_GB2312" w:eastAsia="仿宋_GB2312" w:hAnsi="仿宋_GB2312"/>
          <w:sz w:val="32"/>
          <w:szCs w:val="32"/>
        </w:rPr>
        <w:t>投资者买卖证券，应当与证券公司签订证券交易、托管与结算协议。</w:t>
      </w:r>
    </w:p>
    <w:p w14:paraId="4E5042F5"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证券登记结算机构应当制定和公布证券交易、托管与结算协议中与证券</w:t>
      </w:r>
      <w:r>
        <w:rPr>
          <w:rFonts w:ascii="仿宋_GB2312" w:eastAsia="仿宋_GB2312" w:hAnsi="仿宋_GB2312"/>
          <w:sz w:val="32"/>
          <w:szCs w:val="32"/>
        </w:rPr>
        <w:t>登记结算业务有关的必备条款。必备条款应当包括但不限于以下内容：</w:t>
      </w:r>
    </w:p>
    <w:p w14:paraId="78258EF6"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（一）证券公司根据客户的委托，按照证券交易规则提出交易申报，根据成交结果完成其与客户的证券和资金的交收，并承担相应的交收责任；客户应当同意集中交易结束后</w:t>
      </w:r>
      <w:r>
        <w:rPr>
          <w:rFonts w:ascii="仿宋_GB2312" w:eastAsia="仿宋_GB2312" w:hAnsi="仿宋_GB2312"/>
          <w:sz w:val="32"/>
          <w:szCs w:val="32"/>
        </w:rPr>
        <w:t>,</w:t>
      </w:r>
      <w:r>
        <w:rPr>
          <w:rFonts w:ascii="仿宋_GB2312" w:eastAsia="仿宋_GB2312" w:hAnsi="仿宋_GB2312"/>
          <w:sz w:val="32"/>
          <w:szCs w:val="32"/>
        </w:rPr>
        <w:t>由证券公司委托证券登记结算机构办理其证券账户与证券公司证券交收账户之间的证券划付；</w:t>
      </w:r>
    </w:p>
    <w:p w14:paraId="53EA6B0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实行质押式回购交易的，投资者和证券公司应当按照业务规则的规定向证券登记结算机构提交用于回购的质押券。投资者和证券公司之间债权债务关系不影响证券登记结算机构按照业务规则对证券公司提交的质押券行使质押权；</w:t>
      </w:r>
    </w:p>
    <w:p w14:paraId="6318C88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w:t>
      </w:r>
      <w:r>
        <w:rPr>
          <w:rFonts w:ascii="仿宋_GB2312" w:eastAsia="仿宋_GB2312" w:hAnsi="仿宋_GB2312"/>
          <w:sz w:val="32"/>
          <w:szCs w:val="32"/>
        </w:rPr>
        <w:t>三）客户出现资金交收违约时，证券公司可以委托证券登记结算机构将客户净买入证券划付到其证券处置账户内，并要求客户在约定期限内补足资金。客户出现证券交收违约时，证券公</w:t>
      </w:r>
      <w:r>
        <w:rPr>
          <w:rFonts w:ascii="仿宋_GB2312" w:eastAsia="仿宋_GB2312" w:hAnsi="仿宋_GB2312"/>
          <w:sz w:val="32"/>
          <w:szCs w:val="32"/>
        </w:rPr>
        <w:lastRenderedPageBreak/>
        <w:t>司可以将相当于证券交收违约金额的资金暂不划付给该客户。</w:t>
      </w:r>
    </w:p>
    <w:p w14:paraId="48D1CCD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第三十七条</w:t>
      </w:r>
      <w:r>
        <w:rPr>
          <w:rFonts w:ascii="仿宋_GB2312" w:eastAsia="仿宋_GB2312" w:hAnsi="仿宋_GB2312" w:hint="eastAsia"/>
          <w:sz w:val="32"/>
          <w:szCs w:val="32"/>
        </w:rPr>
        <w:t xml:space="preserve">  </w:t>
      </w:r>
      <w:r>
        <w:rPr>
          <w:rFonts w:ascii="仿宋_GB2312" w:eastAsia="仿宋_GB2312" w:hAnsi="仿宋_GB2312"/>
          <w:sz w:val="32"/>
          <w:szCs w:val="32"/>
        </w:rPr>
        <w:t>证券公司应当将其与客户之间建立、变更和终止证券托管关系的事项报送证券登记结算机构。</w:t>
      </w:r>
    </w:p>
    <w:p w14:paraId="33AC403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证券登记结算机构应当对上述事项加以记录。</w:t>
      </w:r>
    </w:p>
    <w:p w14:paraId="7228CF0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第三十八条</w:t>
      </w:r>
      <w:r>
        <w:rPr>
          <w:rFonts w:ascii="仿宋_GB2312" w:eastAsia="仿宋_GB2312" w:hAnsi="仿宋_GB2312" w:hint="eastAsia"/>
          <w:sz w:val="32"/>
          <w:szCs w:val="32"/>
        </w:rPr>
        <w:t xml:space="preserve">  </w:t>
      </w:r>
      <w:r>
        <w:rPr>
          <w:rFonts w:ascii="仿宋_GB2312" w:eastAsia="仿宋_GB2312" w:hAnsi="仿宋_GB2312"/>
          <w:sz w:val="32"/>
          <w:szCs w:val="32"/>
        </w:rPr>
        <w:t>客户要求证券公司将其持有证券转由其他证券公司托管的，相关证券公司应当依据证券交易所及证券登记结算机构有关业务规则予以办理，不得拒绝，但有关法</w:t>
      </w:r>
      <w:r>
        <w:rPr>
          <w:rFonts w:ascii="仿宋_GB2312" w:eastAsia="仿宋_GB2312" w:hAnsi="仿宋_GB2312"/>
          <w:sz w:val="32"/>
          <w:szCs w:val="32"/>
        </w:rPr>
        <w:t>律、行政法规和中国证监会另有规定的除外。</w:t>
      </w:r>
    </w:p>
    <w:p w14:paraId="229B3735"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第三十九条</w:t>
      </w:r>
      <w:r>
        <w:rPr>
          <w:rFonts w:ascii="仿宋_GB2312" w:eastAsia="仿宋_GB2312" w:hAnsi="仿宋_GB2312" w:hint="eastAsia"/>
          <w:sz w:val="32"/>
          <w:szCs w:val="32"/>
        </w:rPr>
        <w:t xml:space="preserve">  </w:t>
      </w:r>
      <w:r>
        <w:rPr>
          <w:rFonts w:ascii="仿宋_GB2312" w:eastAsia="仿宋_GB2312" w:hAnsi="仿宋_GB2312"/>
          <w:sz w:val="32"/>
          <w:szCs w:val="32"/>
        </w:rPr>
        <w:t>证券公司应当采取有效措施，保证其托管的证券的安全，禁止挪用、盗卖。</w:t>
      </w:r>
    </w:p>
    <w:p w14:paraId="37A1A2E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证券登记结算机构应当采取有效措施，保证其存管的证券的安全，禁止挪用、盗卖。</w:t>
      </w:r>
    </w:p>
    <w:p w14:paraId="4EF2552C"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第四十条</w:t>
      </w:r>
      <w:r>
        <w:rPr>
          <w:rFonts w:ascii="仿宋_GB2312" w:eastAsia="仿宋_GB2312" w:hAnsi="仿宋_GB2312" w:hint="eastAsia"/>
          <w:sz w:val="32"/>
          <w:szCs w:val="32"/>
        </w:rPr>
        <w:t xml:space="preserve">  </w:t>
      </w:r>
      <w:r>
        <w:rPr>
          <w:rFonts w:ascii="仿宋_GB2312" w:eastAsia="仿宋_GB2312" w:hAnsi="仿宋_GB2312"/>
          <w:sz w:val="32"/>
          <w:szCs w:val="32"/>
        </w:rPr>
        <w:t>证券的质押、锁定、冻结或扣划，由托管证券的证券公司和证券登记结算机构按照证券登记结算机构的相关规定办理。</w:t>
      </w:r>
    </w:p>
    <w:p w14:paraId="41BA651B" w14:textId="77777777" w:rsidR="00C76C45" w:rsidRDefault="00C76C45">
      <w:pPr>
        <w:ind w:firstLineChars="200" w:firstLine="640"/>
        <w:rPr>
          <w:rFonts w:ascii="仿宋_GB2312" w:eastAsia="仿宋_GB2312" w:hAnsi="仿宋_GB2312"/>
          <w:sz w:val="32"/>
          <w:szCs w:val="32"/>
        </w:rPr>
      </w:pPr>
    </w:p>
    <w:p w14:paraId="26C59AC5"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t>证券和资金的清算交收</w:t>
      </w:r>
    </w:p>
    <w:p w14:paraId="05CF48DE" w14:textId="77777777" w:rsidR="00C76C45" w:rsidRDefault="00C76C45">
      <w:pPr>
        <w:rPr>
          <w:rFonts w:ascii="楷体_GB2312" w:eastAsia="楷体_GB2312" w:hAnsi="楷体_GB2312"/>
          <w:b/>
          <w:bCs/>
          <w:sz w:val="32"/>
          <w:szCs w:val="32"/>
        </w:rPr>
      </w:pPr>
    </w:p>
    <w:p w14:paraId="7C2B233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第四十一条</w:t>
      </w:r>
      <w:r>
        <w:rPr>
          <w:rFonts w:ascii="仿宋_GB2312" w:eastAsia="仿宋_GB2312" w:hAnsi="仿宋_GB2312" w:hint="eastAsia"/>
          <w:sz w:val="32"/>
          <w:szCs w:val="32"/>
        </w:rPr>
        <w:t xml:space="preserve">  </w:t>
      </w:r>
      <w:r>
        <w:rPr>
          <w:rFonts w:ascii="仿宋_GB2312" w:eastAsia="仿宋_GB2312" w:hAnsi="仿宋_GB2312"/>
          <w:sz w:val="32"/>
          <w:szCs w:val="32"/>
        </w:rPr>
        <w:t>证券公司参与证券和资金的集中清算交收，应</w:t>
      </w:r>
      <w:r>
        <w:rPr>
          <w:rFonts w:ascii="仿宋_GB2312" w:eastAsia="仿宋_GB2312" w:hAnsi="仿宋_GB2312"/>
          <w:sz w:val="32"/>
          <w:szCs w:val="32"/>
        </w:rPr>
        <w:lastRenderedPageBreak/>
        <w:t>当向证券登记结算机构申请取得结算参与人资格，与证券登记结算机构签订结算协议，明确双方的权利义务。</w:t>
      </w:r>
    </w:p>
    <w:p w14:paraId="1DF217F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没有取得结算参与人资格的证券公司，应当与结算参与人签订委托结算协议，委托结算参与人代其进行证券和资金的集中清算交收。</w:t>
      </w:r>
    </w:p>
    <w:p w14:paraId="6B8F5B9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证券登记结算机构应当制定并公布结算协议和委托结算协议范本。</w:t>
      </w:r>
    </w:p>
    <w:p w14:paraId="75B9946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第四十二条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证券登记结算机构应当选择符合条件的商业银行作为结算银行，办理资金划付业务。</w:t>
      </w:r>
    </w:p>
    <w:p w14:paraId="6B7F50F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结算银行的条件，由证券登记结算机构制定。</w:t>
      </w:r>
    </w:p>
    <w:p w14:paraId="0E52F9D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第四十三条</w:t>
      </w:r>
      <w:r>
        <w:rPr>
          <w:rFonts w:ascii="仿宋_GB2312" w:eastAsia="仿宋_GB2312" w:hAnsi="仿宋_GB2312" w:hint="eastAsia"/>
          <w:sz w:val="32"/>
          <w:szCs w:val="32"/>
        </w:rPr>
        <w:t xml:space="preserve">  </w:t>
      </w:r>
      <w:r>
        <w:rPr>
          <w:rFonts w:ascii="仿宋_GB2312" w:eastAsia="仿宋_GB2312" w:hAnsi="仿宋_GB2312"/>
          <w:sz w:val="32"/>
          <w:szCs w:val="32"/>
        </w:rPr>
        <w:t>证券和资金结算实行分级结算原则。证券登记结算机构负责办理证券登记结算机构与结算参与人之间的集中清算交收；结算参与人负责办理结算参与人与客户之间的清算交收。</w:t>
      </w:r>
    </w:p>
    <w:p w14:paraId="20467CCD"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第四十四条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w:t>
      </w:r>
      <w:r>
        <w:rPr>
          <w:rFonts w:ascii="仿宋_GB2312" w:eastAsia="仿宋_GB2312" w:hAnsi="仿宋_GB2312"/>
          <w:sz w:val="32"/>
          <w:szCs w:val="32"/>
        </w:rPr>
        <w:t>当设立证券集中交收账户和资金集中交收账户，用以办理与结算参与人的证券和资金的集中清算交收。</w:t>
      </w:r>
    </w:p>
    <w:p w14:paraId="4B2E8EF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结算参与人应当根据证券登记结算机构的规定，申请开立证券交收账户和资金交收账户用以办理证券和资金的交收。同时经</w:t>
      </w:r>
      <w:r>
        <w:rPr>
          <w:rFonts w:ascii="仿宋_GB2312" w:eastAsia="仿宋_GB2312" w:hAnsi="仿宋_GB2312"/>
          <w:sz w:val="32"/>
          <w:szCs w:val="32"/>
        </w:rPr>
        <w:lastRenderedPageBreak/>
        <w:t>营证券自营业务和经纪业务的结算参与人，应当申请开立自营证券、资金交收账户和客户证券、资金交收账户分别用以办理自营业务的证券、资金交收和经纪业务的证券、资金交收。</w:t>
      </w:r>
    </w:p>
    <w:p w14:paraId="542EEF3F"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第四十五条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证券登记结算机构采取多边净额结算方式的，应当根据业务规则作为结算参与人的共同对手方，按照货银对付的原则，以结算参与人为结算单位办理清算交</w:t>
      </w:r>
      <w:r>
        <w:rPr>
          <w:rFonts w:ascii="仿宋_GB2312" w:eastAsia="仿宋_GB2312" w:hAnsi="仿宋_GB2312"/>
          <w:sz w:val="32"/>
          <w:szCs w:val="32"/>
        </w:rPr>
        <w:t>收。</w:t>
      </w:r>
    </w:p>
    <w:p w14:paraId="279D1E1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第四十六条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证券登记结算机构与参与多边净额结算的结算参与人签订的结算协议应当包括下列内容：</w:t>
      </w:r>
    </w:p>
    <w:p w14:paraId="51989998"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（一）对于结算参与人负责结算的证券交易合同，该合同双方结算参与人向对手方结算参与人收取证券或资金的权利，以及向对手方结算参与人支付资金或证券的义务一并转让给证券登记结算机构；</w:t>
      </w:r>
    </w:p>
    <w:p w14:paraId="6649475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（二）受让前项权利和义务后，证券登记结算机构享有原合同双方结算参与人对其对手方结算参与人的权利，并应履行原合同双方结算参与人对其对手方结算参与人的义务。</w:t>
      </w:r>
    </w:p>
    <w:p w14:paraId="2443B140"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第四十七条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证券登记结算机构进行多边净额清算时，应当将结算参与人的证券和资金轧差计算出应收应付净额，并在清算结束后将清算结果及时通知结算参与人。</w:t>
      </w:r>
    </w:p>
    <w:p w14:paraId="53F39E65"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证券登记结算机构采取其他结算方式的，应当按照相关业务</w:t>
      </w:r>
      <w:r>
        <w:rPr>
          <w:rFonts w:ascii="仿宋_GB2312" w:eastAsia="仿宋_GB2312" w:hAnsi="仿宋_GB2312"/>
          <w:sz w:val="32"/>
          <w:szCs w:val="32"/>
        </w:rPr>
        <w:lastRenderedPageBreak/>
        <w:t>规则进行清算。</w:t>
      </w:r>
    </w:p>
    <w:p w14:paraId="441060BB"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第四十八条</w:t>
      </w:r>
      <w:r>
        <w:rPr>
          <w:rFonts w:ascii="黑体" w:eastAsia="黑体" w:hAnsi="黑体" w:cs="黑体" w:hint="eastAsia"/>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集中交收前，结算参与人应当向客户收取其应付的证券和资金，并在结算参与人证券交收账户、结算参与人资金交收账户留存足额证券和资金。</w:t>
      </w:r>
    </w:p>
    <w:p w14:paraId="435BD02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结算参与人与客户之间的证券划付，应当委托证券登记结算机构代为办理。</w:t>
      </w:r>
    </w:p>
    <w:p w14:paraId="344E644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第四十九条</w:t>
      </w:r>
      <w:r>
        <w:rPr>
          <w:rFonts w:ascii="仿宋_GB2312" w:eastAsia="仿宋_GB2312" w:hAnsi="仿宋_GB2312" w:hint="eastAsia"/>
          <w:sz w:val="32"/>
          <w:szCs w:val="32"/>
        </w:rPr>
        <w:t xml:space="preserve">  </w:t>
      </w:r>
      <w:r>
        <w:rPr>
          <w:rFonts w:ascii="仿宋_GB2312" w:eastAsia="仿宋_GB2312" w:hAnsi="仿宋_GB2312"/>
          <w:sz w:val="32"/>
          <w:szCs w:val="32"/>
        </w:rPr>
        <w:t>集中交收过程中，证券登记结算机构应当在交收时点，向结算参与人收取其应付的资金和证券，同时交付其应收的证券和资金。交收完成后不可撤销。</w:t>
      </w:r>
    </w:p>
    <w:p w14:paraId="3E69E36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结算参与人未能足额履行应付证券或资金交收义务的，不能取得相应的资金或证券。</w:t>
      </w:r>
    </w:p>
    <w:p w14:paraId="7F4546D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对于同时经营自营业务以及经纪业务或资产管理业务的结算参与人，如果其客户资金交收账户资金不足的，证券登记结算机构可以动用该结算参与人自营资金交收账户内的资金完成交收。</w:t>
      </w:r>
    </w:p>
    <w:p w14:paraId="1FBCC729"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第五十条</w:t>
      </w:r>
      <w:r>
        <w:rPr>
          <w:rFonts w:ascii="仿宋_GB2312" w:eastAsia="仿宋_GB2312" w:hAnsi="仿宋_GB2312" w:hint="eastAsia"/>
          <w:sz w:val="32"/>
          <w:szCs w:val="32"/>
        </w:rPr>
        <w:t xml:space="preserve">  </w:t>
      </w:r>
      <w:r>
        <w:rPr>
          <w:rFonts w:ascii="仿宋_GB2312" w:eastAsia="仿宋_GB2312" w:hAnsi="仿宋_GB2312"/>
          <w:sz w:val="32"/>
          <w:szCs w:val="32"/>
        </w:rPr>
        <w:t>集中交收后，结算参与人应当向客户交付其应收</w:t>
      </w:r>
      <w:r>
        <w:rPr>
          <w:rFonts w:ascii="仿宋_GB2312" w:eastAsia="仿宋_GB2312" w:hAnsi="仿宋_GB2312"/>
          <w:sz w:val="32"/>
          <w:szCs w:val="32"/>
        </w:rPr>
        <w:t>的证券和资金。</w:t>
      </w:r>
    </w:p>
    <w:p w14:paraId="283123F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结算参与人与客户之间的证券划付，应当委托证券登记结算机构代为办理。</w:t>
      </w:r>
    </w:p>
    <w:p w14:paraId="003DC427"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lastRenderedPageBreak/>
        <w:t>第五十一条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证券登记结算机构应当在结算业务规则中对结算参与人与证券登记结算机构之间的证券和资金的集中交收以及结算参与人与客户之间的证券和资金的交收期限分别做出规定。</w:t>
      </w:r>
    </w:p>
    <w:p w14:paraId="5C9AC496"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结算参与人应当在规定的交收期限内完成证券和资金的交收。</w:t>
      </w:r>
    </w:p>
    <w:p w14:paraId="3874A614"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第五十二条</w:t>
      </w:r>
      <w:r>
        <w:rPr>
          <w:rFonts w:ascii="仿宋_GB2312" w:eastAsia="仿宋_GB2312" w:hAnsi="仿宋_GB2312" w:hint="eastAsia"/>
          <w:sz w:val="32"/>
          <w:szCs w:val="32"/>
        </w:rPr>
        <w:t xml:space="preserve">  </w:t>
      </w:r>
      <w:r>
        <w:rPr>
          <w:rFonts w:ascii="仿宋_GB2312" w:eastAsia="仿宋_GB2312" w:hAnsi="仿宋_GB2312"/>
          <w:sz w:val="32"/>
          <w:szCs w:val="32"/>
        </w:rPr>
        <w:t>因证券登记结算机构的原因导致清算结果有误的，结算参与人在履行交收责任后可以要求证券登记结算机构予以纠正，并承担结算参与人遭受的直接损失。</w:t>
      </w:r>
    </w:p>
    <w:p w14:paraId="6E143198" w14:textId="77777777" w:rsidR="00C76C45" w:rsidRDefault="00C76C45">
      <w:pPr>
        <w:ind w:firstLineChars="200" w:firstLine="640"/>
        <w:rPr>
          <w:rFonts w:ascii="仿宋_GB2312" w:eastAsia="仿宋_GB2312" w:hAnsi="仿宋_GB2312"/>
          <w:sz w:val="32"/>
          <w:szCs w:val="32"/>
        </w:rPr>
      </w:pPr>
    </w:p>
    <w:p w14:paraId="17BF7661"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t>风险防范和交收违约处理</w:t>
      </w:r>
    </w:p>
    <w:p w14:paraId="272D18EB" w14:textId="77777777" w:rsidR="00C76C45" w:rsidRDefault="00C76C45">
      <w:pPr>
        <w:rPr>
          <w:rFonts w:ascii="楷体_GB2312" w:eastAsia="楷体_GB2312" w:hAnsi="楷体_GB2312"/>
          <w:b/>
          <w:bCs/>
          <w:sz w:val="32"/>
          <w:szCs w:val="32"/>
        </w:rPr>
      </w:pPr>
    </w:p>
    <w:p w14:paraId="0821B343" w14:textId="77777777" w:rsidR="00C76C45" w:rsidRDefault="009A4126">
      <w:pPr>
        <w:numPr>
          <w:ilvl w:val="0"/>
          <w:numId w:val="2"/>
        </w:numPr>
        <w:jc w:val="center"/>
        <w:rPr>
          <w:rFonts w:ascii="仿宋_GB2312" w:eastAsia="仿宋_GB2312" w:hAnsi="仿宋_GB2312"/>
          <w:sz w:val="32"/>
          <w:szCs w:val="32"/>
        </w:rPr>
      </w:pPr>
      <w:r>
        <w:rPr>
          <w:rFonts w:ascii="仿宋_GB2312" w:eastAsia="仿宋_GB2312" w:hAnsi="仿宋_GB2312"/>
          <w:sz w:val="32"/>
          <w:szCs w:val="32"/>
        </w:rPr>
        <w:t>风险防范和控制措施</w:t>
      </w:r>
    </w:p>
    <w:p w14:paraId="0FE6B42F" w14:textId="77777777" w:rsidR="00C76C45" w:rsidRDefault="00C76C45">
      <w:pPr>
        <w:rPr>
          <w:rFonts w:ascii="仿宋_GB2312" w:eastAsia="仿宋_GB2312" w:hAnsi="仿宋_GB2312"/>
          <w:sz w:val="32"/>
          <w:szCs w:val="32"/>
        </w:rPr>
      </w:pPr>
    </w:p>
    <w:p w14:paraId="209B344F"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第五十三条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证券登记结算机构应当采取下列措施，加强证券登记结算业务的风险防范和控制：</w:t>
      </w:r>
    </w:p>
    <w:p w14:paraId="7D328E3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（一）制定完善的风险防范制度和内部控制制度；</w:t>
      </w:r>
    </w:p>
    <w:p w14:paraId="1787CEA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（二）建立完善的技术系统，制定由结算参与人共同遵守的技术标准和规范；</w:t>
      </w:r>
    </w:p>
    <w:p w14:paraId="5010508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（三）建立完善的结算参与人和结算银行准入标准和风险评估体系；</w:t>
      </w:r>
    </w:p>
    <w:p w14:paraId="1CEF610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（四）对结算数据和技术系统进行备份，制定业务紧急应变程序和操作流程。</w:t>
      </w:r>
    </w:p>
    <w:p w14:paraId="26694226"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第五十四条</w:t>
      </w:r>
      <w:r>
        <w:rPr>
          <w:rFonts w:ascii="仿宋_GB2312" w:eastAsia="仿宋_GB2312" w:hAnsi="仿宋_GB2312" w:hint="eastAsia"/>
          <w:b/>
          <w:bCs/>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证券登记结算机构应当与证券交易所相互配合，建立证券市场系统性风险的防范制度。</w:t>
      </w:r>
    </w:p>
    <w:p w14:paraId="2F1B7D0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证券登记结算机构应当与证券交易所签订业务合作协议，明确双方的权</w:t>
      </w:r>
      <w:r>
        <w:rPr>
          <w:rFonts w:ascii="仿宋_GB2312" w:eastAsia="仿宋_GB2312" w:hAnsi="仿宋_GB2312"/>
          <w:sz w:val="32"/>
          <w:szCs w:val="32"/>
        </w:rPr>
        <w:t>利义务。</w:t>
      </w:r>
    </w:p>
    <w:p w14:paraId="4C984B7C"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第五十五条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证券登记结算机构应当按照结算风险共担的原则，组织结算参与人建立证券结算互保金，用于在结算参与人交收违约时保障交收的连续进行。</w:t>
      </w:r>
    </w:p>
    <w:p w14:paraId="0994BB0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证券结算互保金的筹集、使用、管理和补缴办法，由证券登记结算机构在业务规则中规定。</w:t>
      </w:r>
    </w:p>
    <w:p w14:paraId="29D6B88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第五十六条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证券登记结算机构可以视结算参与人的风险状况，采取要求结算参与人提供交收担保等风险控制措施。</w:t>
      </w:r>
    </w:p>
    <w:p w14:paraId="2D710DF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结算参与人提供交收担保的具体标准，由证券登记结算机构根据结算参与人的风险程度确定和调整。</w:t>
      </w:r>
    </w:p>
    <w:p w14:paraId="6531CC8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证券登记结算机构应当将结算参与人提交的交收担保物与其自有资产隔离，严格按结算参与人分户管理，不得挪用。</w:t>
      </w:r>
    </w:p>
    <w:p w14:paraId="427FD399"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lastRenderedPageBreak/>
        <w:t>第五十七条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结算参与人可以在其资金交收账户内，存放证券结算备付金用于完成交收。</w:t>
      </w:r>
    </w:p>
    <w:p w14:paraId="3CE560C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证券登记结算机构应当将结算参与人存放的结算备付金与其自有资金隔离，严格按结算参与人分户管理，不得挪用。</w:t>
      </w:r>
    </w:p>
    <w:p w14:paraId="46BECE7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第五十八条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证券登记结算机构应当对质押式回购实行质押品保管库制度，将结算参与人提交的用于融资回购担保的质押券转移到质押品保管库。</w:t>
      </w:r>
    </w:p>
    <w:p w14:paraId="2102B39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第五十九条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证券登记结算机构收取的下列资金和证券，只能按业务规则用于已成交的证券交易的清算交收，不得被强制执行：</w:t>
      </w:r>
    </w:p>
    <w:p w14:paraId="7FAFBEC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（一）证券登记结算机构收取的证券结算风险基金、证券结算互保金，以及交收担保物、回购质押券等用于担保交收的资金和证券；</w:t>
      </w:r>
    </w:p>
    <w:p w14:paraId="1437CBB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（二）证券登记结算机构根据本办法设立的证券集中交收账户、资金集中交收账户、专用清偿账户内的证券和资金以及根据业务规则设立的其他专用交收账户内的证券和资金；</w:t>
      </w:r>
    </w:p>
    <w:p w14:paraId="3B8EEE18"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（三）结算参与人证券交收账户、结算参与人证券处置账户等结算账户内的证券以及结算参与人资金交收账户内根据成交结果确定的应付资</w:t>
      </w:r>
      <w:r>
        <w:rPr>
          <w:rFonts w:ascii="仿宋_GB2312" w:eastAsia="仿宋_GB2312" w:hAnsi="仿宋_GB2312"/>
          <w:sz w:val="32"/>
          <w:szCs w:val="32"/>
        </w:rPr>
        <w:t>金；</w:t>
      </w:r>
    </w:p>
    <w:p w14:paraId="7550D48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（四）根据成交结果确定的投资者进入交收程序的应付证券和资金；</w:t>
      </w:r>
    </w:p>
    <w:p w14:paraId="38F70A2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（五）证券登记结算机构在银行开设的结算备付金等专用存款账户、新股发行验资专户内的资金，以及发行人拟向投资者派发的债息、股息和红利等。</w:t>
      </w:r>
    </w:p>
    <w:p w14:paraId="784D476A"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证券登记结算机构可以根据组织管理证券登记结算业务的需要，按照有关规定申请授信额度，或将专用清偿账户中的证券用于申请质押贷款，以保障证券登记结算活动的持续正常进行。</w:t>
      </w:r>
    </w:p>
    <w:p w14:paraId="47B9B820" w14:textId="77777777" w:rsidR="00C76C45" w:rsidRDefault="00C76C45">
      <w:pPr>
        <w:ind w:firstLineChars="200" w:firstLine="640"/>
        <w:rPr>
          <w:rFonts w:ascii="仿宋_GB2312" w:eastAsia="仿宋_GB2312" w:hAnsi="仿宋_GB2312"/>
          <w:sz w:val="32"/>
          <w:szCs w:val="32"/>
        </w:rPr>
      </w:pPr>
    </w:p>
    <w:p w14:paraId="3AD97EF7" w14:textId="77777777" w:rsidR="00C76C45" w:rsidRDefault="009A4126">
      <w:pPr>
        <w:numPr>
          <w:ilvl w:val="0"/>
          <w:numId w:val="2"/>
        </w:numPr>
        <w:jc w:val="center"/>
        <w:rPr>
          <w:rFonts w:ascii="仿宋_GB2312" w:eastAsia="仿宋_GB2312" w:hAnsi="仿宋_GB2312"/>
          <w:sz w:val="32"/>
          <w:szCs w:val="32"/>
        </w:rPr>
      </w:pPr>
      <w:r>
        <w:rPr>
          <w:rFonts w:ascii="仿宋_GB2312" w:eastAsia="仿宋_GB2312" w:hAnsi="仿宋_GB2312"/>
          <w:sz w:val="32"/>
          <w:szCs w:val="32"/>
        </w:rPr>
        <w:t>集中交收的违约处理</w:t>
      </w:r>
    </w:p>
    <w:p w14:paraId="44E88D51" w14:textId="77777777" w:rsidR="00C76C45" w:rsidRDefault="00C76C45">
      <w:pPr>
        <w:rPr>
          <w:rFonts w:ascii="仿宋_GB2312" w:eastAsia="仿宋_GB2312" w:hAnsi="仿宋_GB2312"/>
          <w:sz w:val="32"/>
          <w:szCs w:val="32"/>
        </w:rPr>
      </w:pPr>
    </w:p>
    <w:p w14:paraId="2882301F"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第六十一条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证券登记结算机构应当设立专用清偿账户，用于在结算参与人发生违约时存放暂不交付或扣划的证券和资金。</w:t>
      </w:r>
    </w:p>
    <w:p w14:paraId="257CEAFB"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第六十二条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结算参与人发生资金交收违约时，应当按照以下程序办理：</w:t>
      </w:r>
    </w:p>
    <w:p w14:paraId="444F713B"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（一）违约结算参与人应当向证券登记结算机构发送证券交收划付指令，在该结算参与人当日全部应收证券中指定相当于已交付资金等额的证券种类、数量及对应的证券账户，由证券登记</w:t>
      </w:r>
      <w:r>
        <w:rPr>
          <w:rFonts w:ascii="仿宋_GB2312" w:eastAsia="仿宋_GB2312" w:hAnsi="仿宋_GB2312"/>
          <w:sz w:val="32"/>
          <w:szCs w:val="32"/>
        </w:rPr>
        <w:lastRenderedPageBreak/>
        <w:t>结算机构交付结算参与人；并指定相当于不足金额的证券种类和数量，由证券登记结算机构暂不交付给结算参与人。</w:t>
      </w:r>
    </w:p>
    <w:p w14:paraId="36B7BA4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（二）证券登记结算机构在规定期限内收到有效证券交收划付指令的，应当依据结算业务规则将相应证券交付结算参与人，将暂不交付的证券划入专用清偿账户，并通知该结算参与人在规定的期限内</w:t>
      </w:r>
      <w:r>
        <w:rPr>
          <w:rFonts w:ascii="仿宋_GB2312" w:eastAsia="仿宋_GB2312" w:hAnsi="仿宋_GB2312"/>
          <w:sz w:val="32"/>
          <w:szCs w:val="32"/>
        </w:rPr>
        <w:t>补足资金或提交交收担保。</w:t>
      </w:r>
    </w:p>
    <w:p w14:paraId="4172FBF5"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证券登记结算机构在规定期限内未收到有效证券交收划付指令的，属于结算参与人重大交收违约情形</w:t>
      </w:r>
      <w:r>
        <w:rPr>
          <w:rFonts w:ascii="仿宋_GB2312" w:eastAsia="仿宋_GB2312" w:hAnsi="仿宋_GB2312"/>
          <w:sz w:val="32"/>
          <w:szCs w:val="32"/>
        </w:rPr>
        <w:t>,</w:t>
      </w:r>
      <w:r>
        <w:rPr>
          <w:rFonts w:ascii="仿宋_GB2312" w:eastAsia="仿宋_GB2312" w:hAnsi="仿宋_GB2312"/>
          <w:sz w:val="32"/>
          <w:szCs w:val="32"/>
        </w:rPr>
        <w:t>证券登记结算机构应当将拟交付给结算参与人的全部证券划入专用清偿账户，暂不交付结算参与人，并通知结算参与人在规定的期限内补足资金或提交交收担保。</w:t>
      </w:r>
    </w:p>
    <w:p w14:paraId="7338B3A0"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暂不交付的证券、补充资金或交收担保不足以弥补违约金额的，证券登记结算机构可以扣划该结算参与人的自营证券，并在转入专用清偿账户后通知结算参与人。</w:t>
      </w:r>
    </w:p>
    <w:p w14:paraId="6150083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第六十三条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结算参与人发生资金交收违约的，证券登记结算机构应当按照下列顺序动用资金，完成与对手方结算参与人</w:t>
      </w:r>
      <w:r>
        <w:rPr>
          <w:rFonts w:ascii="仿宋_GB2312" w:eastAsia="仿宋_GB2312" w:hAnsi="仿宋_GB2312"/>
          <w:sz w:val="32"/>
          <w:szCs w:val="32"/>
        </w:rPr>
        <w:t>的资金交收：</w:t>
      </w:r>
    </w:p>
    <w:p w14:paraId="5658395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（一）违约结算参与人的担保物中的现金部分；</w:t>
      </w:r>
    </w:p>
    <w:p w14:paraId="119D89A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（二）证券结算互保金中违约结算参与人交纳的部分；</w:t>
      </w:r>
    </w:p>
    <w:p w14:paraId="63B61EC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（三）证券结算互保金中其他结算参与人交纳的部分；</w:t>
      </w:r>
    </w:p>
    <w:p w14:paraId="5CC7E66D"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（四）证券结算风险基金；</w:t>
      </w:r>
    </w:p>
    <w:p w14:paraId="7BDFC28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（五）其他资金。</w:t>
      </w:r>
    </w:p>
    <w:p w14:paraId="5236BA90"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第六十四条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结算参与人发生证券交收违约时，证券登记结算机构有权暂不交付相当于违约金额的应收资金。</w:t>
      </w:r>
    </w:p>
    <w:p w14:paraId="18A01A8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证券登记结算机构应当将暂不划付的资金划入专用清偿账户，并通知该结算参与人。结算参与人应当在规定的期限内补足证券，或者提供证券登记结算机构认可的担保。</w:t>
      </w:r>
    </w:p>
    <w:p w14:paraId="51267C5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第六十五条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结算参与人发生证券交收违约的，证券登记结算机构可以动用下列证券，完成与对手方结算参与人的证券交收：</w:t>
      </w:r>
    </w:p>
    <w:p w14:paraId="4C7C100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（一）违约结算参与人提交的用以冲抵的相同证券；</w:t>
      </w:r>
    </w:p>
    <w:p w14:paraId="4E7EFBB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（二）委托证券公司以专用清偿账户中的资金买入的相同证券；</w:t>
      </w:r>
    </w:p>
    <w:p w14:paraId="788C416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（三）其他来源的相同证券。</w:t>
      </w:r>
    </w:p>
    <w:p w14:paraId="37B6BC2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第六十六条</w:t>
      </w:r>
      <w:r>
        <w:rPr>
          <w:rFonts w:ascii="仿宋_GB2312" w:eastAsia="仿宋_GB2312" w:hAnsi="仿宋_GB2312" w:hint="eastAsia"/>
          <w:sz w:val="32"/>
          <w:szCs w:val="32"/>
        </w:rPr>
        <w:t xml:space="preserve">  </w:t>
      </w:r>
      <w:r>
        <w:rPr>
          <w:rFonts w:ascii="仿宋_GB2312" w:eastAsia="仿宋_GB2312" w:hAnsi="仿宋_GB2312"/>
          <w:sz w:val="32"/>
          <w:szCs w:val="32"/>
        </w:rPr>
        <w:t>违约结算参与人未在规定的期间内补足资金、证券的，证券登记结算机构可以处分违约结算参与人所提供的担保物</w:t>
      </w:r>
      <w:r>
        <w:rPr>
          <w:rFonts w:ascii="仿宋_GB2312" w:eastAsia="仿宋_GB2312" w:hAnsi="仿宋_GB2312"/>
          <w:sz w:val="32"/>
          <w:szCs w:val="32"/>
        </w:rPr>
        <w:t>、质押品保管库中的回购质押券、卖出专用清偿账户内的证券。</w:t>
      </w:r>
    </w:p>
    <w:p w14:paraId="785DF29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前款处置所得，用于补足违约结算参与人欠付的资金、证券和支付相关费用；有剩余的，应当归还该相关违约结算参与人；不足偿付的，证券登记结算机构应当向相关违约结算参与人追偿。</w:t>
      </w:r>
    </w:p>
    <w:p w14:paraId="472FBE4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在规定期限内无法追偿的证券或资金，证券登记结算机构可以依法动用证券结算互保金和证券结算风险基金予以弥补。依法动用证券结算互保金和证券结算风险基金弥补损失后，证券登记结算机构应当继续向违约结算参与人追偿。</w:t>
      </w:r>
    </w:p>
    <w:p w14:paraId="0DA391B9"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第六十七条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结算参与人发生资金交收违约或证券交收违约的，证券登记结算机构可以按照有关规定收取违约金。证券登记结算机构收取的违约金应当计入证券结算风险基金。</w:t>
      </w:r>
    </w:p>
    <w:p w14:paraId="571A1736"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第六十八条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结算参与人发生重大交收违约情形的，证券登记结算机构可以按照以下程序办理：</w:t>
      </w:r>
    </w:p>
    <w:p w14:paraId="1EF9448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（一）暂停、终止办理其部分、全部结算业务，以及中止、撤销结算参与人资格，并提请证券交易所采取停止交易措施。</w:t>
      </w:r>
    </w:p>
    <w:p w14:paraId="5BC643E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（二）提请中国证监会按照相关规定采取暂停或撤销其相关证券业务许可；对直接负责的主管人员和其他直接责任人员，单处或并处警告、罚款、撤销任职资格或证券从业资格的处罚措施。</w:t>
      </w:r>
    </w:p>
    <w:p w14:paraId="60271D53"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w:t>
      </w:r>
      <w:r>
        <w:rPr>
          <w:rFonts w:ascii="仿宋_GB2312" w:eastAsia="仿宋_GB2312" w:hAnsi="仿宋_GB2312"/>
          <w:sz w:val="32"/>
          <w:szCs w:val="32"/>
        </w:rPr>
        <w:t>登记结算机构提请证券交易所采取停止交易措施的具</w:t>
      </w:r>
      <w:r>
        <w:rPr>
          <w:rFonts w:ascii="仿宋_GB2312" w:eastAsia="仿宋_GB2312" w:hAnsi="仿宋_GB2312"/>
          <w:sz w:val="32"/>
          <w:szCs w:val="32"/>
        </w:rPr>
        <w:lastRenderedPageBreak/>
        <w:t>体办法由证券登记结算机构商证券交易所制订，报中国证监会批准。</w:t>
      </w:r>
    </w:p>
    <w:p w14:paraId="579CEC64"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第六十九条</w:t>
      </w:r>
      <w:r>
        <w:rPr>
          <w:rFonts w:ascii="仿宋_GB2312" w:eastAsia="仿宋_GB2312" w:hAnsi="仿宋_GB2312" w:hint="eastAsia"/>
          <w:sz w:val="32"/>
          <w:szCs w:val="32"/>
        </w:rPr>
        <w:t xml:space="preserve">  </w:t>
      </w:r>
      <w:r>
        <w:rPr>
          <w:rFonts w:ascii="仿宋_GB2312" w:eastAsia="仿宋_GB2312" w:hAnsi="仿宋_GB2312"/>
          <w:sz w:val="32"/>
          <w:szCs w:val="32"/>
        </w:rPr>
        <w:t>证券登记结算机构依法动用证券结算互保金和证券结算风险基金，以及对违约结算参与人采取前条规定的处置措施的，应当在证券登记结算机构年度报告中列示。</w:t>
      </w:r>
    </w:p>
    <w:p w14:paraId="3A25A01B" w14:textId="77777777" w:rsidR="00C76C45" w:rsidRDefault="00C76C45">
      <w:pPr>
        <w:ind w:firstLineChars="200" w:firstLine="640"/>
        <w:rPr>
          <w:rFonts w:ascii="仿宋_GB2312" w:eastAsia="仿宋_GB2312" w:hAnsi="仿宋_GB2312"/>
          <w:sz w:val="32"/>
          <w:szCs w:val="32"/>
        </w:rPr>
      </w:pPr>
    </w:p>
    <w:p w14:paraId="507BF53D" w14:textId="77777777" w:rsidR="00C76C45" w:rsidRDefault="009A4126">
      <w:pPr>
        <w:numPr>
          <w:ilvl w:val="0"/>
          <w:numId w:val="2"/>
        </w:numPr>
        <w:jc w:val="center"/>
        <w:rPr>
          <w:rFonts w:ascii="仿宋_GB2312" w:eastAsia="仿宋_GB2312" w:hAnsi="仿宋_GB2312"/>
          <w:sz w:val="32"/>
          <w:szCs w:val="32"/>
        </w:rPr>
      </w:pPr>
      <w:r>
        <w:rPr>
          <w:rFonts w:ascii="仿宋_GB2312" w:eastAsia="仿宋_GB2312" w:hAnsi="仿宋_GB2312"/>
          <w:sz w:val="32"/>
          <w:szCs w:val="32"/>
        </w:rPr>
        <w:t>结算参与人与客户交收的违约处理</w:t>
      </w:r>
    </w:p>
    <w:p w14:paraId="3E7BFF4D" w14:textId="77777777" w:rsidR="00C76C45" w:rsidRDefault="00C76C45">
      <w:pPr>
        <w:rPr>
          <w:rFonts w:ascii="仿宋_GB2312" w:eastAsia="仿宋_GB2312" w:hAnsi="仿宋_GB2312"/>
          <w:sz w:val="32"/>
          <w:szCs w:val="32"/>
        </w:rPr>
      </w:pPr>
    </w:p>
    <w:p w14:paraId="35FDF428"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结算参与人可以根据证券登记结算机构的规定，向证券登记结算机构申请开立证券处置账户，用以存放暂不交付给客户的证券。</w:t>
      </w:r>
    </w:p>
    <w:p w14:paraId="6A8C6B6F"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第七十一条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结算参与人可以视客户的风险状况，采取包括要求客户提供交收担保在内的风险</w:t>
      </w:r>
      <w:r>
        <w:rPr>
          <w:rFonts w:ascii="仿宋_GB2312" w:eastAsia="仿宋_GB2312" w:hAnsi="仿宋_GB2312"/>
          <w:sz w:val="32"/>
          <w:szCs w:val="32"/>
        </w:rPr>
        <w:t>控制措施。</w:t>
      </w:r>
    </w:p>
    <w:p w14:paraId="2802776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客户提供交收担保的具体标准，由结算参与人与客户在证券交易、托管与结算协议中明确。</w:t>
      </w:r>
    </w:p>
    <w:p w14:paraId="01ABDB2E"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第七十二条</w:t>
      </w:r>
      <w:r>
        <w:rPr>
          <w:rFonts w:ascii="仿宋_GB2312" w:eastAsia="仿宋_GB2312" w:hAnsi="仿宋_GB2312" w:hint="eastAsia"/>
          <w:sz w:val="32"/>
          <w:szCs w:val="32"/>
        </w:rPr>
        <w:t xml:space="preserve">  </w:t>
      </w:r>
      <w:r>
        <w:rPr>
          <w:rFonts w:ascii="仿宋_GB2312" w:eastAsia="仿宋_GB2312" w:hAnsi="仿宋_GB2312"/>
          <w:sz w:val="32"/>
          <w:szCs w:val="32"/>
        </w:rPr>
        <w:t>客户出现资金交收违约时，结算参与人可以发出指令，委托证券登记结算机构将客户净买入证券划付到其证券处置账户内，并要求客户在约定期限内补足资金。</w:t>
      </w:r>
    </w:p>
    <w:p w14:paraId="390413A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第七十三条</w:t>
      </w:r>
      <w:r>
        <w:rPr>
          <w:rFonts w:ascii="仿宋_GB2312" w:eastAsia="仿宋_GB2312" w:hAnsi="仿宋_GB2312" w:hint="eastAsia"/>
          <w:sz w:val="32"/>
          <w:szCs w:val="32"/>
        </w:rPr>
        <w:t xml:space="preserve">  </w:t>
      </w:r>
      <w:r>
        <w:rPr>
          <w:rFonts w:ascii="仿宋_GB2312" w:eastAsia="仿宋_GB2312" w:hAnsi="仿宋_GB2312"/>
          <w:sz w:val="32"/>
          <w:szCs w:val="32"/>
        </w:rPr>
        <w:t>客户出现证券交收违约时，结算参与人可以将</w:t>
      </w:r>
      <w:r>
        <w:rPr>
          <w:rFonts w:ascii="仿宋_GB2312" w:eastAsia="仿宋_GB2312" w:hAnsi="仿宋_GB2312"/>
          <w:sz w:val="32"/>
          <w:szCs w:val="32"/>
        </w:rPr>
        <w:lastRenderedPageBreak/>
        <w:t>相当于证券交收违约金额的资金暂不划付给该客户。</w:t>
      </w:r>
    </w:p>
    <w:p w14:paraId="6C71EFDD"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第七十四条</w:t>
      </w:r>
      <w:r>
        <w:rPr>
          <w:rFonts w:ascii="仿宋_GB2312" w:eastAsia="仿宋_GB2312" w:hAnsi="仿宋_GB2312" w:hint="eastAsia"/>
          <w:sz w:val="32"/>
          <w:szCs w:val="32"/>
        </w:rPr>
        <w:t xml:space="preserve">  </w:t>
      </w:r>
      <w:r>
        <w:rPr>
          <w:rFonts w:ascii="仿宋_GB2312" w:eastAsia="仿宋_GB2312" w:hAnsi="仿宋_GB2312"/>
          <w:sz w:val="32"/>
          <w:szCs w:val="32"/>
        </w:rPr>
        <w:t>违约客户未在规定的期间内补足资金、证券的，结算参与人可以将证券处置账户内的相应证券卖出，或用暂不交付的资金补购相应证券。</w:t>
      </w:r>
    </w:p>
    <w:p w14:paraId="6A0BE31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前款处置所得，用于补足违约客户欠付的资金、证券和支付相关费用；有剩余的，应当归还该客户；尚有不足的，结算参与人有权继续向客户追偿。</w:t>
      </w:r>
    </w:p>
    <w:p w14:paraId="651432FC"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第七十五条</w:t>
      </w:r>
      <w:r>
        <w:rPr>
          <w:rFonts w:ascii="仿宋_GB2312" w:eastAsia="仿宋_GB2312" w:hAnsi="仿宋_GB2312" w:hint="eastAsia"/>
          <w:sz w:val="32"/>
          <w:szCs w:val="32"/>
        </w:rPr>
        <w:t xml:space="preserve">  </w:t>
      </w:r>
      <w:r>
        <w:rPr>
          <w:rFonts w:ascii="仿宋_GB2312" w:eastAsia="仿宋_GB2312" w:hAnsi="仿宋_GB2312"/>
          <w:sz w:val="32"/>
          <w:szCs w:val="32"/>
        </w:rPr>
        <w:t>结算参与人未及时将客户应收资金支付给客户或未及时委托证券登记结算机构将客户应收证券从其证券交收账户划付到客户证券账户的，结算参与人应当对客户承担违约责任，给客户造成损失的，结算参与人应当承担对客户的赔偿责任。</w:t>
      </w:r>
    </w:p>
    <w:p w14:paraId="52F4E5E2"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第七十六条</w:t>
      </w:r>
      <w:r>
        <w:rPr>
          <w:rFonts w:ascii="仿宋_GB2312" w:eastAsia="仿宋_GB2312" w:hAnsi="仿宋_GB2312" w:hint="eastAsia"/>
          <w:sz w:val="32"/>
          <w:szCs w:val="32"/>
        </w:rPr>
        <w:t xml:space="preserve">  </w:t>
      </w:r>
      <w:r>
        <w:rPr>
          <w:rFonts w:ascii="仿宋_GB2312" w:eastAsia="仿宋_GB2312" w:hAnsi="仿宋_GB2312"/>
          <w:sz w:val="32"/>
          <w:szCs w:val="32"/>
        </w:rPr>
        <w:t>客户对结算参与人交收违约的，结算参与人不能因此拒绝履行对证券登记结算机构的交收义务，也不得影响已经完成和正在进行的证券和资金的集中交收及证券登</w:t>
      </w:r>
      <w:r>
        <w:rPr>
          <w:rFonts w:ascii="仿宋_GB2312" w:eastAsia="仿宋_GB2312" w:hAnsi="仿宋_GB2312"/>
          <w:sz w:val="32"/>
          <w:szCs w:val="32"/>
        </w:rPr>
        <w:t>记结算机构代为办理的证券划付。</w:t>
      </w:r>
    </w:p>
    <w:p w14:paraId="1823DE01"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第七十七条</w:t>
      </w:r>
      <w:r>
        <w:rPr>
          <w:rFonts w:ascii="黑体" w:eastAsia="黑体" w:hAnsi="黑体" w:cs="黑体" w:hint="eastAsia"/>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没有取得结算参与人资格的证券公司与其客户之间的结算权利义务关系，参照本办法执行。</w:t>
      </w:r>
    </w:p>
    <w:p w14:paraId="33088A1B" w14:textId="77777777" w:rsidR="00C76C45" w:rsidRDefault="00C76C45">
      <w:pPr>
        <w:ind w:firstLineChars="200" w:firstLine="640"/>
        <w:rPr>
          <w:rFonts w:ascii="仿宋_GB2312" w:eastAsia="仿宋_GB2312" w:hAnsi="仿宋_GB2312"/>
          <w:sz w:val="32"/>
          <w:szCs w:val="32"/>
        </w:rPr>
      </w:pPr>
    </w:p>
    <w:p w14:paraId="69A6FB0F" w14:textId="77777777" w:rsidR="00C76C45" w:rsidRDefault="009A4126">
      <w:pPr>
        <w:numPr>
          <w:ilvl w:val="0"/>
          <w:numId w:val="1"/>
        </w:numPr>
        <w:jc w:val="center"/>
        <w:rPr>
          <w:rFonts w:ascii="黑体" w:eastAsia="黑体" w:hAnsi="黑体" w:cs="黑体"/>
          <w:sz w:val="32"/>
          <w:szCs w:val="32"/>
        </w:rPr>
      </w:pPr>
      <w:r>
        <w:rPr>
          <w:rFonts w:ascii="黑体" w:eastAsia="黑体" w:hAnsi="黑体" w:cs="黑体" w:hint="eastAsia"/>
          <w:sz w:val="32"/>
          <w:szCs w:val="32"/>
        </w:rPr>
        <w:lastRenderedPageBreak/>
        <w:t>附</w:t>
      </w:r>
      <w:r>
        <w:rPr>
          <w:rFonts w:ascii="黑体" w:eastAsia="黑体" w:hAnsi="黑体" w:cs="黑体"/>
          <w:sz w:val="32"/>
          <w:szCs w:val="32"/>
        </w:rPr>
        <w:t xml:space="preserve">  </w:t>
      </w:r>
      <w:r>
        <w:rPr>
          <w:rFonts w:ascii="黑体" w:eastAsia="黑体" w:hAnsi="黑体" w:cs="黑体" w:hint="eastAsia"/>
          <w:sz w:val="32"/>
          <w:szCs w:val="32"/>
        </w:rPr>
        <w:t>则</w:t>
      </w:r>
    </w:p>
    <w:p w14:paraId="45FA52B4" w14:textId="77777777" w:rsidR="00C76C45" w:rsidRDefault="00C76C45">
      <w:pPr>
        <w:rPr>
          <w:rFonts w:ascii="楷体_GB2312" w:eastAsia="楷体_GB2312" w:hAnsi="楷体_GB2312"/>
          <w:b/>
          <w:bCs/>
          <w:sz w:val="32"/>
          <w:szCs w:val="32"/>
        </w:rPr>
      </w:pPr>
    </w:p>
    <w:p w14:paraId="2F439E94"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第七十八条</w:t>
      </w:r>
      <w:r>
        <w:rPr>
          <w:rFonts w:ascii="黑体" w:eastAsia="黑体" w:hAnsi="黑体" w:cs="黑体" w:hint="eastAsia"/>
          <w:sz w:val="32"/>
          <w:szCs w:val="32"/>
        </w:rPr>
        <w:t xml:space="preserve"> </w:t>
      </w:r>
      <w:r>
        <w:rPr>
          <w:rFonts w:ascii="仿宋_GB2312" w:eastAsia="仿宋_GB2312" w:hAnsi="仿宋_GB2312" w:hint="eastAsia"/>
          <w:sz w:val="32"/>
          <w:szCs w:val="32"/>
        </w:rPr>
        <w:t xml:space="preserve"> </w:t>
      </w:r>
      <w:r>
        <w:rPr>
          <w:rFonts w:ascii="仿宋_GB2312" w:eastAsia="仿宋_GB2312" w:hAnsi="仿宋_GB2312"/>
          <w:sz w:val="32"/>
          <w:szCs w:val="32"/>
        </w:rPr>
        <w:t>本办法下列用语的含义是：</w:t>
      </w:r>
    </w:p>
    <w:p w14:paraId="50276FC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登记，是指证券登记结算机构接受证券发行人的委托，通过设立和维护证券持有人名册确认证券持有人持有证券事实的行为。</w:t>
      </w:r>
    </w:p>
    <w:p w14:paraId="13F8013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托管，是指证券公司接受客户委托，代其保管证券并提供代收红利等权益维护服务的行为。</w:t>
      </w:r>
    </w:p>
    <w:p w14:paraId="2C540967"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存管，是指证券登记结算机构接受证券公司委托，集中保管证券公司的客户证券和自有证券，并提供代收红利等权益维护服务的行为。</w:t>
      </w:r>
    </w:p>
    <w:p w14:paraId="2EF98D82"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结算，是指清算和交收。</w:t>
      </w:r>
    </w:p>
    <w:p w14:paraId="36B68CF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清算，是指按照确定的规则计算证券和资金的应收应付数额的行为。</w:t>
      </w:r>
    </w:p>
    <w:p w14:paraId="1449D5C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交收，是指根据确定的清算结果，通过转移证券和资金履行相关债权债务的行为。</w:t>
      </w:r>
    </w:p>
    <w:p w14:paraId="6F9B70D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名义持有人，是指受他人指定并代表他人持有证券的机构。</w:t>
      </w:r>
    </w:p>
    <w:p w14:paraId="394596E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结算参与人，是指经证券登记结算机构核准，有资格参与集中清算交收的证券公司或其他机构。</w:t>
      </w:r>
    </w:p>
    <w:p w14:paraId="3DBA831E"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lastRenderedPageBreak/>
        <w:t>共同对手方，是指在结算过程中，同时作为所有买方和卖方的交收对手并保证交收顺利完成的主体。</w:t>
      </w:r>
    </w:p>
    <w:p w14:paraId="3744EB05"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货</w:t>
      </w:r>
      <w:r>
        <w:rPr>
          <w:rFonts w:ascii="仿宋_GB2312" w:eastAsia="仿宋_GB2312" w:hAnsi="仿宋_GB2312"/>
          <w:sz w:val="32"/>
          <w:szCs w:val="32"/>
        </w:rPr>
        <w:t>银对付，是指证券登记结算机构与结算参与人在交收过程中，当且仅当资金交付时给付证券、证券交付时给付资金。</w:t>
      </w:r>
    </w:p>
    <w:p w14:paraId="69F8DF7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多边净额结算，是指证券登记结算机构将每个结算参与人所有达成交易的应收应付证券或资金予以冲抵轧差，计算出相对每个结算参与人的应收应付证券或资金的净额，再按照应收应付证券或资金的净额与每个结算参与人进行交收。</w:t>
      </w:r>
    </w:p>
    <w:p w14:paraId="0BA24229"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证券集中交收账户，是指证券登记结算机构为办理多边交收业务开立的结算账户，用于办理结算参与人与证券登记结算机构之间的证券划付。</w:t>
      </w:r>
    </w:p>
    <w:p w14:paraId="6AD0D584"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资金集中交收账户，是指证券登记结算机构为办理多边交收业务开立的结算账户，用于</w:t>
      </w:r>
      <w:r>
        <w:rPr>
          <w:rFonts w:ascii="仿宋_GB2312" w:eastAsia="仿宋_GB2312" w:hAnsi="仿宋_GB2312"/>
          <w:sz w:val="32"/>
          <w:szCs w:val="32"/>
        </w:rPr>
        <w:t>办理结算参与人与证券登记结算机构之间的资金划付。</w:t>
      </w:r>
    </w:p>
    <w:p w14:paraId="689C12C0"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证券交收账户，是指结算参与人向证券登记结算机构申请开立的用于证券交收的结算账户。对于同时经营自营业务以及经纪业务或资产管理业务的结算参与人，其证券交收账户包括自营证券交收账户和客户证券交收账户。</w:t>
      </w:r>
    </w:p>
    <w:p w14:paraId="46883BDF"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结算参与人资金交收账户，是指结算参与人向证券登记结算</w:t>
      </w:r>
      <w:r>
        <w:rPr>
          <w:rFonts w:ascii="仿宋_GB2312" w:eastAsia="仿宋_GB2312" w:hAnsi="仿宋_GB2312"/>
          <w:sz w:val="32"/>
          <w:szCs w:val="32"/>
        </w:rPr>
        <w:lastRenderedPageBreak/>
        <w:t>机构申请开立的用于资金交收的结算账户。对于同时经营自营业务以及经纪业务或资产管理业务的结算参与人，其资金交收账户包括自营资金交收账户和客户资金交收账户。</w:t>
      </w:r>
    </w:p>
    <w:p w14:paraId="736DB7F8"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专用清偿账户，是指证券登记结算机构开立的结算账户，</w:t>
      </w:r>
      <w:r>
        <w:rPr>
          <w:rFonts w:ascii="仿宋_GB2312" w:eastAsia="仿宋_GB2312" w:hAnsi="仿宋_GB2312"/>
          <w:sz w:val="32"/>
          <w:szCs w:val="32"/>
        </w:rPr>
        <w:t>用于存放结算参与人交收违约时证券登记结算机构暂未交付、扣划的证券和资金。</w:t>
      </w:r>
    </w:p>
    <w:p w14:paraId="53379CC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证券处置账户，是指结算参与人向证券登记结算机构申请开立的结算账户，用于存放客户交收违约时证券公司暂不交付给客户的证券。</w:t>
      </w:r>
    </w:p>
    <w:p w14:paraId="1785751A"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质押品保管库，是指证券登记结算机构开立的质押品保管专用账户，用于存放结算参与人提交的用于回购的质押券等质押品。</w:t>
      </w:r>
    </w:p>
    <w:p w14:paraId="75EA29E1"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证券结算备付金，是指结算参与人在其资金交收账户内存放的用于完成资金交收的资金。</w:t>
      </w:r>
    </w:p>
    <w:p w14:paraId="335588DC" w14:textId="77777777" w:rsidR="00C76C45" w:rsidRDefault="009A4126">
      <w:pPr>
        <w:ind w:firstLineChars="200" w:firstLine="640"/>
        <w:rPr>
          <w:rFonts w:ascii="仿宋_GB2312" w:eastAsia="仿宋_GB2312" w:hAnsi="仿宋_GB2312"/>
          <w:sz w:val="32"/>
          <w:szCs w:val="32"/>
        </w:rPr>
      </w:pPr>
      <w:r>
        <w:rPr>
          <w:rFonts w:ascii="仿宋_GB2312" w:eastAsia="仿宋_GB2312" w:hAnsi="仿宋_GB2312"/>
          <w:sz w:val="32"/>
          <w:szCs w:val="32"/>
        </w:rPr>
        <w:t>证券结算互保金，是指全体结算参与人缴纳的用以在发生交收违约时弥补流动性不足以及交收违约损失的资金。</w:t>
      </w:r>
    </w:p>
    <w:p w14:paraId="73703DF4"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第七十九条</w:t>
      </w:r>
      <w:r>
        <w:rPr>
          <w:rFonts w:ascii="仿宋_GB2312" w:eastAsia="仿宋_GB2312" w:hAnsi="仿宋_GB2312" w:hint="eastAsia"/>
          <w:sz w:val="32"/>
          <w:szCs w:val="32"/>
        </w:rPr>
        <w:t xml:space="preserve">  </w:t>
      </w:r>
      <w:r>
        <w:rPr>
          <w:rFonts w:ascii="仿宋_GB2312" w:eastAsia="仿宋_GB2312" w:hAnsi="仿宋_GB2312"/>
          <w:sz w:val="32"/>
          <w:szCs w:val="32"/>
        </w:rPr>
        <w:t>证券公司以外的机构经中国证监会批准，可以接受证券登记结算机构委托为投资者开立证券账户、可以接受投资者委托托管其证券，或者申请成为结算参与人为客户办理证券</w:t>
      </w:r>
      <w:r>
        <w:rPr>
          <w:rFonts w:ascii="仿宋_GB2312" w:eastAsia="仿宋_GB2312" w:hAnsi="仿宋_GB2312"/>
          <w:sz w:val="32"/>
          <w:szCs w:val="32"/>
        </w:rPr>
        <w:lastRenderedPageBreak/>
        <w:t>和资金的清算交收，有关证券登记结算业务处理参照本办法执行。</w:t>
      </w:r>
    </w:p>
    <w:p w14:paraId="3405B845" w14:textId="77777777" w:rsidR="00C76C45" w:rsidRDefault="009A4126">
      <w:pPr>
        <w:ind w:firstLineChars="200" w:firstLine="640"/>
        <w:rPr>
          <w:rFonts w:ascii="仿宋_GB2312" w:eastAsia="仿宋_GB2312" w:hAnsi="仿宋_GB2312"/>
          <w:sz w:val="32"/>
          <w:szCs w:val="32"/>
        </w:rPr>
      </w:pPr>
      <w:r>
        <w:rPr>
          <w:rFonts w:ascii="黑体" w:eastAsia="黑体" w:hAnsi="黑体" w:cs="黑体"/>
          <w:sz w:val="32"/>
          <w:szCs w:val="32"/>
        </w:rPr>
        <w:t>第八十条</w:t>
      </w:r>
      <w:r>
        <w:rPr>
          <w:rFonts w:ascii="仿宋_GB2312" w:eastAsia="仿宋_GB2312" w:hAnsi="仿宋_GB2312" w:hint="eastAsia"/>
          <w:sz w:val="32"/>
          <w:szCs w:val="32"/>
        </w:rPr>
        <w:t xml:space="preserve">  </w:t>
      </w:r>
      <w:r>
        <w:rPr>
          <w:rFonts w:ascii="仿宋_GB2312" w:eastAsia="仿宋_GB2312" w:hAnsi="仿宋_GB2312"/>
          <w:sz w:val="32"/>
          <w:szCs w:val="32"/>
        </w:rPr>
        <w:t>本办法由中国证监会负责解释、修订。</w:t>
      </w:r>
    </w:p>
    <w:p w14:paraId="5A7B0801" w14:textId="77777777" w:rsidR="00C76C45" w:rsidRDefault="009A4126">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sz w:val="32"/>
          <w:szCs w:val="32"/>
        </w:rPr>
        <w:t>第八十一条</w:t>
      </w:r>
      <w:r>
        <w:rPr>
          <w:rFonts w:ascii="仿宋_GB2312" w:eastAsia="仿宋_GB2312" w:hAnsi="仿宋_GB2312" w:hint="eastAsia"/>
          <w:sz w:val="32"/>
          <w:szCs w:val="32"/>
        </w:rPr>
        <w:t xml:space="preserve">  </w:t>
      </w:r>
      <w:r>
        <w:rPr>
          <w:rFonts w:ascii="仿宋_GB2312" w:eastAsia="仿宋_GB2312" w:hAnsi="仿宋_GB2312"/>
          <w:sz w:val="32"/>
          <w:szCs w:val="32"/>
        </w:rPr>
        <w:t>本办法自</w:t>
      </w:r>
      <w:r>
        <w:rPr>
          <w:rFonts w:ascii="仿宋_GB2312" w:eastAsia="仿宋_GB2312" w:hAnsi="仿宋_GB2312"/>
          <w:sz w:val="32"/>
          <w:szCs w:val="32"/>
        </w:rPr>
        <w:t>2006</w:t>
      </w:r>
      <w:r>
        <w:rPr>
          <w:rFonts w:ascii="仿宋_GB2312" w:eastAsia="仿宋_GB2312" w:hAnsi="仿宋_GB2312"/>
          <w:sz w:val="32"/>
          <w:szCs w:val="32"/>
        </w:rPr>
        <w:t>年</w:t>
      </w:r>
      <w:r>
        <w:rPr>
          <w:rFonts w:ascii="仿宋_GB2312" w:eastAsia="仿宋_GB2312" w:hAnsi="仿宋_GB2312"/>
          <w:sz w:val="32"/>
          <w:szCs w:val="32"/>
        </w:rPr>
        <w:t>7</w:t>
      </w:r>
      <w:r>
        <w:rPr>
          <w:rFonts w:ascii="仿宋_GB2312" w:eastAsia="仿宋_GB2312" w:hAnsi="仿宋_GB2312"/>
          <w:sz w:val="32"/>
          <w:szCs w:val="32"/>
        </w:rPr>
        <w:t>月</w:t>
      </w:r>
      <w:r>
        <w:rPr>
          <w:rFonts w:ascii="仿宋_GB2312" w:eastAsia="仿宋_GB2312" w:hAnsi="仿宋_GB2312"/>
          <w:sz w:val="32"/>
          <w:szCs w:val="32"/>
        </w:rPr>
        <w:t>1</w:t>
      </w:r>
      <w:r>
        <w:rPr>
          <w:rFonts w:ascii="仿宋_GB2312" w:eastAsia="仿宋_GB2312" w:hAnsi="仿宋_GB2312"/>
          <w:sz w:val="32"/>
          <w:szCs w:val="32"/>
        </w:rPr>
        <w:t>日起施行。</w:t>
      </w:r>
    </w:p>
    <w:sectPr w:rsidR="00C76C45">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18BE4" w14:textId="77777777" w:rsidR="009A4126" w:rsidRDefault="009A4126">
      <w:r>
        <w:separator/>
      </w:r>
    </w:p>
  </w:endnote>
  <w:endnote w:type="continuationSeparator" w:id="0">
    <w:p w14:paraId="7A0F8422" w14:textId="77777777" w:rsidR="009A4126" w:rsidRDefault="009A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00" w:usb3="00000000" w:csb0="00040000" w:csb1="00000000"/>
  </w:font>
  <w:font w:name="楷体_GB2312">
    <w:altName w:val="楷体"/>
    <w:charset w:val="86"/>
    <w:family w:val="auto"/>
    <w:pitch w:val="default"/>
    <w:sig w:usb0="00000000" w:usb1="00000000" w:usb2="00000000" w:usb3="00000000" w:csb0="00040000" w:csb1="00000000"/>
  </w:font>
  <w:font w:name="仿宋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ED13" w14:textId="77777777" w:rsidR="00C76C45" w:rsidRDefault="009A4126">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4D3AEA8E" wp14:editId="6845236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D0E0A" w14:textId="77777777" w:rsidR="00C76C45" w:rsidRDefault="009A412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D3AEA8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AFD0E0A" w14:textId="77777777" w:rsidR="00C76C45" w:rsidRDefault="009A412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D94DF39" w14:textId="77777777" w:rsidR="00C76C45" w:rsidRDefault="009A4126">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3F6CDE45" wp14:editId="4E97D675">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FA03F5"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13446813" w14:textId="77777777" w:rsidR="00C76C45" w:rsidRDefault="00C76C45">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98362" w14:textId="77777777" w:rsidR="009A4126" w:rsidRDefault="009A4126">
      <w:r>
        <w:separator/>
      </w:r>
    </w:p>
  </w:footnote>
  <w:footnote w:type="continuationSeparator" w:id="0">
    <w:p w14:paraId="6D7D45B5" w14:textId="77777777" w:rsidR="009A4126" w:rsidRDefault="009A4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5D28" w14:textId="77777777" w:rsidR="00C76C45" w:rsidRDefault="009A4126">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6E2D2C1" wp14:editId="66BC0FA7">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705C47"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305CEC7" w14:textId="77777777" w:rsidR="00C76C45" w:rsidRDefault="009A4126">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57B155D4" wp14:editId="49368FE4">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BE6996"/>
    <w:multiLevelType w:val="singleLevel"/>
    <w:tmpl w:val="FFBE6996"/>
    <w:lvl w:ilvl="0">
      <w:start w:val="1"/>
      <w:numFmt w:val="chineseCounting"/>
      <w:suff w:val="space"/>
      <w:lvlText w:val="第%1章"/>
      <w:lvlJc w:val="left"/>
      <w:rPr>
        <w:rFonts w:hint="eastAsia"/>
      </w:rPr>
    </w:lvl>
  </w:abstractNum>
  <w:abstractNum w:abstractNumId="1" w15:restartNumberingAfterBreak="0">
    <w:nsid w:val="7FEA65F8"/>
    <w:multiLevelType w:val="singleLevel"/>
    <w:tmpl w:val="7FEA65F8"/>
    <w:lvl w:ilvl="0">
      <w:start w:val="1"/>
      <w:numFmt w:val="chineseCounting"/>
      <w:suff w:val="space"/>
      <w:lvlText w:val="第%1节"/>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FFF37762"/>
    <w:rsid w:val="00172A27"/>
    <w:rsid w:val="0022004B"/>
    <w:rsid w:val="009A4126"/>
    <w:rsid w:val="00C76C45"/>
    <w:rsid w:val="019E71BD"/>
    <w:rsid w:val="04B679C3"/>
    <w:rsid w:val="072C62D5"/>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6EBA1359"/>
    <w:rsid w:val="7A7502AE"/>
    <w:rsid w:val="7C9011D9"/>
    <w:rsid w:val="7DC651C5"/>
    <w:rsid w:val="7FCC2834"/>
    <w:rsid w:val="BF732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5E5487C"/>
  <w15:docId w15:val="{1A7CAE40-2F13-4A22-8076-FAF1E553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1674</Words>
  <Characters>9544</Characters>
  <Application>Microsoft Office Word</Application>
  <DocSecurity>0</DocSecurity>
  <Lines>79</Lines>
  <Paragraphs>22</Paragraphs>
  <ScaleCrop>false</ScaleCrop>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2021-10-27T03:30:00Z</cp:lastPrinted>
  <dcterms:created xsi:type="dcterms:W3CDTF">2021-12-16T07:08:00Z</dcterms:created>
  <dcterms:modified xsi:type="dcterms:W3CDTF">2021-12-16T07:08:00Z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