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93A953" w14:textId="77777777" w:rsidR="00E12269" w:rsidRDefault="00414B76">
      <w:pPr>
        <w:jc w:val="center"/>
        <w:rPr>
          <w:rFonts w:asciiTheme="minorEastAsia" w:hAnsiTheme="minorEastAsia" w:cstheme="minorEastAsia"/>
          <w:sz w:val="44"/>
          <w:szCs w:val="44"/>
        </w:rPr>
      </w:pPr>
      <w:r>
        <w:rPr>
          <w:noProof/>
          <w:sz w:val="44"/>
        </w:rPr>
        <mc:AlternateContent>
          <mc:Choice Requires="wps">
            <w:drawing>
              <wp:anchor distT="0" distB="0" distL="114300" distR="114300" simplePos="0" relativeHeight="251659264" behindDoc="0" locked="0" layoutInCell="1" allowOverlap="1" wp14:anchorId="6BDBDD04" wp14:editId="6CBAE4C0">
                <wp:simplePos x="0" y="0"/>
                <wp:positionH relativeFrom="column">
                  <wp:posOffset>-422275</wp:posOffset>
                </wp:positionH>
                <wp:positionV relativeFrom="paragraph">
                  <wp:posOffset>-1139825</wp:posOffset>
                </wp:positionV>
                <wp:extent cx="1161415" cy="493395"/>
                <wp:effectExtent l="0" t="0" r="635" b="1905"/>
                <wp:wrapNone/>
                <wp:docPr id="1" name="文本框 1"/>
                <wp:cNvGraphicFramePr/>
                <a:graphic xmlns:a="http://schemas.openxmlformats.org/drawingml/2006/main">
                  <a:graphicData uri="http://schemas.microsoft.com/office/word/2010/wordprocessingShape">
                    <wps:wsp>
                      <wps:cNvSpPr txBox="1"/>
                      <wps:spPr>
                        <a:xfrm>
                          <a:off x="117475" y="97155"/>
                          <a:ext cx="1161415" cy="493395"/>
                        </a:xfrm>
                        <a:prstGeom prst="rect">
                          <a:avLst/>
                        </a:prstGeom>
                        <a:solidFill>
                          <a:schemeClr val="lt1"/>
                        </a:solidFill>
                        <a:ln w="12700">
                          <a:noFill/>
                        </a:ln>
                      </wps:spPr>
                      <wps:style>
                        <a:lnRef idx="0">
                          <a:schemeClr val="accent1"/>
                        </a:lnRef>
                        <a:fillRef idx="0">
                          <a:schemeClr val="accent1"/>
                        </a:fillRef>
                        <a:effectRef idx="0">
                          <a:schemeClr val="accent1"/>
                        </a:effectRef>
                        <a:fontRef idx="minor">
                          <a:schemeClr val="dk1"/>
                        </a:fontRef>
                      </wps:style>
                      <wps:txbx>
                        <w:txbxContent>
                          <w:p w14:paraId="38BA115C" w14:textId="77777777" w:rsidR="00E12269" w:rsidRDefault="00E12269">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BDBDD04" id="_x0000_t202" coordsize="21600,21600" o:spt="202" path="m,l,21600r21600,l21600,xe">
                <v:stroke joinstyle="miter"/>
                <v:path gradientshapeok="t" o:connecttype="rect"/>
              </v:shapetype>
              <v:shape id="文本框 1" o:spid="_x0000_s1026" type="#_x0000_t202" style="position:absolute;left:0;text-align:left;margin-left:-33.25pt;margin-top:-89.75pt;width:91.45pt;height:38.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CquZAIAACcFAAAOAAAAZHJzL2Uyb0RvYy54bWysVE1v2zAMvQ/YfxB0X2ynSbMEcYosRYYB&#10;xVosG3ZWZCkRJouapMTOfn0pOV/rdumwi0yZ5CP5SGp619aa7IXzCkxJi15OiTAcKmU2Jf32dfnu&#10;PSU+MFMxDUaU9CA8vZu9fTNt7ET0YQu6Eo4giPGTxpZ0G4KdZJnnW1Ez3wMrDColuJoFvLpNVjnW&#10;IHqts36e32YNuMo64MJ7/HvfKeks4UspeHiU0otAdEkxt5BOl851PLPZlE02jtmt4sc02D9kUTNl&#10;MOgZ6p4FRnZO/QFVK+7Agww9DnUGUiouUg1YTZG/qGa1ZVakWpAcb880+f8Hyz/vV/bJkdB+gBYb&#10;GAlprJ94/BnraaWr4xczJVFfjAajISWHko5HxXDY8SfaQHjS3haDAtUc9YPxzc04GWQXGOt8+Cig&#10;JlEoqcP+JNrY/sEHDI2mJ5MY1YNW1VJpnS5xJsRCO7Jn2E0dUrLo8ZuVNqTBPPujPE/IBqJ/B60N&#10;RrhUl6Rw0CKia/NFSKIqLKNzTCN4Ccc4F+YcMllHN4ngr3E82kdXkcbzNc5njxQZTDg718qAS/W+&#10;SLv6cWJJdvYnBrq6IwWhXbfHrq+hOuAwOOj2xFu+VNioB+bDE3O4GLhCuOzhEQ+pAYmGo0TJFtyv&#10;v/2P9jivqKWkwUUrqf+5Y05Qoj8ZnORxMRjEzUyXwXDUx4u71qyvNWZXLwC7X+CzYnkSo33QJ1E6&#10;qL/jmzCPUVHFDMfYJQ0ncRG69cc3hYv5PBnhLloWHszK8ggd6TUw3wWQKk1lpKnj5kgfbmMa1uPL&#10;Edf9+p6sLu/b7BkAAP//AwBQSwMEFAAGAAgAAAAhAHPsfT/jAAAADQEAAA8AAABkcnMvZG93bnJl&#10;di54bWxMj81OwzAQhO9IvIO1SFxQ6yQqoU3jVFCJAz8CUah6deNtEhGvo9htw9uzOcFtdmc0+22+&#10;GmwrTtj7xpGCeBqBQCqdaahS8PX5OJmD8EGT0a0jVPCDHlbF5UWuM+PO9IGnTagEl5DPtII6hC6T&#10;0pc1Wu2nrkNi7+B6qwOPfSVNr89cbluZRFEqrW6IL9S6w3WN5ffmaBXM5M49dGtbvm537uX5/SZp&#10;3p4Spa6vhvsliIBD+AvDiM/oUDDT3h3JeNEqmKTpLUdZxHcLVmMkTmcg9uMqiucgi1z+/6L4BQAA&#10;//8DAFBLAQItABQABgAIAAAAIQC2gziS/gAAAOEBAAATAAAAAAAAAAAAAAAAAAAAAABbQ29udGVu&#10;dF9UeXBlc10ueG1sUEsBAi0AFAAGAAgAAAAhADj9If/WAAAAlAEAAAsAAAAAAAAAAAAAAAAALwEA&#10;AF9yZWxzLy5yZWxzUEsBAi0AFAAGAAgAAAAhAFd0Kq5kAgAAJwUAAA4AAAAAAAAAAAAAAAAALgIA&#10;AGRycy9lMm9Eb2MueG1sUEsBAi0AFAAGAAgAAAAhAHPsfT/jAAAADQEAAA8AAAAAAAAAAAAAAAAA&#10;vgQAAGRycy9kb3ducmV2LnhtbFBLBQYAAAAABAAEAPMAAADOBQAAAAA=&#10;" fillcolor="white [3201]" stroked="f" strokeweight="1pt">
                <v:textbox>
                  <w:txbxContent>
                    <w:p w14:paraId="38BA115C" w14:textId="77777777" w:rsidR="00E12269" w:rsidRDefault="00E12269">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v:textbox>
              </v:shape>
            </w:pict>
          </mc:Fallback>
        </mc:AlternateContent>
      </w:r>
    </w:p>
    <w:p w14:paraId="4BD3C326" w14:textId="77777777" w:rsidR="00E12269" w:rsidRDefault="00E12269">
      <w:pPr>
        <w:rPr>
          <w:rFonts w:asciiTheme="minorEastAsia" w:hAnsiTheme="minorEastAsia" w:cstheme="minorEastAsia"/>
          <w:sz w:val="44"/>
          <w:szCs w:val="44"/>
        </w:rPr>
      </w:pPr>
    </w:p>
    <w:p w14:paraId="15F25529" w14:textId="77777777" w:rsidR="00E12269" w:rsidRDefault="00414B76">
      <w:pPr>
        <w:jc w:val="center"/>
        <w:rPr>
          <w:rFonts w:asciiTheme="minorEastAsia" w:hAnsiTheme="minorEastAsia" w:cstheme="minorEastAsia"/>
          <w:sz w:val="44"/>
          <w:szCs w:val="44"/>
        </w:rPr>
      </w:pPr>
      <w:r>
        <w:rPr>
          <w:rFonts w:asciiTheme="minorEastAsia" w:hAnsiTheme="minorEastAsia" w:cstheme="minorEastAsia" w:hint="eastAsia"/>
          <w:sz w:val="44"/>
          <w:szCs w:val="44"/>
        </w:rPr>
        <w:t>证券期货经营机构私募资产管理业务</w:t>
      </w:r>
    </w:p>
    <w:p w14:paraId="0CB9BCE5" w14:textId="77777777" w:rsidR="00E12269" w:rsidRDefault="00414B76">
      <w:pPr>
        <w:jc w:val="center"/>
        <w:rPr>
          <w:rFonts w:ascii="宋体" w:eastAsia="宋体" w:hAnsi="宋体" w:cs="宋体"/>
          <w:sz w:val="36"/>
          <w:szCs w:val="36"/>
          <w:shd w:val="clear" w:color="auto" w:fill="FFFFFF"/>
        </w:rPr>
      </w:pPr>
      <w:r>
        <w:rPr>
          <w:rFonts w:asciiTheme="minorEastAsia" w:hAnsiTheme="minorEastAsia" w:cstheme="minorEastAsia" w:hint="eastAsia"/>
          <w:sz w:val="44"/>
          <w:szCs w:val="44"/>
        </w:rPr>
        <w:t>管理办法</w:t>
      </w:r>
    </w:p>
    <w:p w14:paraId="4C905D1B" w14:textId="77777777" w:rsidR="00E12269" w:rsidRDefault="00414B76">
      <w:pPr>
        <w:ind w:firstLineChars="200" w:firstLine="640"/>
        <w:rPr>
          <w:rFonts w:ascii="楷体_GB2312" w:eastAsia="楷体_GB2312" w:hAnsi="楷体_GB2312" w:cs="楷体_GB2312"/>
          <w:color w:val="333333"/>
          <w:sz w:val="32"/>
          <w:szCs w:val="32"/>
          <w:shd w:val="clear" w:color="auto" w:fill="FFFFFF"/>
        </w:rPr>
      </w:pPr>
      <w:r>
        <w:rPr>
          <w:rFonts w:ascii="楷体_GB2312" w:eastAsia="楷体_GB2312" w:hAnsi="楷体_GB2312" w:cs="楷体_GB2312" w:hint="eastAsia"/>
          <w:color w:val="333333"/>
          <w:sz w:val="32"/>
          <w:szCs w:val="32"/>
          <w:shd w:val="clear" w:color="auto" w:fill="FFFFFF"/>
        </w:rPr>
        <w:t>（</w:t>
      </w:r>
      <w:r>
        <w:rPr>
          <w:rFonts w:ascii="楷体_GB2312" w:eastAsia="楷体_GB2312" w:hAnsi="楷体_GB2312" w:cs="楷体_GB2312" w:hint="eastAsia"/>
          <w:color w:val="333333"/>
          <w:sz w:val="32"/>
          <w:szCs w:val="32"/>
          <w:shd w:val="clear" w:color="auto" w:fill="FFFFFF"/>
        </w:rPr>
        <w:t>2018</w:t>
      </w:r>
      <w:r>
        <w:rPr>
          <w:rFonts w:ascii="楷体_GB2312" w:eastAsia="楷体_GB2312" w:hAnsi="楷体_GB2312" w:cs="楷体_GB2312" w:hint="eastAsia"/>
          <w:color w:val="333333"/>
          <w:sz w:val="32"/>
          <w:szCs w:val="32"/>
          <w:shd w:val="clear" w:color="auto" w:fill="FFFFFF"/>
        </w:rPr>
        <w:t>年</w:t>
      </w:r>
      <w:r>
        <w:rPr>
          <w:rFonts w:ascii="楷体_GB2312" w:eastAsia="楷体_GB2312" w:hAnsi="楷体_GB2312" w:cs="楷体_GB2312" w:hint="eastAsia"/>
          <w:color w:val="333333"/>
          <w:sz w:val="32"/>
          <w:szCs w:val="32"/>
          <w:shd w:val="clear" w:color="auto" w:fill="FFFFFF"/>
        </w:rPr>
        <w:t>10</w:t>
      </w:r>
      <w:r>
        <w:rPr>
          <w:rFonts w:ascii="楷体_GB2312" w:eastAsia="楷体_GB2312" w:hAnsi="楷体_GB2312" w:cs="楷体_GB2312" w:hint="eastAsia"/>
          <w:color w:val="333333"/>
          <w:sz w:val="32"/>
          <w:szCs w:val="32"/>
          <w:shd w:val="clear" w:color="auto" w:fill="FFFFFF"/>
        </w:rPr>
        <w:t>月</w:t>
      </w:r>
      <w:r>
        <w:rPr>
          <w:rFonts w:ascii="楷体_GB2312" w:eastAsia="楷体_GB2312" w:hAnsi="楷体_GB2312" w:cs="楷体_GB2312" w:hint="eastAsia"/>
          <w:color w:val="333333"/>
          <w:sz w:val="32"/>
          <w:szCs w:val="32"/>
          <w:shd w:val="clear" w:color="auto" w:fill="FFFFFF"/>
        </w:rPr>
        <w:t>22</w:t>
      </w:r>
      <w:r>
        <w:rPr>
          <w:rFonts w:ascii="楷体_GB2312" w:eastAsia="楷体_GB2312" w:hAnsi="楷体_GB2312" w:cs="楷体_GB2312" w:hint="eastAsia"/>
          <w:color w:val="333333"/>
          <w:sz w:val="32"/>
          <w:szCs w:val="32"/>
          <w:shd w:val="clear" w:color="auto" w:fill="FFFFFF"/>
        </w:rPr>
        <w:t>日证监会令第</w:t>
      </w:r>
      <w:r>
        <w:rPr>
          <w:rFonts w:ascii="楷体_GB2312" w:eastAsia="楷体_GB2312" w:hAnsi="楷体_GB2312" w:cs="楷体_GB2312" w:hint="eastAsia"/>
          <w:color w:val="333333"/>
          <w:sz w:val="32"/>
          <w:szCs w:val="32"/>
          <w:shd w:val="clear" w:color="auto" w:fill="FFFFFF"/>
        </w:rPr>
        <w:t>151</w:t>
      </w:r>
      <w:r>
        <w:rPr>
          <w:rFonts w:ascii="楷体_GB2312" w:eastAsia="楷体_GB2312" w:hAnsi="楷体_GB2312" w:cs="楷体_GB2312" w:hint="eastAsia"/>
          <w:color w:val="333333"/>
          <w:sz w:val="32"/>
          <w:szCs w:val="32"/>
          <w:shd w:val="clear" w:color="auto" w:fill="FFFFFF"/>
        </w:rPr>
        <w:t>号公布</w:t>
      </w:r>
      <w:r>
        <w:rPr>
          <w:rFonts w:ascii="楷体_GB2312" w:eastAsia="楷体_GB2312" w:hAnsi="楷体_GB2312" w:cs="楷体_GB2312" w:hint="eastAsia"/>
          <w:color w:val="333333"/>
          <w:sz w:val="32"/>
          <w:szCs w:val="32"/>
          <w:shd w:val="clear" w:color="auto" w:fill="FFFFFF"/>
        </w:rPr>
        <w:t xml:space="preserve">  </w:t>
      </w:r>
      <w:r>
        <w:rPr>
          <w:rFonts w:ascii="楷体_GB2312" w:eastAsia="楷体_GB2312" w:hAnsi="楷体_GB2312" w:cs="楷体_GB2312" w:hint="eastAsia"/>
          <w:color w:val="333333"/>
          <w:sz w:val="32"/>
          <w:szCs w:val="32"/>
          <w:shd w:val="clear" w:color="auto" w:fill="FFFFFF"/>
        </w:rPr>
        <w:t>自</w:t>
      </w:r>
      <w:r>
        <w:rPr>
          <w:rFonts w:ascii="楷体_GB2312" w:eastAsia="楷体_GB2312" w:hAnsi="楷体_GB2312" w:cs="楷体_GB2312" w:hint="eastAsia"/>
          <w:color w:val="333333"/>
          <w:sz w:val="32"/>
          <w:szCs w:val="32"/>
          <w:shd w:val="clear" w:color="auto" w:fill="FFFFFF"/>
        </w:rPr>
        <w:t>2018</w:t>
      </w:r>
      <w:r>
        <w:rPr>
          <w:rFonts w:ascii="楷体_GB2312" w:eastAsia="楷体_GB2312" w:hAnsi="楷体_GB2312" w:cs="楷体_GB2312" w:hint="eastAsia"/>
          <w:color w:val="333333"/>
          <w:sz w:val="32"/>
          <w:szCs w:val="32"/>
          <w:shd w:val="clear" w:color="auto" w:fill="FFFFFF"/>
        </w:rPr>
        <w:t>年</w:t>
      </w:r>
      <w:r>
        <w:rPr>
          <w:rFonts w:ascii="楷体_GB2312" w:eastAsia="楷体_GB2312" w:hAnsi="楷体_GB2312" w:cs="楷体_GB2312" w:hint="eastAsia"/>
          <w:color w:val="333333"/>
          <w:sz w:val="32"/>
          <w:szCs w:val="32"/>
          <w:shd w:val="clear" w:color="auto" w:fill="FFFFFF"/>
        </w:rPr>
        <w:t>10</w:t>
      </w:r>
      <w:r>
        <w:rPr>
          <w:rFonts w:ascii="楷体_GB2312" w:eastAsia="楷体_GB2312" w:hAnsi="楷体_GB2312" w:cs="楷体_GB2312" w:hint="eastAsia"/>
          <w:color w:val="333333"/>
          <w:sz w:val="32"/>
          <w:szCs w:val="32"/>
          <w:shd w:val="clear" w:color="auto" w:fill="FFFFFF"/>
        </w:rPr>
        <w:t>月</w:t>
      </w:r>
      <w:r>
        <w:rPr>
          <w:rFonts w:ascii="楷体_GB2312" w:eastAsia="楷体_GB2312" w:hAnsi="楷体_GB2312" w:cs="楷体_GB2312" w:hint="eastAsia"/>
          <w:color w:val="333333"/>
          <w:sz w:val="32"/>
          <w:szCs w:val="32"/>
          <w:shd w:val="clear" w:color="auto" w:fill="FFFFFF"/>
        </w:rPr>
        <w:t>22</w:t>
      </w:r>
      <w:r>
        <w:rPr>
          <w:rFonts w:ascii="楷体_GB2312" w:eastAsia="楷体_GB2312" w:hAnsi="楷体_GB2312" w:cs="楷体_GB2312" w:hint="eastAsia"/>
          <w:color w:val="333333"/>
          <w:sz w:val="32"/>
          <w:szCs w:val="32"/>
          <w:shd w:val="clear" w:color="auto" w:fill="FFFFFF"/>
        </w:rPr>
        <w:t>日起施行）</w:t>
      </w:r>
    </w:p>
    <w:p w14:paraId="5950AC53" w14:textId="77777777" w:rsidR="00E12269" w:rsidRDefault="00E12269">
      <w:pPr>
        <w:rPr>
          <w:rFonts w:ascii="宋体" w:eastAsia="宋体" w:hAnsi="宋体" w:cs="宋体"/>
          <w:color w:val="333333"/>
          <w:sz w:val="36"/>
          <w:szCs w:val="36"/>
          <w:shd w:val="clear" w:color="auto" w:fill="FFFFFF"/>
        </w:rPr>
      </w:pPr>
    </w:p>
    <w:p w14:paraId="06EFCBFD" w14:textId="77777777" w:rsidR="00E12269" w:rsidRDefault="00414B76">
      <w:pPr>
        <w:pStyle w:val="a7"/>
        <w:ind w:firstLineChars="0" w:firstLine="0"/>
        <w:jc w:val="center"/>
        <w:rPr>
          <w:rFonts w:ascii="黑体" w:eastAsia="黑体" w:hAnsi="黑体" w:cs="黑体"/>
          <w:sz w:val="32"/>
          <w:szCs w:val="32"/>
        </w:rPr>
      </w:pPr>
      <w:r>
        <w:rPr>
          <w:rFonts w:ascii="黑体" w:eastAsia="黑体" w:hAnsi="黑体" w:cs="黑体" w:hint="eastAsia"/>
          <w:sz w:val="32"/>
          <w:szCs w:val="32"/>
        </w:rPr>
        <w:t>第一章</w:t>
      </w:r>
      <w:r>
        <w:rPr>
          <w:rFonts w:ascii="黑体" w:eastAsia="黑体" w:hAnsi="黑体" w:cs="黑体" w:hint="eastAsia"/>
          <w:sz w:val="32"/>
          <w:szCs w:val="32"/>
        </w:rPr>
        <w:t xml:space="preserve"> </w:t>
      </w:r>
      <w:r>
        <w:rPr>
          <w:rFonts w:ascii="黑体" w:eastAsia="黑体" w:hAnsi="黑体" w:cs="黑体" w:hint="eastAsia"/>
          <w:sz w:val="32"/>
          <w:szCs w:val="32"/>
        </w:rPr>
        <w:t>总</w:t>
      </w:r>
      <w:r>
        <w:rPr>
          <w:rFonts w:ascii="黑体" w:eastAsia="黑体" w:hAnsi="黑体" w:cs="黑体" w:hint="eastAsia"/>
          <w:sz w:val="32"/>
          <w:szCs w:val="32"/>
        </w:rPr>
        <w:t xml:space="preserve">  </w:t>
      </w:r>
      <w:r>
        <w:rPr>
          <w:rFonts w:ascii="黑体" w:eastAsia="黑体" w:hAnsi="黑体" w:cs="黑体" w:hint="eastAsia"/>
          <w:sz w:val="32"/>
          <w:szCs w:val="32"/>
        </w:rPr>
        <w:t>则</w:t>
      </w:r>
    </w:p>
    <w:p w14:paraId="3871689A" w14:textId="77777777" w:rsidR="00E12269" w:rsidRDefault="00E12269">
      <w:pPr>
        <w:rPr>
          <w:rFonts w:ascii="黑体" w:eastAsia="黑体" w:hAnsi="黑体" w:cs="黑体"/>
          <w:sz w:val="32"/>
          <w:szCs w:val="32"/>
        </w:rPr>
      </w:pPr>
    </w:p>
    <w:p w14:paraId="71C69E8E"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第一条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为规范</w:t>
      </w:r>
      <w:r>
        <w:rPr>
          <w:rFonts w:ascii="仿宋_GB2312" w:eastAsia="仿宋_GB2312" w:hAnsi="仿宋_GB2312" w:cs="仿宋_GB2312" w:hint="eastAsia"/>
          <w:sz w:val="32"/>
          <w:szCs w:val="32"/>
        </w:rPr>
        <w:t>证券期货经营机构</w:t>
      </w:r>
      <w:r>
        <w:rPr>
          <w:rFonts w:ascii="仿宋_GB2312" w:eastAsia="仿宋_GB2312" w:hAnsi="仿宋_GB2312" w:cs="仿宋_GB2312" w:hint="eastAsia"/>
          <w:sz w:val="32"/>
          <w:szCs w:val="32"/>
        </w:rPr>
        <w:t>私募资产管理业务，保护投资者及相关当事人的合法权益，维护证券</w:t>
      </w:r>
      <w:r>
        <w:rPr>
          <w:rFonts w:ascii="仿宋_GB2312" w:eastAsia="仿宋_GB2312" w:hAnsi="仿宋_GB2312" w:cs="仿宋_GB2312" w:hint="eastAsia"/>
          <w:sz w:val="32"/>
          <w:szCs w:val="32"/>
        </w:rPr>
        <w:t>期货</w:t>
      </w:r>
      <w:r>
        <w:rPr>
          <w:rFonts w:ascii="仿宋_GB2312" w:eastAsia="仿宋_GB2312" w:hAnsi="仿宋_GB2312" w:cs="仿宋_GB2312" w:hint="eastAsia"/>
          <w:sz w:val="32"/>
          <w:szCs w:val="32"/>
        </w:rPr>
        <w:t>市场秩序，根据《中华人民共和国证券法》、</w:t>
      </w:r>
      <w:r>
        <w:rPr>
          <w:rFonts w:ascii="仿宋_GB2312" w:eastAsia="仿宋_GB2312" w:hAnsi="仿宋_GB2312" w:cs="仿宋_GB2312" w:hint="eastAsia"/>
          <w:sz w:val="32"/>
          <w:szCs w:val="32"/>
        </w:rPr>
        <w:t>《中华人民共和国证券投资基金法》</w:t>
      </w:r>
      <w:r>
        <w:rPr>
          <w:rFonts w:ascii="仿宋_GB2312" w:eastAsia="仿宋_GB2312" w:hAnsi="仿宋_GB2312" w:cs="仿宋_GB2312" w:hint="eastAsia"/>
          <w:sz w:val="32"/>
          <w:szCs w:val="32"/>
        </w:rPr>
        <w:t>（以下简称《证券投资基金法》）</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《证券公司监督管理条例》、《期货交易管理条例》、《关于规范金融机构资产管理业务的指导意见》（银发〔</w:t>
      </w:r>
      <w:r>
        <w:rPr>
          <w:rFonts w:ascii="仿宋_GB2312" w:eastAsia="仿宋_GB2312" w:hAnsi="仿宋_GB2312" w:cs="仿宋_GB2312" w:hint="eastAsia"/>
          <w:sz w:val="32"/>
          <w:szCs w:val="32"/>
        </w:rPr>
        <w:t>2018</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106</w:t>
      </w:r>
      <w:r>
        <w:rPr>
          <w:rFonts w:ascii="仿宋_GB2312" w:eastAsia="仿宋_GB2312" w:hAnsi="仿宋_GB2312" w:cs="仿宋_GB2312" w:hint="eastAsia"/>
          <w:sz w:val="32"/>
          <w:szCs w:val="32"/>
        </w:rPr>
        <w:t>号，</w:t>
      </w:r>
      <w:r>
        <w:rPr>
          <w:rFonts w:ascii="仿宋_GB2312" w:eastAsia="仿宋_GB2312" w:hAnsi="仿宋_GB2312" w:cs="仿宋_GB2312" w:hint="eastAsia"/>
          <w:sz w:val="32"/>
          <w:szCs w:val="32"/>
        </w:rPr>
        <w:t>以下简称《指导意见》）</w:t>
      </w:r>
      <w:r>
        <w:rPr>
          <w:rFonts w:ascii="仿宋_GB2312" w:eastAsia="仿宋_GB2312" w:hAnsi="仿宋_GB2312" w:cs="仿宋_GB2312" w:hint="eastAsia"/>
          <w:sz w:val="32"/>
          <w:szCs w:val="32"/>
        </w:rPr>
        <w:t>及相关</w:t>
      </w:r>
      <w:r>
        <w:rPr>
          <w:rFonts w:ascii="仿宋_GB2312" w:eastAsia="仿宋_GB2312" w:hAnsi="仿宋_GB2312" w:cs="仿宋_GB2312" w:hint="eastAsia"/>
          <w:sz w:val="32"/>
          <w:szCs w:val="32"/>
        </w:rPr>
        <w:t>法律法规，制定本办法。</w:t>
      </w:r>
    </w:p>
    <w:p w14:paraId="6BBD99C8"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在中华人民共和国境内，</w:t>
      </w:r>
      <w:r>
        <w:rPr>
          <w:rFonts w:ascii="仿宋_GB2312" w:eastAsia="仿宋_GB2312" w:hAnsi="仿宋_GB2312" w:cs="仿宋_GB2312" w:hint="eastAsia"/>
          <w:sz w:val="32"/>
          <w:szCs w:val="32"/>
        </w:rPr>
        <w:t>证券期货经营机构</w:t>
      </w:r>
      <w:r>
        <w:rPr>
          <w:rFonts w:ascii="仿宋_GB2312" w:eastAsia="仿宋_GB2312" w:hAnsi="仿宋_GB2312" w:cs="仿宋_GB2312" w:hint="eastAsia"/>
          <w:sz w:val="32"/>
          <w:szCs w:val="32"/>
        </w:rPr>
        <w:t>非公开募集资金或者接受财产委托，设立</w:t>
      </w:r>
      <w:r>
        <w:rPr>
          <w:rFonts w:ascii="仿宋_GB2312" w:eastAsia="仿宋_GB2312" w:hAnsi="仿宋_GB2312" w:cs="仿宋_GB2312" w:hint="eastAsia"/>
          <w:sz w:val="32"/>
          <w:szCs w:val="32"/>
        </w:rPr>
        <w:t>私募</w:t>
      </w:r>
      <w:r>
        <w:rPr>
          <w:rFonts w:ascii="仿宋_GB2312" w:eastAsia="仿宋_GB2312" w:hAnsi="仿宋_GB2312" w:cs="仿宋_GB2312" w:hint="eastAsia"/>
          <w:sz w:val="32"/>
          <w:szCs w:val="32"/>
        </w:rPr>
        <w:t>资产管理计划</w:t>
      </w:r>
      <w:r>
        <w:rPr>
          <w:rFonts w:ascii="仿宋_GB2312" w:eastAsia="仿宋_GB2312" w:hAnsi="仿宋_GB2312" w:cs="仿宋_GB2312" w:hint="eastAsia"/>
          <w:sz w:val="32"/>
          <w:szCs w:val="32"/>
        </w:rPr>
        <w:t>（以下简称资产管理计划）</w:t>
      </w:r>
      <w:r>
        <w:rPr>
          <w:rFonts w:ascii="仿宋_GB2312" w:eastAsia="仿宋_GB2312" w:hAnsi="仿宋_GB2312" w:cs="仿宋_GB2312" w:hint="eastAsia"/>
          <w:sz w:val="32"/>
          <w:szCs w:val="32"/>
        </w:rPr>
        <w:t>并担任</w:t>
      </w:r>
      <w:r>
        <w:rPr>
          <w:rFonts w:ascii="仿宋_GB2312" w:eastAsia="仿宋_GB2312" w:hAnsi="仿宋_GB2312" w:cs="仿宋_GB2312" w:hint="eastAsia"/>
          <w:sz w:val="32"/>
          <w:szCs w:val="32"/>
        </w:rPr>
        <w:t>管理人</w:t>
      </w:r>
      <w:r>
        <w:rPr>
          <w:rFonts w:ascii="仿宋_GB2312" w:eastAsia="仿宋_GB2312" w:hAnsi="仿宋_GB2312" w:cs="仿宋_GB2312" w:hint="eastAsia"/>
          <w:sz w:val="32"/>
          <w:szCs w:val="32"/>
        </w:rPr>
        <w:t>，由托管机构担任托管人，</w:t>
      </w:r>
      <w:r>
        <w:rPr>
          <w:rFonts w:ascii="仿宋_GB2312" w:eastAsia="仿宋_GB2312" w:hAnsi="仿宋_GB2312" w:cs="仿宋_GB2312" w:hint="eastAsia"/>
          <w:sz w:val="32"/>
          <w:szCs w:val="32"/>
        </w:rPr>
        <w:t>依照法</w:t>
      </w:r>
      <w:r>
        <w:rPr>
          <w:rFonts w:ascii="仿宋_GB2312" w:eastAsia="仿宋_GB2312" w:hAnsi="仿宋_GB2312" w:cs="仿宋_GB2312" w:hint="eastAsia"/>
          <w:sz w:val="32"/>
          <w:szCs w:val="32"/>
        </w:rPr>
        <w:lastRenderedPageBreak/>
        <w:t>律法规和</w:t>
      </w:r>
      <w:r>
        <w:rPr>
          <w:rFonts w:ascii="仿宋_GB2312" w:eastAsia="仿宋_GB2312" w:hAnsi="仿宋_GB2312" w:cs="仿宋_GB2312" w:hint="eastAsia"/>
          <w:sz w:val="32"/>
          <w:szCs w:val="32"/>
        </w:rPr>
        <w:t>资产管理合同的约定，为投资者的利益进行投资活动，适用本办法。</w:t>
      </w:r>
      <w:r>
        <w:rPr>
          <w:rFonts w:ascii="仿宋_GB2312" w:eastAsia="仿宋_GB2312" w:hAnsi="仿宋_GB2312" w:cs="仿宋_GB2312" w:hint="eastAsia"/>
          <w:sz w:val="32"/>
          <w:szCs w:val="32"/>
        </w:rPr>
        <w:t xml:space="preserve"> </w:t>
      </w:r>
    </w:p>
    <w:p w14:paraId="63C17295" w14:textId="77777777" w:rsidR="00E12269" w:rsidRDefault="00414B7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本办法所称</w:t>
      </w:r>
      <w:r>
        <w:rPr>
          <w:rFonts w:ascii="仿宋_GB2312" w:eastAsia="仿宋_GB2312" w:hAnsi="仿宋_GB2312" w:cs="仿宋_GB2312" w:hint="eastAsia"/>
          <w:sz w:val="32"/>
          <w:szCs w:val="32"/>
        </w:rPr>
        <w:t>证券期货经营机构</w:t>
      </w:r>
      <w:r>
        <w:rPr>
          <w:rFonts w:ascii="仿宋_GB2312" w:eastAsia="仿宋_GB2312" w:hAnsi="仿宋_GB2312" w:cs="仿宋_GB2312" w:hint="eastAsia"/>
          <w:sz w:val="32"/>
          <w:szCs w:val="32"/>
        </w:rPr>
        <w:t>，是指</w:t>
      </w:r>
      <w:r>
        <w:rPr>
          <w:rFonts w:ascii="仿宋_GB2312" w:eastAsia="仿宋_GB2312" w:hAnsi="仿宋_GB2312" w:cs="仿宋_GB2312" w:hint="eastAsia"/>
          <w:sz w:val="32"/>
          <w:szCs w:val="32"/>
        </w:rPr>
        <w:t>证券公司、基金管理公司、期货公司及前述机构依法设立的从事私募资产管理业务的子公司。</w:t>
      </w:r>
    </w:p>
    <w:p w14:paraId="0F55B1BF" w14:textId="77777777" w:rsidR="00E12269" w:rsidRDefault="00414B7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证券期货经营机构</w:t>
      </w:r>
      <w:r>
        <w:rPr>
          <w:rFonts w:ascii="仿宋_GB2312" w:eastAsia="仿宋_GB2312" w:hAnsi="仿宋_GB2312" w:cs="仿宋_GB2312" w:hint="eastAsia"/>
          <w:sz w:val="32"/>
          <w:szCs w:val="32"/>
        </w:rPr>
        <w:t>非公开募集资金开展资产证券化业务，由</w:t>
      </w:r>
      <w:r>
        <w:rPr>
          <w:rFonts w:ascii="仿宋_GB2312" w:eastAsia="仿宋_GB2312" w:hAnsi="仿宋_GB2312" w:cs="仿宋_GB2312" w:hint="eastAsia"/>
          <w:sz w:val="32"/>
          <w:szCs w:val="32"/>
        </w:rPr>
        <w:t>中国证券监督管理委员会（以下简称</w:t>
      </w:r>
      <w:r>
        <w:rPr>
          <w:rFonts w:ascii="仿宋_GB2312" w:eastAsia="仿宋_GB2312" w:hAnsi="仿宋_GB2312" w:cs="仿宋_GB2312" w:hint="eastAsia"/>
          <w:sz w:val="32"/>
          <w:szCs w:val="32"/>
        </w:rPr>
        <w:t>中国证监会</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另行规定。</w:t>
      </w:r>
    </w:p>
    <w:p w14:paraId="6590AA47"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w:t>
      </w:r>
      <w:r>
        <w:rPr>
          <w:rFonts w:ascii="仿宋_GB2312" w:eastAsia="仿宋_GB2312" w:hAnsi="仿宋_GB2312" w:cs="仿宋_GB2312" w:hint="eastAsia"/>
          <w:sz w:val="32"/>
          <w:szCs w:val="32"/>
        </w:rPr>
        <w:t>期货</w:t>
      </w:r>
      <w:r>
        <w:rPr>
          <w:rFonts w:ascii="仿宋_GB2312" w:eastAsia="仿宋_GB2312" w:hAnsi="仿宋_GB2312" w:cs="仿宋_GB2312" w:hint="eastAsia"/>
          <w:sz w:val="32"/>
          <w:szCs w:val="32"/>
        </w:rPr>
        <w:t>经营机构从事私募资产管理业务，</w:t>
      </w:r>
      <w:r>
        <w:rPr>
          <w:rFonts w:ascii="仿宋_GB2312" w:eastAsia="仿宋_GB2312" w:hAnsi="仿宋_GB2312" w:cs="仿宋_GB2312" w:hint="eastAsia"/>
          <w:sz w:val="32"/>
          <w:szCs w:val="32"/>
        </w:rPr>
        <w:t>应当</w:t>
      </w:r>
      <w:r>
        <w:rPr>
          <w:rFonts w:ascii="仿宋_GB2312" w:eastAsia="仿宋_GB2312" w:hAnsi="仿宋_GB2312" w:cs="仿宋_GB2312" w:hint="eastAsia"/>
          <w:sz w:val="32"/>
          <w:szCs w:val="32"/>
        </w:rPr>
        <w:t>遵循</w:t>
      </w:r>
      <w:r>
        <w:rPr>
          <w:rFonts w:ascii="仿宋_GB2312" w:eastAsia="仿宋_GB2312" w:hAnsi="仿宋_GB2312" w:cs="仿宋_GB2312" w:hint="eastAsia"/>
          <w:sz w:val="32"/>
          <w:szCs w:val="32"/>
        </w:rPr>
        <w:t>自愿、</w:t>
      </w:r>
      <w:r>
        <w:rPr>
          <w:rFonts w:ascii="仿宋_GB2312" w:eastAsia="仿宋_GB2312" w:hAnsi="仿宋_GB2312" w:cs="仿宋_GB2312" w:hint="eastAsia"/>
          <w:sz w:val="32"/>
          <w:szCs w:val="32"/>
        </w:rPr>
        <w:t>公平</w:t>
      </w:r>
      <w:r>
        <w:rPr>
          <w:rFonts w:ascii="仿宋_GB2312" w:eastAsia="仿宋_GB2312" w:hAnsi="仿宋_GB2312" w:cs="仿宋_GB2312" w:hint="eastAsia"/>
          <w:sz w:val="32"/>
          <w:szCs w:val="32"/>
        </w:rPr>
        <w:t>、诚实信用和</w:t>
      </w:r>
      <w:r>
        <w:rPr>
          <w:rFonts w:ascii="仿宋_GB2312" w:eastAsia="仿宋_GB2312" w:hAnsi="仿宋_GB2312" w:cs="仿宋_GB2312" w:hint="eastAsia"/>
          <w:sz w:val="32"/>
          <w:szCs w:val="32"/>
        </w:rPr>
        <w:t>客户利益至上原则</w:t>
      </w:r>
      <w:r>
        <w:rPr>
          <w:rFonts w:ascii="仿宋_GB2312" w:eastAsia="仿宋_GB2312" w:hAnsi="仿宋_GB2312" w:cs="仿宋_GB2312" w:hint="eastAsia"/>
          <w:sz w:val="32"/>
          <w:szCs w:val="32"/>
        </w:rPr>
        <w:t>，恪尽职守</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谨慎</w:t>
      </w:r>
      <w:r>
        <w:rPr>
          <w:rFonts w:ascii="仿宋_GB2312" w:eastAsia="仿宋_GB2312" w:hAnsi="仿宋_GB2312" w:cs="仿宋_GB2312" w:hint="eastAsia"/>
          <w:sz w:val="32"/>
          <w:szCs w:val="32"/>
        </w:rPr>
        <w:t>勤勉</w:t>
      </w:r>
      <w:r>
        <w:rPr>
          <w:rFonts w:ascii="仿宋_GB2312" w:eastAsia="仿宋_GB2312" w:hAnsi="仿宋_GB2312" w:cs="仿宋_GB2312" w:hint="eastAsia"/>
          <w:sz w:val="32"/>
          <w:szCs w:val="32"/>
        </w:rPr>
        <w:t>，维护投资者合法权益，服务实体经济，不得损害国家利益、社会公共利益和他人合法权益。</w:t>
      </w:r>
    </w:p>
    <w:p w14:paraId="79E140FA" w14:textId="77777777" w:rsidR="00E12269" w:rsidRDefault="00414B76">
      <w:pPr>
        <w:rPr>
          <w:rFonts w:ascii="仿宋_GB2312" w:eastAsia="仿宋_GB2312" w:hAnsi="仿宋_GB2312" w:cs="仿宋_GB2312"/>
          <w:sz w:val="32"/>
          <w:szCs w:val="32"/>
        </w:rPr>
      </w:pP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证券期货经营机构应当</w:t>
      </w:r>
      <w:r>
        <w:rPr>
          <w:rFonts w:ascii="仿宋_GB2312" w:eastAsia="仿宋_GB2312" w:hAnsi="仿宋_GB2312" w:cs="仿宋_GB2312" w:hint="eastAsia"/>
          <w:sz w:val="32"/>
          <w:szCs w:val="32"/>
        </w:rPr>
        <w:t>遵守审慎经营规则，制定科学合理的投资策略和风险管理制度，</w:t>
      </w:r>
      <w:r>
        <w:rPr>
          <w:rFonts w:ascii="仿宋_GB2312" w:eastAsia="仿宋_GB2312" w:hAnsi="仿宋_GB2312" w:cs="仿宋_GB2312" w:hint="eastAsia"/>
          <w:sz w:val="32"/>
          <w:szCs w:val="32"/>
        </w:rPr>
        <w:t>有效防范和控制风险，确保业务开展与资本实力、管理能力及风险控制水平相适应。</w:t>
      </w:r>
    </w:p>
    <w:p w14:paraId="5186B932"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第四条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w:t>
      </w:r>
      <w:r>
        <w:rPr>
          <w:rFonts w:ascii="仿宋_GB2312" w:eastAsia="仿宋_GB2312" w:hAnsi="仿宋_GB2312" w:cs="仿宋_GB2312" w:hint="eastAsia"/>
          <w:sz w:val="32"/>
          <w:szCs w:val="32"/>
        </w:rPr>
        <w:t>期货</w:t>
      </w:r>
      <w:r>
        <w:rPr>
          <w:rFonts w:ascii="仿宋_GB2312" w:eastAsia="仿宋_GB2312" w:hAnsi="仿宋_GB2312" w:cs="仿宋_GB2312" w:hint="eastAsia"/>
          <w:sz w:val="32"/>
          <w:szCs w:val="32"/>
        </w:rPr>
        <w:t>经营机构不得</w:t>
      </w:r>
      <w:r>
        <w:rPr>
          <w:rFonts w:ascii="仿宋_GB2312" w:eastAsia="仿宋_GB2312" w:hAnsi="仿宋_GB2312" w:cs="仿宋_GB2312" w:hint="eastAsia"/>
          <w:sz w:val="32"/>
          <w:szCs w:val="32"/>
        </w:rPr>
        <w:t>在表内从事私募</w:t>
      </w:r>
      <w:r>
        <w:rPr>
          <w:rFonts w:ascii="仿宋_GB2312" w:eastAsia="仿宋_GB2312" w:hAnsi="仿宋_GB2312" w:cs="仿宋_GB2312" w:hint="eastAsia"/>
          <w:sz w:val="32"/>
          <w:szCs w:val="32"/>
        </w:rPr>
        <w:t>资产管理业务，不得</w:t>
      </w:r>
      <w:r>
        <w:rPr>
          <w:rFonts w:ascii="仿宋_GB2312" w:eastAsia="仿宋_GB2312" w:hAnsi="仿宋_GB2312" w:cs="仿宋_GB2312" w:hint="eastAsia"/>
          <w:sz w:val="32"/>
          <w:szCs w:val="32"/>
        </w:rPr>
        <w:t>以任何方式向投资者承诺本金不受损失或者承诺最低收益</w:t>
      </w:r>
      <w:r>
        <w:rPr>
          <w:rFonts w:ascii="仿宋_GB2312" w:eastAsia="仿宋_GB2312" w:hAnsi="仿宋_GB2312" w:cs="仿宋_GB2312" w:hint="eastAsia"/>
          <w:sz w:val="32"/>
          <w:szCs w:val="32"/>
        </w:rPr>
        <w:t>。</w:t>
      </w:r>
    </w:p>
    <w:p w14:paraId="387B8F1A" w14:textId="77777777" w:rsidR="00E12269" w:rsidRDefault="00414B7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投资者参与资产管理计划，应当根据自身能力审慎决策，独立承担投资风险。</w:t>
      </w:r>
    </w:p>
    <w:p w14:paraId="772DAD69"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lastRenderedPageBreak/>
        <w:t>第五条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证券</w:t>
      </w:r>
      <w:r>
        <w:rPr>
          <w:rFonts w:ascii="仿宋_GB2312" w:eastAsia="仿宋_GB2312" w:hAnsi="仿宋_GB2312" w:cs="仿宋_GB2312" w:hint="eastAsia"/>
          <w:sz w:val="32"/>
          <w:szCs w:val="32"/>
        </w:rPr>
        <w:t>期货</w:t>
      </w:r>
      <w:r>
        <w:rPr>
          <w:rFonts w:ascii="仿宋_GB2312" w:eastAsia="仿宋_GB2312" w:hAnsi="仿宋_GB2312" w:cs="仿宋_GB2312" w:hint="eastAsia"/>
          <w:sz w:val="32"/>
          <w:szCs w:val="32"/>
        </w:rPr>
        <w:t>经营机构</w:t>
      </w:r>
      <w:r>
        <w:rPr>
          <w:rFonts w:ascii="仿宋_GB2312" w:eastAsia="仿宋_GB2312" w:hAnsi="仿宋_GB2312" w:cs="仿宋_GB2312" w:hint="eastAsia"/>
          <w:sz w:val="32"/>
          <w:szCs w:val="32"/>
        </w:rPr>
        <w:t>从事私募资产管理业务，应当实行集中运营管理，</w:t>
      </w:r>
      <w:r>
        <w:rPr>
          <w:rFonts w:ascii="仿宋_GB2312" w:eastAsia="仿宋_GB2312" w:hAnsi="仿宋_GB2312" w:cs="仿宋_GB2312" w:hint="eastAsia"/>
          <w:sz w:val="32"/>
          <w:szCs w:val="32"/>
        </w:rPr>
        <w:t>建立健全</w:t>
      </w:r>
      <w:r>
        <w:rPr>
          <w:rFonts w:ascii="仿宋_GB2312" w:eastAsia="仿宋_GB2312" w:hAnsi="仿宋_GB2312" w:cs="仿宋_GB2312" w:hint="eastAsia"/>
          <w:sz w:val="32"/>
          <w:szCs w:val="32"/>
        </w:rPr>
        <w:t>内部</w:t>
      </w:r>
      <w:r>
        <w:rPr>
          <w:rFonts w:ascii="仿宋_GB2312" w:eastAsia="仿宋_GB2312" w:hAnsi="仿宋_GB2312" w:cs="仿宋_GB2312" w:hint="eastAsia"/>
          <w:sz w:val="32"/>
          <w:szCs w:val="32"/>
        </w:rPr>
        <w:t>控制和合</w:t>
      </w:r>
      <w:proofErr w:type="gramStart"/>
      <w:r>
        <w:rPr>
          <w:rFonts w:ascii="仿宋_GB2312" w:eastAsia="仿宋_GB2312" w:hAnsi="仿宋_GB2312" w:cs="仿宋_GB2312" w:hint="eastAsia"/>
          <w:sz w:val="32"/>
          <w:szCs w:val="32"/>
        </w:rPr>
        <w:t>规</w:t>
      </w:r>
      <w:proofErr w:type="gramEnd"/>
      <w:r>
        <w:rPr>
          <w:rFonts w:ascii="仿宋_GB2312" w:eastAsia="仿宋_GB2312" w:hAnsi="仿宋_GB2312" w:cs="仿宋_GB2312" w:hint="eastAsia"/>
          <w:sz w:val="32"/>
          <w:szCs w:val="32"/>
        </w:rPr>
        <w:t>管理制度</w:t>
      </w:r>
      <w:r>
        <w:rPr>
          <w:rFonts w:ascii="仿宋_GB2312" w:eastAsia="仿宋_GB2312" w:hAnsi="仿宋_GB2312" w:cs="仿宋_GB2312" w:hint="eastAsia"/>
          <w:sz w:val="32"/>
          <w:szCs w:val="32"/>
        </w:rPr>
        <w:t>，采取有效措施，将私募资产管理业务与公司其他业务分开管理，控制敏感信息的不当流动和使用，</w:t>
      </w:r>
      <w:r>
        <w:rPr>
          <w:rFonts w:ascii="仿宋_GB2312" w:eastAsia="仿宋_GB2312" w:hAnsi="仿宋_GB2312" w:cs="仿宋_GB2312" w:hint="eastAsia"/>
          <w:sz w:val="32"/>
          <w:szCs w:val="32"/>
        </w:rPr>
        <w:t>防范内幕交易、利用未公开信息交易、利益冲突和利益输送。</w:t>
      </w:r>
    </w:p>
    <w:p w14:paraId="2E629499"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第六条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资产管理计划财产的债务由资产管理计划财产本身承担，投资者以其出资为限对资产管理计划财产的债务承担责任。但资产管理合同依照《证券投资基金法》另有约定的，从其约定。</w:t>
      </w:r>
    </w:p>
    <w:p w14:paraId="16EB8A60" w14:textId="77777777" w:rsidR="00E12269" w:rsidRDefault="00414B7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资产管理计划</w:t>
      </w:r>
      <w:r>
        <w:rPr>
          <w:rFonts w:ascii="仿宋_GB2312" w:eastAsia="仿宋_GB2312" w:hAnsi="仿宋_GB2312" w:cs="仿宋_GB2312" w:hint="eastAsia"/>
          <w:sz w:val="32"/>
          <w:szCs w:val="32"/>
        </w:rPr>
        <w:t>财产独立于</w:t>
      </w:r>
      <w:r>
        <w:rPr>
          <w:rFonts w:ascii="仿宋_GB2312" w:eastAsia="仿宋_GB2312" w:hAnsi="仿宋_GB2312" w:cs="仿宋_GB2312" w:hint="eastAsia"/>
          <w:sz w:val="32"/>
          <w:szCs w:val="32"/>
        </w:rPr>
        <w:t>证券期货经营机构</w:t>
      </w:r>
      <w:r>
        <w:rPr>
          <w:rFonts w:ascii="仿宋_GB2312" w:eastAsia="仿宋_GB2312" w:hAnsi="仿宋_GB2312" w:cs="仿宋_GB2312" w:hint="eastAsia"/>
          <w:sz w:val="32"/>
          <w:szCs w:val="32"/>
        </w:rPr>
        <w:t>和托管人的固有财产，并独立于</w:t>
      </w:r>
      <w:r>
        <w:rPr>
          <w:rFonts w:ascii="仿宋_GB2312" w:eastAsia="仿宋_GB2312" w:hAnsi="仿宋_GB2312" w:cs="仿宋_GB2312" w:hint="eastAsia"/>
          <w:sz w:val="32"/>
          <w:szCs w:val="32"/>
        </w:rPr>
        <w:t>证券期货经营机构</w:t>
      </w:r>
      <w:r>
        <w:rPr>
          <w:rFonts w:ascii="仿宋_GB2312" w:eastAsia="仿宋_GB2312" w:hAnsi="仿宋_GB2312" w:cs="仿宋_GB2312" w:hint="eastAsia"/>
          <w:sz w:val="32"/>
          <w:szCs w:val="32"/>
        </w:rPr>
        <w:t>管理的和托管人托管的其他财产。</w:t>
      </w:r>
      <w:r>
        <w:rPr>
          <w:rFonts w:ascii="仿宋_GB2312" w:eastAsia="仿宋_GB2312" w:hAnsi="仿宋_GB2312" w:cs="仿宋_GB2312" w:hint="eastAsia"/>
          <w:sz w:val="32"/>
          <w:szCs w:val="32"/>
        </w:rPr>
        <w:t>证券期货经营机构</w:t>
      </w:r>
      <w:r>
        <w:rPr>
          <w:rFonts w:ascii="仿宋_GB2312" w:eastAsia="仿宋_GB2312" w:hAnsi="仿宋_GB2312" w:cs="仿宋_GB2312" w:hint="eastAsia"/>
          <w:sz w:val="32"/>
          <w:szCs w:val="32"/>
        </w:rPr>
        <w:t>、托管人不得将</w:t>
      </w:r>
      <w:r>
        <w:rPr>
          <w:rFonts w:ascii="仿宋_GB2312" w:eastAsia="仿宋_GB2312" w:hAnsi="仿宋_GB2312" w:cs="仿宋_GB2312" w:hint="eastAsia"/>
          <w:sz w:val="32"/>
          <w:szCs w:val="32"/>
        </w:rPr>
        <w:t>资产管理计划</w:t>
      </w:r>
      <w:r>
        <w:rPr>
          <w:rFonts w:ascii="仿宋_GB2312" w:eastAsia="仿宋_GB2312" w:hAnsi="仿宋_GB2312" w:cs="仿宋_GB2312" w:hint="eastAsia"/>
          <w:sz w:val="32"/>
          <w:szCs w:val="32"/>
        </w:rPr>
        <w:t>财产归入其固有财产。</w:t>
      </w:r>
    </w:p>
    <w:p w14:paraId="652841B7" w14:textId="77777777" w:rsidR="00E12269" w:rsidRDefault="00414B7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w:t>
      </w:r>
      <w:r>
        <w:rPr>
          <w:rFonts w:ascii="仿宋_GB2312" w:eastAsia="仿宋_GB2312" w:hAnsi="仿宋_GB2312" w:cs="仿宋_GB2312" w:hint="eastAsia"/>
          <w:sz w:val="32"/>
          <w:szCs w:val="32"/>
        </w:rPr>
        <w:t>期货经营机构</w:t>
      </w:r>
      <w:r>
        <w:rPr>
          <w:rFonts w:ascii="仿宋_GB2312" w:eastAsia="仿宋_GB2312" w:hAnsi="仿宋_GB2312" w:cs="仿宋_GB2312" w:hint="eastAsia"/>
          <w:sz w:val="32"/>
          <w:szCs w:val="32"/>
        </w:rPr>
        <w:t>、托管人因</w:t>
      </w:r>
      <w:r>
        <w:rPr>
          <w:rFonts w:ascii="仿宋_GB2312" w:eastAsia="仿宋_GB2312" w:hAnsi="仿宋_GB2312" w:cs="仿宋_GB2312" w:hint="eastAsia"/>
          <w:sz w:val="32"/>
          <w:szCs w:val="32"/>
        </w:rPr>
        <w:t>资产管理计划</w:t>
      </w:r>
      <w:r>
        <w:rPr>
          <w:rFonts w:ascii="仿宋_GB2312" w:eastAsia="仿宋_GB2312" w:hAnsi="仿宋_GB2312" w:cs="仿宋_GB2312" w:hint="eastAsia"/>
          <w:sz w:val="32"/>
          <w:szCs w:val="32"/>
        </w:rPr>
        <w:t>财产的管理、运用或者其他情形而取得的财产和收益，归入</w:t>
      </w:r>
      <w:r>
        <w:rPr>
          <w:rFonts w:ascii="仿宋_GB2312" w:eastAsia="仿宋_GB2312" w:hAnsi="仿宋_GB2312" w:cs="仿宋_GB2312" w:hint="eastAsia"/>
          <w:sz w:val="32"/>
          <w:szCs w:val="32"/>
        </w:rPr>
        <w:t>资产管理计划</w:t>
      </w:r>
      <w:r>
        <w:rPr>
          <w:rFonts w:ascii="仿宋_GB2312" w:eastAsia="仿宋_GB2312" w:hAnsi="仿宋_GB2312" w:cs="仿宋_GB2312" w:hint="eastAsia"/>
          <w:sz w:val="32"/>
          <w:szCs w:val="32"/>
        </w:rPr>
        <w:t>财产。</w:t>
      </w:r>
    </w:p>
    <w:p w14:paraId="546DF633" w14:textId="77777777" w:rsidR="00E12269" w:rsidRDefault="00414B7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证券期货经营机构</w:t>
      </w:r>
      <w:r>
        <w:rPr>
          <w:rFonts w:ascii="仿宋_GB2312" w:eastAsia="仿宋_GB2312" w:hAnsi="仿宋_GB2312" w:cs="仿宋_GB2312" w:hint="eastAsia"/>
          <w:sz w:val="32"/>
          <w:szCs w:val="32"/>
        </w:rPr>
        <w:t>、托管人因依法解散、被依法撤销或者被依法宣告破产等原因进行清算的，</w:t>
      </w:r>
      <w:r>
        <w:rPr>
          <w:rFonts w:ascii="仿宋_GB2312" w:eastAsia="仿宋_GB2312" w:hAnsi="仿宋_GB2312" w:cs="仿宋_GB2312" w:hint="eastAsia"/>
          <w:sz w:val="32"/>
          <w:szCs w:val="32"/>
        </w:rPr>
        <w:t>资产管理计划</w:t>
      </w:r>
      <w:r>
        <w:rPr>
          <w:rFonts w:ascii="仿宋_GB2312" w:eastAsia="仿宋_GB2312" w:hAnsi="仿宋_GB2312" w:cs="仿宋_GB2312" w:hint="eastAsia"/>
          <w:sz w:val="32"/>
          <w:szCs w:val="32"/>
        </w:rPr>
        <w:t>财产不属于其清算财产。</w:t>
      </w:r>
    </w:p>
    <w:p w14:paraId="198AF1E0" w14:textId="77777777" w:rsidR="00E12269" w:rsidRDefault="00414B7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非因资产管理计划本身的债务或者法律规定的其他情形，不</w:t>
      </w:r>
      <w:r>
        <w:rPr>
          <w:rFonts w:ascii="仿宋_GB2312" w:eastAsia="仿宋_GB2312" w:hAnsi="仿宋_GB2312" w:cs="仿宋_GB2312" w:hint="eastAsia"/>
          <w:sz w:val="32"/>
          <w:szCs w:val="32"/>
        </w:rPr>
        <w:lastRenderedPageBreak/>
        <w:t>得查封、冻结、扣划或者强制执行资产管理计划财产。</w:t>
      </w:r>
    </w:p>
    <w:p w14:paraId="026DCEB5"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第七条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中国证监会及其派出机构依据法律、行政法规和本办法的规定，对</w:t>
      </w:r>
      <w:r>
        <w:rPr>
          <w:rFonts w:ascii="仿宋_GB2312" w:eastAsia="仿宋_GB2312" w:hAnsi="仿宋_GB2312" w:cs="仿宋_GB2312" w:hint="eastAsia"/>
          <w:sz w:val="32"/>
          <w:szCs w:val="32"/>
        </w:rPr>
        <w:t>证券期货经营机构</w:t>
      </w:r>
      <w:r>
        <w:rPr>
          <w:rFonts w:ascii="仿宋_GB2312" w:eastAsia="仿宋_GB2312" w:hAnsi="仿宋_GB2312" w:cs="仿宋_GB2312" w:hint="eastAsia"/>
          <w:sz w:val="32"/>
          <w:szCs w:val="32"/>
        </w:rPr>
        <w:t>私募资产管理业务</w:t>
      </w:r>
      <w:r>
        <w:rPr>
          <w:rFonts w:ascii="仿宋_GB2312" w:eastAsia="仿宋_GB2312" w:hAnsi="仿宋_GB2312" w:cs="仿宋_GB2312" w:hint="eastAsia"/>
          <w:sz w:val="32"/>
          <w:szCs w:val="32"/>
        </w:rPr>
        <w:t>实</w:t>
      </w:r>
      <w:proofErr w:type="gramStart"/>
      <w:r>
        <w:rPr>
          <w:rFonts w:ascii="仿宋_GB2312" w:eastAsia="仿宋_GB2312" w:hAnsi="仿宋_GB2312" w:cs="仿宋_GB2312" w:hint="eastAsia"/>
          <w:sz w:val="32"/>
          <w:szCs w:val="32"/>
        </w:rPr>
        <w:t>施</w:t>
      </w:r>
      <w:r>
        <w:rPr>
          <w:rFonts w:ascii="仿宋_GB2312" w:eastAsia="仿宋_GB2312" w:hAnsi="仿宋_GB2312" w:cs="仿宋_GB2312" w:hint="eastAsia"/>
          <w:sz w:val="32"/>
          <w:szCs w:val="32"/>
        </w:rPr>
        <w:t>监督</w:t>
      </w:r>
      <w:proofErr w:type="gramEnd"/>
      <w:r>
        <w:rPr>
          <w:rFonts w:ascii="仿宋_GB2312" w:eastAsia="仿宋_GB2312" w:hAnsi="仿宋_GB2312" w:cs="仿宋_GB2312" w:hint="eastAsia"/>
          <w:sz w:val="32"/>
          <w:szCs w:val="32"/>
        </w:rPr>
        <w:t>管理。</w:t>
      </w:r>
    </w:p>
    <w:p w14:paraId="499FAF4C"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第八条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证券交易场所、期货交易所、证券登记结算机构、</w:t>
      </w:r>
      <w:r>
        <w:rPr>
          <w:rFonts w:ascii="仿宋_GB2312" w:eastAsia="仿宋_GB2312" w:hAnsi="仿宋_GB2312" w:cs="仿宋_GB2312" w:hint="eastAsia"/>
          <w:sz w:val="32"/>
          <w:szCs w:val="32"/>
        </w:rPr>
        <w:t>中国证券业协会（以下简称证券业协会）、</w:t>
      </w:r>
      <w:r>
        <w:rPr>
          <w:rFonts w:ascii="仿宋_GB2312" w:eastAsia="仿宋_GB2312" w:hAnsi="仿宋_GB2312" w:cs="仿宋_GB2312" w:hint="eastAsia"/>
          <w:sz w:val="32"/>
          <w:szCs w:val="32"/>
        </w:rPr>
        <w:t>中国期货业协会（以下简称期货业协会）、</w:t>
      </w:r>
      <w:r>
        <w:rPr>
          <w:rFonts w:ascii="仿宋_GB2312" w:eastAsia="仿宋_GB2312" w:hAnsi="仿宋_GB2312" w:cs="仿宋_GB2312" w:hint="eastAsia"/>
          <w:sz w:val="32"/>
          <w:szCs w:val="32"/>
        </w:rPr>
        <w:t>中国证券投资基金业协会（以下简称</w:t>
      </w:r>
      <w:r>
        <w:rPr>
          <w:rFonts w:ascii="仿宋_GB2312" w:eastAsia="仿宋_GB2312" w:hAnsi="仿宋_GB2312" w:cs="仿宋_GB2312" w:hint="eastAsia"/>
          <w:sz w:val="32"/>
          <w:szCs w:val="32"/>
        </w:rPr>
        <w:t>证券投资</w:t>
      </w:r>
      <w:r>
        <w:rPr>
          <w:rFonts w:ascii="仿宋_GB2312" w:eastAsia="仿宋_GB2312" w:hAnsi="仿宋_GB2312" w:cs="仿宋_GB2312" w:hint="eastAsia"/>
          <w:sz w:val="32"/>
          <w:szCs w:val="32"/>
        </w:rPr>
        <w:t>基金业协会）依照法律、行政法规和中国证监会的规定，对</w:t>
      </w:r>
      <w:r>
        <w:rPr>
          <w:rFonts w:ascii="仿宋_GB2312" w:eastAsia="仿宋_GB2312" w:hAnsi="仿宋_GB2312" w:cs="仿宋_GB2312" w:hint="eastAsia"/>
          <w:sz w:val="32"/>
          <w:szCs w:val="32"/>
        </w:rPr>
        <w:t>证券期货经营机构</w:t>
      </w:r>
      <w:r>
        <w:rPr>
          <w:rFonts w:ascii="仿宋_GB2312" w:eastAsia="仿宋_GB2312" w:hAnsi="仿宋_GB2312" w:cs="仿宋_GB2312" w:hint="eastAsia"/>
          <w:sz w:val="32"/>
          <w:szCs w:val="32"/>
        </w:rPr>
        <w:t>私募资产管理业务实施自律管理</w:t>
      </w:r>
      <w:r>
        <w:rPr>
          <w:rFonts w:ascii="仿宋_GB2312" w:eastAsia="仿宋_GB2312" w:hAnsi="仿宋_GB2312" w:cs="仿宋_GB2312" w:hint="eastAsia"/>
          <w:sz w:val="32"/>
          <w:szCs w:val="32"/>
        </w:rPr>
        <w:t>。</w:t>
      </w:r>
    </w:p>
    <w:p w14:paraId="0E14E3A3" w14:textId="77777777" w:rsidR="00E12269" w:rsidRDefault="00E12269">
      <w:pPr>
        <w:rPr>
          <w:rFonts w:ascii="仿宋_GB2312" w:eastAsia="仿宋_GB2312" w:hAnsi="仿宋_GB2312" w:cs="仿宋_GB2312"/>
          <w:sz w:val="32"/>
          <w:szCs w:val="32"/>
        </w:rPr>
      </w:pPr>
    </w:p>
    <w:p w14:paraId="526D9358" w14:textId="77777777" w:rsidR="00E12269" w:rsidRDefault="00414B76">
      <w:pPr>
        <w:widowControl/>
        <w:numPr>
          <w:ilvl w:val="0"/>
          <w:numId w:val="1"/>
        </w:numPr>
        <w:jc w:val="center"/>
        <w:rPr>
          <w:rFonts w:ascii="黑体" w:eastAsia="黑体" w:hAnsi="黑体" w:cs="黑体"/>
          <w:sz w:val="32"/>
          <w:szCs w:val="32"/>
        </w:rPr>
      </w:pPr>
      <w:r>
        <w:rPr>
          <w:rFonts w:ascii="黑体" w:eastAsia="黑体" w:hAnsi="黑体" w:cs="黑体" w:hint="eastAsia"/>
          <w:sz w:val="32"/>
          <w:szCs w:val="32"/>
        </w:rPr>
        <w:t>业务主体</w:t>
      </w:r>
    </w:p>
    <w:p w14:paraId="50BA7A79" w14:textId="77777777" w:rsidR="00E12269" w:rsidRDefault="00E12269">
      <w:pPr>
        <w:rPr>
          <w:rFonts w:ascii="仿宋_GB2312" w:eastAsia="仿宋_GB2312" w:hAnsi="仿宋_GB2312" w:cs="仿宋_GB2312"/>
          <w:sz w:val="32"/>
          <w:szCs w:val="32"/>
        </w:rPr>
      </w:pPr>
    </w:p>
    <w:p w14:paraId="1CF95631" w14:textId="77777777" w:rsidR="00E12269" w:rsidRDefault="00414B76">
      <w:pPr>
        <w:ind w:firstLineChars="200" w:firstLine="640"/>
        <w:rPr>
          <w:rFonts w:ascii="仿宋_GB2312" w:eastAsia="仿宋_GB2312" w:hAnsi="仿宋_GB2312" w:cs="仿宋_GB2312"/>
          <w:sz w:val="32"/>
          <w:szCs w:val="32"/>
          <w:shd w:val="clear" w:color="000000" w:fill="FCFCFC"/>
        </w:rPr>
      </w:pPr>
      <w:r>
        <w:rPr>
          <w:rFonts w:ascii="黑体" w:eastAsia="黑体" w:hAnsi="黑体" w:cs="黑体" w:hint="eastAsia"/>
          <w:sz w:val="32"/>
          <w:szCs w:val="32"/>
        </w:rPr>
        <w:t>第九条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证券期货经营机构从事私募资产管理业务，应当依法经中国证监会批准。法律、行政法规和中国证监会另有规定的除外。</w:t>
      </w:r>
    </w:p>
    <w:p w14:paraId="246C4E4C" w14:textId="77777777" w:rsidR="00E12269" w:rsidRDefault="00414B76">
      <w:pPr>
        <w:ind w:firstLineChars="200" w:firstLine="640"/>
        <w:rPr>
          <w:rFonts w:ascii="仿宋_GB2312" w:eastAsia="仿宋_GB2312" w:hAnsi="仿宋_GB2312" w:cs="仿宋_GB2312"/>
          <w:sz w:val="32"/>
          <w:szCs w:val="32"/>
          <w:shd w:val="clear" w:color="000000" w:fill="FCFCFC"/>
        </w:rPr>
      </w:pPr>
      <w:r>
        <w:rPr>
          <w:rFonts w:ascii="黑体" w:eastAsia="黑体" w:hAnsi="黑体" w:cs="黑体" w:hint="eastAsia"/>
          <w:sz w:val="32"/>
          <w:szCs w:val="32"/>
        </w:rPr>
        <w:t>第十条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证券期货经营机构从事私募资产管理业务，应当符合以下条件：</w:t>
      </w:r>
    </w:p>
    <w:p w14:paraId="6A0491CC" w14:textId="77777777" w:rsidR="00E12269" w:rsidRDefault="00414B76">
      <w:pPr>
        <w:widowControl/>
        <w:autoSpaceDE w:val="0"/>
        <w:autoSpaceDN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（一）净资产、净资本等财务和风险控制指标符合法律、行政法规和中国证监会的规定；</w:t>
      </w:r>
    </w:p>
    <w:p w14:paraId="4C5A374B" w14:textId="77777777" w:rsidR="00E12269" w:rsidRDefault="00414B76">
      <w:pPr>
        <w:widowControl/>
        <w:autoSpaceDE w:val="0"/>
        <w:autoSpaceDN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（二）法人治理结构良好，内部控制、合</w:t>
      </w:r>
      <w:proofErr w:type="gramStart"/>
      <w:r>
        <w:rPr>
          <w:rFonts w:ascii="仿宋_GB2312" w:eastAsia="仿宋_GB2312" w:hAnsi="仿宋_GB2312" w:cs="仿宋_GB2312" w:hint="eastAsia"/>
          <w:sz w:val="32"/>
          <w:szCs w:val="32"/>
        </w:rPr>
        <w:t>规</w:t>
      </w:r>
      <w:proofErr w:type="gramEnd"/>
      <w:r>
        <w:rPr>
          <w:rFonts w:ascii="仿宋_GB2312" w:eastAsia="仿宋_GB2312" w:hAnsi="仿宋_GB2312" w:cs="仿宋_GB2312" w:hint="eastAsia"/>
          <w:sz w:val="32"/>
          <w:szCs w:val="32"/>
        </w:rPr>
        <w:t>管理、风险管理制度完备；</w:t>
      </w:r>
    </w:p>
    <w:p w14:paraId="3C081F93" w14:textId="77777777" w:rsidR="00E12269" w:rsidRDefault="00414B76">
      <w:pPr>
        <w:widowControl/>
        <w:autoSpaceDE w:val="0"/>
        <w:autoSpaceDN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（三）具备符合条件的高级管理人员和三名以上投资经理；</w:t>
      </w:r>
    </w:p>
    <w:p w14:paraId="1EB01063" w14:textId="77777777" w:rsidR="00E12269" w:rsidRDefault="00414B76">
      <w:pPr>
        <w:widowControl/>
        <w:autoSpaceDE w:val="0"/>
        <w:autoSpaceDN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（四）具有投资研究部门，且专职从事投资研究的人员不少于三人；</w:t>
      </w:r>
    </w:p>
    <w:p w14:paraId="63717277" w14:textId="77777777" w:rsidR="00E12269" w:rsidRDefault="00414B76">
      <w:pPr>
        <w:widowControl/>
        <w:autoSpaceDE w:val="0"/>
        <w:autoSpaceDN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（五）具有符合要求的营业场所、安全防范设施、信息技术系统；</w:t>
      </w:r>
    </w:p>
    <w:p w14:paraId="12412A88" w14:textId="77777777" w:rsidR="00E12269" w:rsidRDefault="00414B76">
      <w:pPr>
        <w:widowControl/>
        <w:autoSpaceDE w:val="0"/>
        <w:autoSpaceDN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（六）最近两年未因重大违法违规行为被行政处罚或者刑事处罚，最近一年未因重大违法违规行为被监管机构采取行政监管措施，无因涉嫌重大违法</w:t>
      </w:r>
      <w:proofErr w:type="gramStart"/>
      <w:r>
        <w:rPr>
          <w:rFonts w:ascii="仿宋_GB2312" w:eastAsia="仿宋_GB2312" w:hAnsi="仿宋_GB2312" w:cs="仿宋_GB2312" w:hint="eastAsia"/>
          <w:sz w:val="32"/>
          <w:szCs w:val="32"/>
        </w:rPr>
        <w:t>违规正</w:t>
      </w:r>
      <w:proofErr w:type="gramEnd"/>
      <w:r>
        <w:rPr>
          <w:rFonts w:ascii="仿宋_GB2312" w:eastAsia="仿宋_GB2312" w:hAnsi="仿宋_GB2312" w:cs="仿宋_GB2312" w:hint="eastAsia"/>
          <w:sz w:val="32"/>
          <w:szCs w:val="32"/>
        </w:rPr>
        <w:t>受到监管机构或有权机关立案调查的情形；</w:t>
      </w:r>
    </w:p>
    <w:p w14:paraId="69095B13" w14:textId="77777777" w:rsidR="00E12269" w:rsidRDefault="00414B76">
      <w:pPr>
        <w:widowControl/>
        <w:autoSpaceDE w:val="0"/>
        <w:autoSpaceDN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（七）中国证监会根据审慎监管原则规定的其他条件。</w:t>
      </w:r>
    </w:p>
    <w:p w14:paraId="26F7E688" w14:textId="77777777" w:rsidR="00E12269" w:rsidRDefault="00414B76">
      <w:pPr>
        <w:widowControl/>
        <w:autoSpaceDE w:val="0"/>
        <w:autoSpaceDN w:val="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证券公司、基金管理公司、期货公司设立子公司从事私募资产管理业务，并由其投资研究部门为子公司提供投资研究服务的，视为符合前款第（四）项规定的条件。</w:t>
      </w:r>
    </w:p>
    <w:p w14:paraId="0F53C833"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第十一条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证券期货经营机构从事私募资产管理业务，应当履行以下管理人职责：</w:t>
      </w:r>
    </w:p>
    <w:p w14:paraId="1C34095F" w14:textId="77777777" w:rsidR="00E12269" w:rsidRDefault="00414B76">
      <w:pPr>
        <w:widowControl/>
        <w:autoSpaceDE w:val="0"/>
        <w:autoSpaceDN w:val="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（一）依法办理资产管理计划的销售、登记、备案事宜；</w:t>
      </w:r>
    </w:p>
    <w:p w14:paraId="135847DF" w14:textId="77777777" w:rsidR="00E12269" w:rsidRDefault="00414B76">
      <w:pPr>
        <w:widowControl/>
        <w:autoSpaceDE w:val="0"/>
        <w:autoSpaceDN w:val="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 xml:space="preserve">    </w:t>
      </w:r>
      <w:r>
        <w:rPr>
          <w:rFonts w:ascii="仿宋_GB2312" w:eastAsia="仿宋_GB2312" w:hAnsi="仿宋_GB2312" w:cs="仿宋_GB2312" w:hint="eastAsia"/>
          <w:sz w:val="32"/>
          <w:szCs w:val="32"/>
        </w:rPr>
        <w:t>（二）对所管理的不同资产管理计划的受托财产分别管理、分别记账，进行投资；</w:t>
      </w:r>
    </w:p>
    <w:p w14:paraId="3CC9FEFE" w14:textId="77777777" w:rsidR="00E12269" w:rsidRDefault="00414B76">
      <w:pPr>
        <w:widowControl/>
        <w:autoSpaceDE w:val="0"/>
        <w:autoSpaceDN w:val="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（三）按照资产管理合同的约定确定收益分配方案，及时向投资者分配收益；</w:t>
      </w:r>
    </w:p>
    <w:p w14:paraId="2C482CF8" w14:textId="77777777" w:rsidR="00E12269" w:rsidRDefault="00414B76">
      <w:pPr>
        <w:widowControl/>
        <w:autoSpaceDE w:val="0"/>
        <w:autoSpaceDN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（四）进行资产管理计划会计核算并编制资产管理计划财务会计报告；</w:t>
      </w:r>
    </w:p>
    <w:p w14:paraId="67F1DFA3" w14:textId="77777777" w:rsidR="00E12269" w:rsidRDefault="00414B76">
      <w:pPr>
        <w:widowControl/>
        <w:autoSpaceDE w:val="0"/>
        <w:autoSpaceDN w:val="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（五）依法计算并披露资产管理计划净值，确定参与、退出价格；</w:t>
      </w:r>
    </w:p>
    <w:p w14:paraId="451D5D3C" w14:textId="77777777" w:rsidR="00E12269" w:rsidRDefault="00414B76">
      <w:pPr>
        <w:widowControl/>
        <w:autoSpaceDE w:val="0"/>
        <w:autoSpaceDN w:val="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（六）办理与受托财产管理业务活动有关的信息披露事项；</w:t>
      </w:r>
    </w:p>
    <w:p w14:paraId="128EABA7" w14:textId="77777777" w:rsidR="00E12269" w:rsidRDefault="00414B76">
      <w:pPr>
        <w:widowControl/>
        <w:autoSpaceDE w:val="0"/>
        <w:autoSpaceDN w:val="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（七）保存受托财产管理业务活动的记录、账册、报表和其他相关资料；</w:t>
      </w:r>
    </w:p>
    <w:p w14:paraId="065BEBE1" w14:textId="77777777" w:rsidR="00E12269" w:rsidRDefault="00414B76">
      <w:pPr>
        <w:widowControl/>
        <w:numPr>
          <w:ilvl w:val="0"/>
          <w:numId w:val="2"/>
        </w:numPr>
        <w:autoSpaceDE w:val="0"/>
        <w:autoSpaceDN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以管理人名义，代表投资者利益行使诉讼权利或者实施其他法律行为；</w:t>
      </w:r>
    </w:p>
    <w:p w14:paraId="0F74D1C9" w14:textId="77777777" w:rsidR="00E12269" w:rsidRDefault="00414B76">
      <w:pPr>
        <w:widowControl/>
        <w:autoSpaceDE w:val="0"/>
        <w:autoSpaceDN w:val="0"/>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（九）法律、行政法规和中国证监会规定的其他职责。</w:t>
      </w:r>
      <w:r>
        <w:rPr>
          <w:rFonts w:ascii="仿宋_GB2312" w:eastAsia="仿宋_GB2312" w:hAnsi="仿宋_GB2312" w:cs="仿宋_GB2312" w:hint="eastAsia"/>
          <w:sz w:val="32"/>
          <w:szCs w:val="32"/>
        </w:rPr>
        <w:t xml:space="preserve">  </w:t>
      </w:r>
    </w:p>
    <w:p w14:paraId="0FA0C498"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第十二条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投资经理应当依法取得从业资格，具有三年以上投资管理、投资研究、投资咨询等相关业务经验，具备良好的诚信记录和职业操守，且最近三年未被监管机构采取重大行政监管措施、行政处罚。</w:t>
      </w:r>
    </w:p>
    <w:p w14:paraId="25A2B404" w14:textId="77777777" w:rsidR="00E12269" w:rsidRDefault="00414B76">
      <w:pPr>
        <w:ind w:firstLineChars="200" w:firstLine="640"/>
        <w:rPr>
          <w:rFonts w:ascii="仿宋_GB2312" w:eastAsia="仿宋_GB2312" w:hAnsi="仿宋_GB2312" w:cs="仿宋_GB2312"/>
          <w:sz w:val="32"/>
          <w:szCs w:val="32"/>
          <w:shd w:val="clear" w:color="000000" w:fill="FCFCFC"/>
        </w:rPr>
      </w:pPr>
      <w:r>
        <w:rPr>
          <w:rFonts w:ascii="黑体" w:eastAsia="黑体" w:hAnsi="黑体" w:cs="黑体" w:hint="eastAsia"/>
          <w:sz w:val="32"/>
          <w:szCs w:val="32"/>
        </w:rPr>
        <w:t>第十三条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证券期货经营机构应当将受托财产交由依法取</w:t>
      </w:r>
      <w:r>
        <w:rPr>
          <w:rFonts w:ascii="仿宋_GB2312" w:eastAsia="仿宋_GB2312" w:hAnsi="仿宋_GB2312" w:cs="仿宋_GB2312" w:hint="eastAsia"/>
          <w:sz w:val="32"/>
          <w:szCs w:val="32"/>
        </w:rPr>
        <w:lastRenderedPageBreak/>
        <w:t>得基金托管资格的托管机构实施独立托管。法律、行政法规和中国证监会另有规定的除外。</w:t>
      </w:r>
    </w:p>
    <w:p w14:paraId="6DE0CB27" w14:textId="77777777" w:rsidR="00E12269" w:rsidRDefault="00414B7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托管人应当履行下列职责：</w:t>
      </w:r>
    </w:p>
    <w:p w14:paraId="63DE7EDE" w14:textId="77777777" w:rsidR="00E12269" w:rsidRDefault="00414B76">
      <w:pPr>
        <w:numPr>
          <w:ilvl w:val="0"/>
          <w:numId w:val="3"/>
        </w:num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安全保管资产管理计划财产；</w:t>
      </w:r>
    </w:p>
    <w:p w14:paraId="69B5F379" w14:textId="77777777" w:rsidR="00E12269" w:rsidRDefault="00414B76">
      <w:pPr>
        <w:numPr>
          <w:ilvl w:val="0"/>
          <w:numId w:val="3"/>
        </w:num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按照规定开设资产管理计划的托管账户，不同托管账户中的财产应当相互独立</w:t>
      </w:r>
      <w:r>
        <w:rPr>
          <w:rFonts w:ascii="仿宋_GB2312" w:eastAsia="仿宋_GB2312" w:hAnsi="仿宋_GB2312" w:cs="仿宋_GB2312" w:hint="eastAsia"/>
          <w:sz w:val="32"/>
          <w:szCs w:val="32"/>
          <w:shd w:val="clear" w:color="000000" w:fill="FCFCFC"/>
        </w:rPr>
        <w:t>；</w:t>
      </w:r>
    </w:p>
    <w:p w14:paraId="044A4739" w14:textId="77777777" w:rsidR="00E12269" w:rsidRDefault="00414B7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（三）按照资产管理合同约定，根据管理人的投资指令，及时办理清算、交割事宜；</w:t>
      </w:r>
    </w:p>
    <w:p w14:paraId="309AF627" w14:textId="77777777" w:rsidR="00E12269" w:rsidRDefault="00414B7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（四）建立与管理人的对账机制，复核、审查管理人计算的资产管理计划资产净值和资产管理计划参与、退出价格；</w:t>
      </w:r>
    </w:p>
    <w:p w14:paraId="43E20298" w14:textId="77777777" w:rsidR="00E12269" w:rsidRDefault="00414B7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（五）监督管理人的投资运作，发现管理人</w:t>
      </w:r>
      <w:r>
        <w:rPr>
          <w:rFonts w:ascii="仿宋_GB2312" w:eastAsia="仿宋_GB2312" w:hAnsi="仿宋_GB2312" w:cs="仿宋_GB2312" w:hint="eastAsia"/>
          <w:sz w:val="32"/>
          <w:szCs w:val="32"/>
        </w:rPr>
        <w:t>的投资或清算指令违反法律、行政法规、中国证监会的规定或者资产管理合同约定的，应当拒绝执行，</w:t>
      </w:r>
      <w:r>
        <w:rPr>
          <w:rFonts w:ascii="仿宋_GB2312" w:eastAsia="仿宋_GB2312" w:hAnsi="仿宋_GB2312" w:cs="仿宋_GB2312" w:hint="eastAsia"/>
          <w:sz w:val="32"/>
          <w:szCs w:val="32"/>
        </w:rPr>
        <w:t>并向中国证监会相关派出机构和证券投资基金业协会报告；</w:t>
      </w:r>
    </w:p>
    <w:p w14:paraId="508A658C" w14:textId="77777777" w:rsidR="00E12269" w:rsidRDefault="00414B7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（六）办理与资产管理计划托管业务活动有关的信息披露事项；</w:t>
      </w:r>
    </w:p>
    <w:p w14:paraId="68668E03" w14:textId="77777777" w:rsidR="00E12269" w:rsidRDefault="00414B7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（七）对资产管理计划</w:t>
      </w:r>
      <w:r>
        <w:rPr>
          <w:rFonts w:ascii="仿宋_GB2312" w:eastAsia="仿宋_GB2312" w:hAnsi="仿宋_GB2312" w:cs="仿宋_GB2312" w:hint="eastAsia"/>
          <w:sz w:val="32"/>
          <w:szCs w:val="32"/>
        </w:rPr>
        <w:t>财务会计报告、年度报告出具意见；</w:t>
      </w:r>
    </w:p>
    <w:p w14:paraId="41630758" w14:textId="77777777" w:rsidR="00E12269" w:rsidRDefault="00414B7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（八）</w:t>
      </w:r>
      <w:r>
        <w:rPr>
          <w:rFonts w:ascii="仿宋_GB2312" w:eastAsia="仿宋_GB2312" w:hAnsi="仿宋_GB2312" w:cs="仿宋_GB2312" w:hint="eastAsia"/>
          <w:sz w:val="32"/>
          <w:szCs w:val="32"/>
        </w:rPr>
        <w:t>保存资产管理计划托管业务活动的记录、账册、报表和其他相关资料；</w:t>
      </w:r>
    </w:p>
    <w:p w14:paraId="0F1D9749" w14:textId="77777777" w:rsidR="00E12269" w:rsidRDefault="00414B7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（九）对资产管理计划投资信息和相关资料承担保密责任，除法律、行政法规、规章规定或者审计要求、合同约定外，不得向任何机构或者个人提供相关信息和资料；</w:t>
      </w:r>
    </w:p>
    <w:p w14:paraId="7D41769A" w14:textId="77777777" w:rsidR="00E12269" w:rsidRDefault="00414B7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（十）法律、行政法规和中国证监会规定的其他职责。</w:t>
      </w:r>
    </w:p>
    <w:p w14:paraId="536FDCCB"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第十四条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证券期货经营机构可以自行销售资产管理计划，也可以委托具</w:t>
      </w:r>
      <w:r>
        <w:rPr>
          <w:rFonts w:ascii="仿宋_GB2312" w:eastAsia="仿宋_GB2312" w:hAnsi="仿宋_GB2312" w:cs="仿宋_GB2312" w:hint="eastAsia"/>
          <w:sz w:val="32"/>
          <w:szCs w:val="32"/>
        </w:rPr>
        <w:t>有</w:t>
      </w:r>
      <w:r>
        <w:rPr>
          <w:rFonts w:ascii="仿宋_GB2312" w:eastAsia="仿宋_GB2312" w:hAnsi="仿宋_GB2312" w:cs="仿宋_GB2312" w:hint="eastAsia"/>
          <w:sz w:val="32"/>
          <w:szCs w:val="32"/>
        </w:rPr>
        <w:t>基金</w:t>
      </w:r>
      <w:r>
        <w:rPr>
          <w:rFonts w:ascii="仿宋_GB2312" w:eastAsia="仿宋_GB2312" w:hAnsi="仿宋_GB2312" w:cs="仿宋_GB2312" w:hint="eastAsia"/>
          <w:sz w:val="32"/>
          <w:szCs w:val="32"/>
        </w:rPr>
        <w:t>销售资格的机构</w:t>
      </w:r>
      <w:r>
        <w:rPr>
          <w:rFonts w:ascii="仿宋_GB2312" w:eastAsia="仿宋_GB2312" w:hAnsi="仿宋_GB2312" w:cs="仿宋_GB2312" w:hint="eastAsia"/>
          <w:sz w:val="32"/>
          <w:szCs w:val="32"/>
        </w:rPr>
        <w:t>（以下简称销售机构）销售或者推介</w:t>
      </w:r>
      <w:r>
        <w:rPr>
          <w:rFonts w:ascii="仿宋_GB2312" w:eastAsia="仿宋_GB2312" w:hAnsi="仿宋_GB2312" w:cs="仿宋_GB2312" w:hint="eastAsia"/>
          <w:sz w:val="32"/>
          <w:szCs w:val="32"/>
        </w:rPr>
        <w:t>资产管理计划</w:t>
      </w:r>
      <w:r>
        <w:rPr>
          <w:rFonts w:ascii="仿宋_GB2312" w:eastAsia="仿宋_GB2312" w:hAnsi="仿宋_GB2312" w:cs="仿宋_GB2312" w:hint="eastAsia"/>
          <w:sz w:val="32"/>
          <w:szCs w:val="32"/>
        </w:rPr>
        <w:t>。</w:t>
      </w:r>
    </w:p>
    <w:p w14:paraId="0576327D" w14:textId="77777777" w:rsidR="00E12269" w:rsidRDefault="00414B7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销售机构应当依法、合</w:t>
      </w:r>
      <w:proofErr w:type="gramStart"/>
      <w:r>
        <w:rPr>
          <w:rFonts w:ascii="仿宋_GB2312" w:eastAsia="仿宋_GB2312" w:hAnsi="仿宋_GB2312" w:cs="仿宋_GB2312" w:hint="eastAsia"/>
          <w:sz w:val="32"/>
          <w:szCs w:val="32"/>
        </w:rPr>
        <w:t>规</w:t>
      </w:r>
      <w:proofErr w:type="gramEnd"/>
      <w:r>
        <w:rPr>
          <w:rFonts w:ascii="仿宋_GB2312" w:eastAsia="仿宋_GB2312" w:hAnsi="仿宋_GB2312" w:cs="仿宋_GB2312" w:hint="eastAsia"/>
          <w:sz w:val="32"/>
          <w:szCs w:val="32"/>
        </w:rPr>
        <w:t>销售或者推介资产管理计划。</w:t>
      </w:r>
    </w:p>
    <w:p w14:paraId="227B979D"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第十五条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证券期货经营机构可以</w:t>
      </w:r>
      <w:r>
        <w:rPr>
          <w:rFonts w:ascii="仿宋_GB2312" w:eastAsia="仿宋_GB2312" w:hAnsi="仿宋_GB2312" w:cs="仿宋_GB2312" w:hint="eastAsia"/>
          <w:sz w:val="32"/>
          <w:szCs w:val="32"/>
        </w:rPr>
        <w:t>自行办理</w:t>
      </w:r>
      <w:r>
        <w:rPr>
          <w:rFonts w:ascii="仿宋_GB2312" w:eastAsia="仿宋_GB2312" w:hAnsi="仿宋_GB2312" w:cs="仿宋_GB2312" w:hint="eastAsia"/>
          <w:sz w:val="32"/>
          <w:szCs w:val="32"/>
        </w:rPr>
        <w:t>资产管理计划份额的登记、估值、核算，也可以委托中国证监会认可的其他机构代为办理。</w:t>
      </w:r>
    </w:p>
    <w:p w14:paraId="7A743055"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第十六条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证券期货经营机构从事私募资产管理业务，</w:t>
      </w:r>
      <w:r>
        <w:rPr>
          <w:rFonts w:ascii="仿宋_GB2312" w:eastAsia="仿宋_GB2312" w:hAnsi="仿宋_GB2312" w:cs="仿宋_GB2312" w:hint="eastAsia"/>
          <w:sz w:val="32"/>
          <w:szCs w:val="32"/>
        </w:rPr>
        <w:t>可以聘请符合中国证监会规定条件并接受国务院金融监督管理机构监管的机构</w:t>
      </w:r>
      <w:r>
        <w:rPr>
          <w:rFonts w:ascii="仿宋_GB2312" w:eastAsia="仿宋_GB2312" w:hAnsi="仿宋_GB2312" w:cs="仿宋_GB2312" w:hint="eastAsia"/>
          <w:sz w:val="32"/>
          <w:szCs w:val="32"/>
        </w:rPr>
        <w:t>为其提供</w:t>
      </w:r>
      <w:r>
        <w:rPr>
          <w:rFonts w:ascii="仿宋_GB2312" w:eastAsia="仿宋_GB2312" w:hAnsi="仿宋_GB2312" w:cs="仿宋_GB2312" w:hint="eastAsia"/>
          <w:sz w:val="32"/>
          <w:szCs w:val="32"/>
        </w:rPr>
        <w:t>投资顾问服务。证券期货经营机构依法应当承担的责任不因聘请投资顾问而免除。</w:t>
      </w:r>
    </w:p>
    <w:p w14:paraId="566F25F6" w14:textId="77777777" w:rsidR="00E12269" w:rsidRDefault="00414B7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证券期货经营机构应当向投资者详细披露所聘请的投资顾问的资质、收费等情况，以及更换、解聘投资顾问的条件和程序，充分揭示聘请投资顾问可能</w:t>
      </w:r>
      <w:r>
        <w:rPr>
          <w:rFonts w:ascii="仿宋_GB2312" w:eastAsia="仿宋_GB2312" w:hAnsi="仿宋_GB2312" w:cs="仿宋_GB2312" w:hint="eastAsia"/>
          <w:sz w:val="32"/>
          <w:szCs w:val="32"/>
        </w:rPr>
        <w:t>产生的特定风险。</w:t>
      </w:r>
    </w:p>
    <w:p w14:paraId="01103C97" w14:textId="77777777" w:rsidR="00E12269" w:rsidRDefault="00414B76">
      <w:pPr>
        <w:tabs>
          <w:tab w:val="left" w:pos="63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证券期货经营机构不得聘请个人或者不符合条件的机构提</w:t>
      </w:r>
      <w:r>
        <w:rPr>
          <w:rFonts w:ascii="仿宋_GB2312" w:eastAsia="仿宋_GB2312" w:hAnsi="仿宋_GB2312" w:cs="仿宋_GB2312" w:hint="eastAsia"/>
          <w:sz w:val="32"/>
          <w:szCs w:val="32"/>
        </w:rPr>
        <w:lastRenderedPageBreak/>
        <w:t>供投资顾问服务。</w:t>
      </w:r>
    </w:p>
    <w:p w14:paraId="66F127BF" w14:textId="77777777" w:rsidR="00E12269" w:rsidRDefault="00414B76">
      <w:pPr>
        <w:tabs>
          <w:tab w:val="left" w:pos="630"/>
        </w:tabs>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第十七条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证券期货经营机构、托管人、投资顾问及相关从业人员不得有下列行为：</w:t>
      </w:r>
    </w:p>
    <w:p w14:paraId="4C8EC1C0" w14:textId="77777777" w:rsidR="00E12269" w:rsidRDefault="00414B76">
      <w:pPr>
        <w:numPr>
          <w:ilvl w:val="0"/>
          <w:numId w:val="4"/>
        </w:num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利用资产管理计划从事内幕交易、操纵市场或者其</w:t>
      </w:r>
      <w:r>
        <w:rPr>
          <w:rFonts w:ascii="仿宋_GB2312" w:eastAsia="仿宋_GB2312" w:hAnsi="仿宋_GB2312" w:cs="仿宋_GB2312" w:hint="eastAsia"/>
          <w:sz w:val="32"/>
          <w:szCs w:val="32"/>
        </w:rPr>
        <w:t>他不当、违法的</w:t>
      </w:r>
      <w:r>
        <w:rPr>
          <w:rFonts w:ascii="仿宋_GB2312" w:eastAsia="仿宋_GB2312" w:hAnsi="仿宋_GB2312" w:cs="仿宋_GB2312" w:hint="eastAsia"/>
          <w:sz w:val="32"/>
          <w:szCs w:val="32"/>
        </w:rPr>
        <w:t>证券期货业务活动；</w:t>
      </w:r>
    </w:p>
    <w:p w14:paraId="1BABAF41" w14:textId="77777777" w:rsidR="00E12269" w:rsidRDefault="00414B76">
      <w:pPr>
        <w:numPr>
          <w:ilvl w:val="0"/>
          <w:numId w:val="4"/>
        </w:num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泄露因职务便利获取的未公开信息、利用该信息从事或者明示、暗示他人从事相关交易活动；</w:t>
      </w:r>
    </w:p>
    <w:p w14:paraId="246F158D" w14:textId="77777777" w:rsidR="00E12269" w:rsidRDefault="00414B76">
      <w:pPr>
        <w:numPr>
          <w:ilvl w:val="0"/>
          <w:numId w:val="4"/>
        </w:num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为违法或者规避监管的证券期货业务活动提供交易便利；</w:t>
      </w:r>
    </w:p>
    <w:p w14:paraId="549A79E5" w14:textId="77777777" w:rsidR="00E12269" w:rsidRDefault="00414B76">
      <w:pPr>
        <w:numPr>
          <w:ilvl w:val="0"/>
          <w:numId w:val="4"/>
        </w:num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从事非公平交易、利益输送等损害投资者合法权益的行为</w:t>
      </w:r>
      <w:r>
        <w:rPr>
          <w:rFonts w:ascii="仿宋_GB2312" w:eastAsia="仿宋_GB2312" w:hAnsi="仿宋_GB2312" w:cs="仿宋_GB2312" w:hint="eastAsia"/>
          <w:sz w:val="32"/>
          <w:szCs w:val="32"/>
        </w:rPr>
        <w:t>；</w:t>
      </w:r>
    </w:p>
    <w:p w14:paraId="45431E75" w14:textId="77777777" w:rsidR="00E12269" w:rsidRDefault="00414B76">
      <w:pPr>
        <w:numPr>
          <w:ilvl w:val="0"/>
          <w:numId w:val="4"/>
        </w:num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利用资产管理计划进行商业贿赂</w:t>
      </w:r>
      <w:r>
        <w:rPr>
          <w:rFonts w:ascii="仿宋_GB2312" w:eastAsia="仿宋_GB2312" w:hAnsi="仿宋_GB2312" w:cs="仿宋_GB2312" w:hint="eastAsia"/>
          <w:sz w:val="32"/>
          <w:szCs w:val="32"/>
        </w:rPr>
        <w:t>；</w:t>
      </w:r>
    </w:p>
    <w:p w14:paraId="3AF4474B" w14:textId="77777777" w:rsidR="00E12269" w:rsidRDefault="00414B76">
      <w:pPr>
        <w:numPr>
          <w:ilvl w:val="0"/>
          <w:numId w:val="4"/>
        </w:num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侵占、挪用资产管理计划财产；</w:t>
      </w:r>
    </w:p>
    <w:p w14:paraId="485FEB73" w14:textId="77777777" w:rsidR="00E12269" w:rsidRDefault="00414B76">
      <w:pPr>
        <w:numPr>
          <w:ilvl w:val="0"/>
          <w:numId w:val="4"/>
        </w:num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利用资产管理计划或者职务便利为投资者以外的第三方谋取不正当利益；</w:t>
      </w:r>
    </w:p>
    <w:p w14:paraId="22D88780" w14:textId="77777777" w:rsidR="00E12269" w:rsidRDefault="00414B76">
      <w:pPr>
        <w:numPr>
          <w:ilvl w:val="0"/>
          <w:numId w:val="4"/>
        </w:num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直接或者间接向投资者返还管理费</w:t>
      </w:r>
      <w:r>
        <w:rPr>
          <w:rFonts w:ascii="仿宋_GB2312" w:eastAsia="仿宋_GB2312" w:hAnsi="仿宋_GB2312" w:cs="仿宋_GB2312" w:hint="eastAsia"/>
          <w:sz w:val="32"/>
          <w:szCs w:val="32"/>
        </w:rPr>
        <w:t>；</w:t>
      </w:r>
    </w:p>
    <w:p w14:paraId="67D3027A" w14:textId="77777777" w:rsidR="00E12269" w:rsidRDefault="00414B76">
      <w:pPr>
        <w:numPr>
          <w:ilvl w:val="0"/>
          <w:numId w:val="4"/>
        </w:num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以获取佣金或者其他不当利益为目的，使用资产</w:t>
      </w:r>
      <w:r>
        <w:rPr>
          <w:rFonts w:ascii="仿宋_GB2312" w:eastAsia="仿宋_GB2312" w:hAnsi="仿宋_GB2312" w:cs="仿宋_GB2312" w:hint="eastAsia"/>
          <w:sz w:val="32"/>
          <w:szCs w:val="32"/>
        </w:rPr>
        <w:t>管理</w:t>
      </w:r>
      <w:r>
        <w:rPr>
          <w:rFonts w:ascii="仿宋_GB2312" w:eastAsia="仿宋_GB2312" w:hAnsi="仿宋_GB2312" w:cs="仿宋_GB2312" w:hint="eastAsia"/>
          <w:sz w:val="32"/>
          <w:szCs w:val="32"/>
        </w:rPr>
        <w:t>计划</w:t>
      </w:r>
      <w:r>
        <w:rPr>
          <w:rFonts w:ascii="仿宋_GB2312" w:eastAsia="仿宋_GB2312" w:hAnsi="仿宋_GB2312" w:cs="仿宋_GB2312" w:hint="eastAsia"/>
          <w:sz w:val="32"/>
          <w:szCs w:val="32"/>
        </w:rPr>
        <w:t>财</w:t>
      </w:r>
      <w:r>
        <w:rPr>
          <w:rFonts w:ascii="仿宋_GB2312" w:eastAsia="仿宋_GB2312" w:hAnsi="仿宋_GB2312" w:cs="仿宋_GB2312" w:hint="eastAsia"/>
          <w:sz w:val="32"/>
          <w:szCs w:val="32"/>
        </w:rPr>
        <w:t>产进行不必要</w:t>
      </w:r>
      <w:r>
        <w:rPr>
          <w:rFonts w:ascii="仿宋_GB2312" w:eastAsia="仿宋_GB2312" w:hAnsi="仿宋_GB2312" w:cs="仿宋_GB2312" w:hint="eastAsia"/>
          <w:sz w:val="32"/>
          <w:szCs w:val="32"/>
        </w:rPr>
        <w:t>的交易；</w:t>
      </w:r>
    </w:p>
    <w:p w14:paraId="2512FF61" w14:textId="77777777" w:rsidR="00E12269" w:rsidRDefault="00414B76">
      <w:pPr>
        <w:numPr>
          <w:ilvl w:val="0"/>
          <w:numId w:val="4"/>
        </w:num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法律、行政法规和中国证监会规定禁止的其他行为。</w:t>
      </w:r>
    </w:p>
    <w:p w14:paraId="64DBE5C8" w14:textId="77777777" w:rsidR="00E12269" w:rsidRDefault="00414B76">
      <w:pPr>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 xml:space="preserve">　　　　　　</w:t>
      </w:r>
    </w:p>
    <w:p w14:paraId="630B16AD" w14:textId="77777777" w:rsidR="00E12269" w:rsidRDefault="00414B76">
      <w:pPr>
        <w:jc w:val="center"/>
        <w:rPr>
          <w:rFonts w:ascii="黑体" w:eastAsia="黑体" w:hAnsi="黑体" w:cs="黑体"/>
          <w:b/>
          <w:bCs/>
          <w:sz w:val="32"/>
          <w:szCs w:val="32"/>
        </w:rPr>
      </w:pPr>
      <w:r>
        <w:rPr>
          <w:rFonts w:ascii="黑体" w:eastAsia="黑体" w:hAnsi="黑体" w:cs="黑体" w:hint="eastAsia"/>
          <w:sz w:val="32"/>
          <w:szCs w:val="32"/>
        </w:rPr>
        <w:t>第三章</w:t>
      </w:r>
      <w:r>
        <w:rPr>
          <w:rFonts w:ascii="黑体" w:eastAsia="黑体" w:hAnsi="黑体" w:cs="黑体" w:hint="eastAsia"/>
          <w:sz w:val="32"/>
          <w:szCs w:val="32"/>
        </w:rPr>
        <w:t> </w:t>
      </w:r>
      <w:r>
        <w:rPr>
          <w:rFonts w:ascii="黑体" w:eastAsia="黑体" w:hAnsi="黑体" w:cs="黑体" w:hint="eastAsia"/>
          <w:sz w:val="32"/>
          <w:szCs w:val="32"/>
        </w:rPr>
        <w:t>业务</w:t>
      </w:r>
      <w:r>
        <w:rPr>
          <w:rFonts w:ascii="黑体" w:eastAsia="黑体" w:hAnsi="黑体" w:cs="黑体" w:hint="eastAsia"/>
          <w:sz w:val="32"/>
          <w:szCs w:val="32"/>
        </w:rPr>
        <w:t>形式</w:t>
      </w:r>
    </w:p>
    <w:p w14:paraId="3B71CFB4" w14:textId="77777777" w:rsidR="00E12269" w:rsidRDefault="00E12269">
      <w:pPr>
        <w:rPr>
          <w:rFonts w:ascii="仿宋_GB2312" w:eastAsia="仿宋_GB2312" w:hAnsi="仿宋_GB2312" w:cs="仿宋_GB2312"/>
          <w:sz w:val="32"/>
          <w:szCs w:val="32"/>
        </w:rPr>
      </w:pPr>
    </w:p>
    <w:p w14:paraId="1839F29A"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第十八条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证券期货经营机构</w:t>
      </w:r>
      <w:r>
        <w:rPr>
          <w:rFonts w:ascii="仿宋_GB2312" w:eastAsia="仿宋_GB2312" w:hAnsi="仿宋_GB2312" w:cs="仿宋_GB2312" w:hint="eastAsia"/>
          <w:sz w:val="32"/>
          <w:szCs w:val="32"/>
        </w:rPr>
        <w:t>可以</w:t>
      </w:r>
      <w:r>
        <w:rPr>
          <w:rFonts w:ascii="仿宋_GB2312" w:eastAsia="仿宋_GB2312" w:hAnsi="仿宋_GB2312" w:cs="仿宋_GB2312" w:hint="eastAsia"/>
          <w:sz w:val="32"/>
          <w:szCs w:val="32"/>
        </w:rPr>
        <w:t>为单一投资者</w:t>
      </w:r>
      <w:r>
        <w:rPr>
          <w:rFonts w:ascii="仿宋_GB2312" w:eastAsia="仿宋_GB2312" w:hAnsi="仿宋_GB2312" w:cs="仿宋_GB2312" w:hint="eastAsia"/>
          <w:sz w:val="32"/>
          <w:szCs w:val="32"/>
        </w:rPr>
        <w:t>设立单一资产管理计划，也可以</w:t>
      </w:r>
      <w:r>
        <w:rPr>
          <w:rFonts w:ascii="仿宋_GB2312" w:eastAsia="仿宋_GB2312" w:hAnsi="仿宋_GB2312" w:cs="仿宋_GB2312" w:hint="eastAsia"/>
          <w:sz w:val="32"/>
          <w:szCs w:val="32"/>
        </w:rPr>
        <w:t>为多个投资者</w:t>
      </w:r>
      <w:r>
        <w:rPr>
          <w:rFonts w:ascii="仿宋_GB2312" w:eastAsia="仿宋_GB2312" w:hAnsi="仿宋_GB2312" w:cs="仿宋_GB2312" w:hint="eastAsia"/>
          <w:sz w:val="32"/>
          <w:szCs w:val="32"/>
        </w:rPr>
        <w:t>设立集合资产管理计划。</w:t>
      </w:r>
    </w:p>
    <w:p w14:paraId="021CB8FE" w14:textId="77777777" w:rsidR="00E12269" w:rsidRDefault="00414B7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集合资产管理计划的</w:t>
      </w:r>
      <w:r>
        <w:rPr>
          <w:rFonts w:ascii="仿宋_GB2312" w:eastAsia="仿宋_GB2312" w:hAnsi="仿宋_GB2312" w:cs="仿宋_GB2312" w:hint="eastAsia"/>
          <w:sz w:val="32"/>
          <w:szCs w:val="32"/>
        </w:rPr>
        <w:t>投资者</w:t>
      </w:r>
      <w:r>
        <w:rPr>
          <w:rFonts w:ascii="仿宋_GB2312" w:eastAsia="仿宋_GB2312" w:hAnsi="仿宋_GB2312" w:cs="仿宋_GB2312" w:hint="eastAsia"/>
          <w:sz w:val="32"/>
          <w:szCs w:val="32"/>
        </w:rPr>
        <w:t>人数</w:t>
      </w:r>
      <w:r>
        <w:rPr>
          <w:rFonts w:ascii="仿宋_GB2312" w:eastAsia="仿宋_GB2312" w:hAnsi="仿宋_GB2312" w:cs="仿宋_GB2312" w:hint="eastAsia"/>
          <w:sz w:val="32"/>
          <w:szCs w:val="32"/>
        </w:rPr>
        <w:t>不少于二</w:t>
      </w:r>
      <w:r>
        <w:rPr>
          <w:rFonts w:ascii="仿宋_GB2312" w:eastAsia="仿宋_GB2312" w:hAnsi="仿宋_GB2312" w:cs="仿宋_GB2312" w:hint="eastAsia"/>
          <w:sz w:val="32"/>
          <w:szCs w:val="32"/>
        </w:rPr>
        <w:t>人，</w:t>
      </w:r>
      <w:r>
        <w:rPr>
          <w:rFonts w:ascii="仿宋_GB2312" w:eastAsia="仿宋_GB2312" w:hAnsi="仿宋_GB2312" w:cs="仿宋_GB2312" w:hint="eastAsia"/>
          <w:sz w:val="32"/>
          <w:szCs w:val="32"/>
        </w:rPr>
        <w:t>不得超过</w:t>
      </w:r>
      <w:r>
        <w:rPr>
          <w:rFonts w:ascii="仿宋_GB2312" w:eastAsia="仿宋_GB2312" w:hAnsi="仿宋_GB2312" w:cs="仿宋_GB2312" w:hint="eastAsia"/>
          <w:sz w:val="32"/>
          <w:szCs w:val="32"/>
        </w:rPr>
        <w:t>二百</w:t>
      </w:r>
      <w:r>
        <w:rPr>
          <w:rFonts w:ascii="仿宋_GB2312" w:eastAsia="仿宋_GB2312" w:hAnsi="仿宋_GB2312" w:cs="仿宋_GB2312" w:hint="eastAsia"/>
          <w:sz w:val="32"/>
          <w:szCs w:val="32"/>
        </w:rPr>
        <w:t>人</w:t>
      </w:r>
      <w:r>
        <w:rPr>
          <w:rFonts w:ascii="仿宋_GB2312" w:eastAsia="仿宋_GB2312" w:hAnsi="仿宋_GB2312" w:cs="仿宋_GB2312" w:hint="eastAsia"/>
          <w:sz w:val="32"/>
          <w:szCs w:val="32"/>
        </w:rPr>
        <w:t>。</w:t>
      </w:r>
    </w:p>
    <w:p w14:paraId="22F1A0D9"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第十九条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单一资产管理计划</w:t>
      </w:r>
      <w:r>
        <w:rPr>
          <w:rFonts w:ascii="仿宋_GB2312" w:eastAsia="仿宋_GB2312" w:hAnsi="仿宋_GB2312" w:cs="仿宋_GB2312" w:hint="eastAsia"/>
          <w:sz w:val="32"/>
          <w:szCs w:val="32"/>
        </w:rPr>
        <w:t>可以接受货币资金委托，</w:t>
      </w:r>
      <w:r>
        <w:rPr>
          <w:rFonts w:ascii="仿宋_GB2312" w:eastAsia="仿宋_GB2312" w:hAnsi="仿宋_GB2312" w:cs="仿宋_GB2312" w:hint="eastAsia"/>
          <w:sz w:val="32"/>
          <w:szCs w:val="32"/>
        </w:rPr>
        <w:t>或者</w:t>
      </w:r>
      <w:r>
        <w:rPr>
          <w:rFonts w:ascii="仿宋_GB2312" w:eastAsia="仿宋_GB2312" w:hAnsi="仿宋_GB2312" w:cs="仿宋_GB2312" w:hint="eastAsia"/>
          <w:sz w:val="32"/>
          <w:szCs w:val="32"/>
        </w:rPr>
        <w:t>接受</w:t>
      </w:r>
      <w:r>
        <w:rPr>
          <w:rFonts w:ascii="仿宋_GB2312" w:eastAsia="仿宋_GB2312" w:hAnsi="仿宋_GB2312" w:cs="仿宋_GB2312" w:hint="eastAsia"/>
          <w:sz w:val="32"/>
          <w:szCs w:val="32"/>
        </w:rPr>
        <w:t>投资者</w:t>
      </w:r>
      <w:r>
        <w:rPr>
          <w:rFonts w:ascii="仿宋_GB2312" w:eastAsia="仿宋_GB2312" w:hAnsi="仿宋_GB2312" w:cs="仿宋_GB2312" w:hint="eastAsia"/>
          <w:sz w:val="32"/>
          <w:szCs w:val="32"/>
        </w:rPr>
        <w:t>合法持有</w:t>
      </w:r>
      <w:r>
        <w:rPr>
          <w:rFonts w:ascii="仿宋_GB2312" w:eastAsia="仿宋_GB2312" w:hAnsi="仿宋_GB2312" w:cs="仿宋_GB2312" w:hint="eastAsia"/>
          <w:sz w:val="32"/>
          <w:szCs w:val="32"/>
        </w:rPr>
        <w:t>的</w:t>
      </w:r>
      <w:r>
        <w:rPr>
          <w:rFonts w:ascii="仿宋_GB2312" w:eastAsia="仿宋_GB2312" w:hAnsi="仿宋_GB2312" w:cs="仿宋_GB2312" w:hint="eastAsia"/>
          <w:sz w:val="32"/>
          <w:szCs w:val="32"/>
        </w:rPr>
        <w:t>股票、债券或中国证监会</w:t>
      </w:r>
      <w:r>
        <w:rPr>
          <w:rFonts w:ascii="仿宋_GB2312" w:eastAsia="仿宋_GB2312" w:hAnsi="仿宋_GB2312" w:cs="仿宋_GB2312" w:hint="eastAsia"/>
          <w:sz w:val="32"/>
          <w:szCs w:val="32"/>
        </w:rPr>
        <w:t>认可</w:t>
      </w:r>
      <w:r>
        <w:rPr>
          <w:rFonts w:ascii="仿宋_GB2312" w:eastAsia="仿宋_GB2312" w:hAnsi="仿宋_GB2312" w:cs="仿宋_GB2312" w:hint="eastAsia"/>
          <w:sz w:val="32"/>
          <w:szCs w:val="32"/>
        </w:rPr>
        <w:t>的其他金融资产</w:t>
      </w:r>
      <w:r>
        <w:rPr>
          <w:rFonts w:ascii="仿宋_GB2312" w:eastAsia="仿宋_GB2312" w:hAnsi="仿宋_GB2312" w:cs="仿宋_GB2312" w:hint="eastAsia"/>
          <w:sz w:val="32"/>
          <w:szCs w:val="32"/>
        </w:rPr>
        <w:t>委托</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集合资产管理计划原则上应当接受货币资金委托，</w:t>
      </w:r>
      <w:r>
        <w:rPr>
          <w:rFonts w:ascii="仿宋_GB2312" w:eastAsia="仿宋_GB2312" w:hAnsi="仿宋_GB2312" w:cs="仿宋_GB2312" w:hint="eastAsia"/>
          <w:sz w:val="32"/>
          <w:szCs w:val="32"/>
        </w:rPr>
        <w:t>中国证监会认可的情形除外。</w:t>
      </w:r>
    </w:p>
    <w:p w14:paraId="2AB45DA2" w14:textId="77777777" w:rsidR="00E12269" w:rsidRDefault="00414B7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证券登记结算机构应当按照规定为接受股票、债券</w:t>
      </w:r>
      <w:r>
        <w:rPr>
          <w:rFonts w:ascii="仿宋_GB2312" w:eastAsia="仿宋_GB2312" w:hAnsi="仿宋_GB2312" w:cs="仿宋_GB2312" w:hint="eastAsia"/>
          <w:sz w:val="32"/>
          <w:szCs w:val="32"/>
        </w:rPr>
        <w:t>等证券</w:t>
      </w:r>
      <w:r>
        <w:rPr>
          <w:rFonts w:ascii="仿宋_GB2312" w:eastAsia="仿宋_GB2312" w:hAnsi="仿宋_GB2312" w:cs="仿宋_GB2312" w:hint="eastAsia"/>
          <w:sz w:val="32"/>
          <w:szCs w:val="32"/>
        </w:rPr>
        <w:t>委托的单一资产管理计划办理证券</w:t>
      </w:r>
      <w:proofErr w:type="gramStart"/>
      <w:r>
        <w:rPr>
          <w:rFonts w:ascii="仿宋_GB2312" w:eastAsia="仿宋_GB2312" w:hAnsi="仿宋_GB2312" w:cs="仿宋_GB2312" w:hint="eastAsia"/>
          <w:sz w:val="32"/>
          <w:szCs w:val="32"/>
        </w:rPr>
        <w:t>非交易</w:t>
      </w:r>
      <w:proofErr w:type="gramEnd"/>
      <w:r>
        <w:rPr>
          <w:rFonts w:ascii="仿宋_GB2312" w:eastAsia="仿宋_GB2312" w:hAnsi="仿宋_GB2312" w:cs="仿宋_GB2312" w:hint="eastAsia"/>
          <w:sz w:val="32"/>
          <w:szCs w:val="32"/>
        </w:rPr>
        <w:t>过户等手续。</w:t>
      </w:r>
    </w:p>
    <w:p w14:paraId="6478CE31"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资产管理计划</w:t>
      </w:r>
      <w:r>
        <w:rPr>
          <w:rFonts w:ascii="仿宋_GB2312" w:eastAsia="仿宋_GB2312" w:hAnsi="仿宋_GB2312" w:cs="仿宋_GB2312" w:hint="eastAsia"/>
          <w:sz w:val="32"/>
          <w:szCs w:val="32"/>
        </w:rPr>
        <w:t>应当</w:t>
      </w:r>
      <w:r>
        <w:rPr>
          <w:rFonts w:ascii="仿宋_GB2312" w:eastAsia="仿宋_GB2312" w:hAnsi="仿宋_GB2312" w:cs="仿宋_GB2312" w:hint="eastAsia"/>
          <w:sz w:val="32"/>
          <w:szCs w:val="32"/>
        </w:rPr>
        <w:t>具有明确、合法的投资方向，具备清晰的风险收益特征，</w:t>
      </w:r>
      <w:r>
        <w:rPr>
          <w:rFonts w:ascii="仿宋_GB2312" w:eastAsia="仿宋_GB2312" w:hAnsi="仿宋_GB2312" w:cs="仿宋_GB2312" w:hint="eastAsia"/>
          <w:sz w:val="32"/>
          <w:szCs w:val="32"/>
        </w:rPr>
        <w:t>并区分最终投向资产类别，按照</w:t>
      </w:r>
      <w:r>
        <w:rPr>
          <w:rFonts w:ascii="仿宋_GB2312" w:eastAsia="仿宋_GB2312" w:hAnsi="仿宋_GB2312" w:cs="仿宋_GB2312" w:hint="eastAsia"/>
          <w:sz w:val="32"/>
          <w:szCs w:val="32"/>
        </w:rPr>
        <w:t>下列规定</w:t>
      </w:r>
      <w:r>
        <w:rPr>
          <w:rFonts w:ascii="仿宋_GB2312" w:eastAsia="仿宋_GB2312" w:hAnsi="仿宋_GB2312" w:cs="仿宋_GB2312" w:hint="eastAsia"/>
          <w:sz w:val="32"/>
          <w:szCs w:val="32"/>
        </w:rPr>
        <w:t>确定资产管理计划所属</w:t>
      </w:r>
      <w:r>
        <w:rPr>
          <w:rFonts w:ascii="仿宋_GB2312" w:eastAsia="仿宋_GB2312" w:hAnsi="仿宋_GB2312" w:cs="仿宋_GB2312" w:hint="eastAsia"/>
          <w:sz w:val="32"/>
          <w:szCs w:val="32"/>
        </w:rPr>
        <w:t>类别：</w:t>
      </w:r>
    </w:p>
    <w:p w14:paraId="098B0C70" w14:textId="77777777" w:rsidR="00E12269" w:rsidRDefault="00414B7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（一）投资于</w:t>
      </w:r>
      <w:r>
        <w:rPr>
          <w:rFonts w:ascii="仿宋_GB2312" w:eastAsia="仿宋_GB2312" w:hAnsi="仿宋_GB2312" w:cs="仿宋_GB2312" w:hint="eastAsia"/>
          <w:sz w:val="32"/>
          <w:szCs w:val="32"/>
        </w:rPr>
        <w:t>存款、债券等</w:t>
      </w:r>
      <w:r>
        <w:rPr>
          <w:rFonts w:ascii="仿宋_GB2312" w:eastAsia="仿宋_GB2312" w:hAnsi="仿宋_GB2312" w:cs="仿宋_GB2312" w:hint="eastAsia"/>
          <w:sz w:val="32"/>
          <w:szCs w:val="32"/>
        </w:rPr>
        <w:t>债权类资产的比例不低于资产管理计划</w:t>
      </w:r>
      <w:r>
        <w:rPr>
          <w:rFonts w:ascii="仿宋_GB2312" w:eastAsia="仿宋_GB2312" w:hAnsi="仿宋_GB2312" w:cs="仿宋_GB2312" w:hint="eastAsia"/>
          <w:sz w:val="32"/>
          <w:szCs w:val="32"/>
        </w:rPr>
        <w:t>总</w:t>
      </w:r>
      <w:r>
        <w:rPr>
          <w:rFonts w:ascii="仿宋_GB2312" w:eastAsia="仿宋_GB2312" w:hAnsi="仿宋_GB2312" w:cs="仿宋_GB2312" w:hint="eastAsia"/>
          <w:sz w:val="32"/>
          <w:szCs w:val="32"/>
        </w:rPr>
        <w:t>资产</w:t>
      </w:r>
      <w:r>
        <w:rPr>
          <w:rFonts w:ascii="仿宋_GB2312" w:eastAsia="仿宋_GB2312" w:hAnsi="仿宋_GB2312" w:cs="仿宋_GB2312" w:hint="eastAsia"/>
          <w:sz w:val="32"/>
          <w:szCs w:val="32"/>
        </w:rPr>
        <w:t>80%</w:t>
      </w:r>
      <w:r>
        <w:rPr>
          <w:rFonts w:ascii="仿宋_GB2312" w:eastAsia="仿宋_GB2312" w:hAnsi="仿宋_GB2312" w:cs="仿宋_GB2312" w:hint="eastAsia"/>
          <w:sz w:val="32"/>
          <w:szCs w:val="32"/>
        </w:rPr>
        <w:t>的，为固定收益类；</w:t>
      </w:r>
    </w:p>
    <w:p w14:paraId="3668E7F9" w14:textId="77777777" w:rsidR="00E12269" w:rsidRDefault="00414B7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（二）投资于</w:t>
      </w:r>
      <w:r>
        <w:rPr>
          <w:rFonts w:ascii="仿宋_GB2312" w:eastAsia="仿宋_GB2312" w:hAnsi="仿宋_GB2312" w:cs="仿宋_GB2312" w:hint="eastAsia"/>
          <w:sz w:val="32"/>
          <w:szCs w:val="32"/>
        </w:rPr>
        <w:t>股票、未上市企业股权等</w:t>
      </w:r>
      <w:r>
        <w:rPr>
          <w:rFonts w:ascii="仿宋_GB2312" w:eastAsia="仿宋_GB2312" w:hAnsi="仿宋_GB2312" w:cs="仿宋_GB2312" w:hint="eastAsia"/>
          <w:sz w:val="32"/>
          <w:szCs w:val="32"/>
        </w:rPr>
        <w:t>股权</w:t>
      </w:r>
      <w:r>
        <w:rPr>
          <w:rFonts w:ascii="仿宋_GB2312" w:eastAsia="仿宋_GB2312" w:hAnsi="仿宋_GB2312" w:cs="仿宋_GB2312" w:hint="eastAsia"/>
          <w:sz w:val="32"/>
          <w:szCs w:val="32"/>
        </w:rPr>
        <w:t>类资产的比例不</w:t>
      </w:r>
      <w:r>
        <w:rPr>
          <w:rFonts w:ascii="仿宋_GB2312" w:eastAsia="仿宋_GB2312" w:hAnsi="仿宋_GB2312" w:cs="仿宋_GB2312" w:hint="eastAsia"/>
          <w:sz w:val="32"/>
          <w:szCs w:val="32"/>
        </w:rPr>
        <w:lastRenderedPageBreak/>
        <w:t>低于资产管理计划</w:t>
      </w:r>
      <w:r>
        <w:rPr>
          <w:rFonts w:ascii="仿宋_GB2312" w:eastAsia="仿宋_GB2312" w:hAnsi="仿宋_GB2312" w:cs="仿宋_GB2312" w:hint="eastAsia"/>
          <w:sz w:val="32"/>
          <w:szCs w:val="32"/>
        </w:rPr>
        <w:t>总</w:t>
      </w:r>
      <w:r>
        <w:rPr>
          <w:rFonts w:ascii="仿宋_GB2312" w:eastAsia="仿宋_GB2312" w:hAnsi="仿宋_GB2312" w:cs="仿宋_GB2312" w:hint="eastAsia"/>
          <w:sz w:val="32"/>
          <w:szCs w:val="32"/>
        </w:rPr>
        <w:t>资产</w:t>
      </w:r>
      <w:r>
        <w:rPr>
          <w:rFonts w:ascii="仿宋_GB2312" w:eastAsia="仿宋_GB2312" w:hAnsi="仿宋_GB2312" w:cs="仿宋_GB2312" w:hint="eastAsia"/>
          <w:sz w:val="32"/>
          <w:szCs w:val="32"/>
        </w:rPr>
        <w:t>80%</w:t>
      </w:r>
      <w:r>
        <w:rPr>
          <w:rFonts w:ascii="仿宋_GB2312" w:eastAsia="仿宋_GB2312" w:hAnsi="仿宋_GB2312" w:cs="仿宋_GB2312" w:hint="eastAsia"/>
          <w:sz w:val="32"/>
          <w:szCs w:val="32"/>
        </w:rPr>
        <w:t>的，为权益类；</w:t>
      </w:r>
    </w:p>
    <w:p w14:paraId="719819A4" w14:textId="77777777" w:rsidR="00E12269" w:rsidRDefault="00414B76">
      <w:pPr>
        <w:numPr>
          <w:ilvl w:val="0"/>
          <w:numId w:val="5"/>
        </w:num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投资于商品</w:t>
      </w:r>
      <w:r>
        <w:rPr>
          <w:rFonts w:ascii="仿宋_GB2312" w:eastAsia="仿宋_GB2312" w:hAnsi="仿宋_GB2312" w:cs="仿宋_GB2312" w:hint="eastAsia"/>
          <w:sz w:val="32"/>
          <w:szCs w:val="32"/>
        </w:rPr>
        <w:t>及</w:t>
      </w:r>
      <w:r>
        <w:rPr>
          <w:rFonts w:ascii="仿宋_GB2312" w:eastAsia="仿宋_GB2312" w:hAnsi="仿宋_GB2312" w:cs="仿宋_GB2312" w:hint="eastAsia"/>
          <w:sz w:val="32"/>
          <w:szCs w:val="32"/>
        </w:rPr>
        <w:t>金融衍生品的</w:t>
      </w:r>
      <w:r>
        <w:rPr>
          <w:rFonts w:ascii="仿宋_GB2312" w:eastAsia="仿宋_GB2312" w:hAnsi="仿宋_GB2312" w:cs="仿宋_GB2312" w:hint="eastAsia"/>
          <w:sz w:val="32"/>
          <w:szCs w:val="32"/>
        </w:rPr>
        <w:t>持仓合约价值的</w:t>
      </w:r>
      <w:r>
        <w:rPr>
          <w:rFonts w:ascii="仿宋_GB2312" w:eastAsia="仿宋_GB2312" w:hAnsi="仿宋_GB2312" w:cs="仿宋_GB2312" w:hint="eastAsia"/>
          <w:sz w:val="32"/>
          <w:szCs w:val="32"/>
        </w:rPr>
        <w:t>比例不低于资产管理计划</w:t>
      </w:r>
      <w:r>
        <w:rPr>
          <w:rFonts w:ascii="仿宋_GB2312" w:eastAsia="仿宋_GB2312" w:hAnsi="仿宋_GB2312" w:cs="仿宋_GB2312" w:hint="eastAsia"/>
          <w:sz w:val="32"/>
          <w:szCs w:val="32"/>
        </w:rPr>
        <w:t>总</w:t>
      </w:r>
      <w:r>
        <w:rPr>
          <w:rFonts w:ascii="仿宋_GB2312" w:eastAsia="仿宋_GB2312" w:hAnsi="仿宋_GB2312" w:cs="仿宋_GB2312" w:hint="eastAsia"/>
          <w:sz w:val="32"/>
          <w:szCs w:val="32"/>
        </w:rPr>
        <w:t>资产</w:t>
      </w:r>
      <w:r>
        <w:rPr>
          <w:rFonts w:ascii="仿宋_GB2312" w:eastAsia="仿宋_GB2312" w:hAnsi="仿宋_GB2312" w:cs="仿宋_GB2312" w:hint="eastAsia"/>
          <w:sz w:val="32"/>
          <w:szCs w:val="32"/>
        </w:rPr>
        <w:t>80%</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且衍生品账户权益超过资产管理计划总资产</w:t>
      </w:r>
      <w:r>
        <w:rPr>
          <w:rFonts w:ascii="仿宋_GB2312" w:eastAsia="仿宋_GB2312" w:hAnsi="仿宋_GB2312" w:cs="仿宋_GB2312" w:hint="eastAsia"/>
          <w:sz w:val="32"/>
          <w:szCs w:val="32"/>
        </w:rPr>
        <w:t>20%</w:t>
      </w:r>
      <w:r>
        <w:rPr>
          <w:rFonts w:ascii="仿宋_GB2312" w:eastAsia="仿宋_GB2312" w:hAnsi="仿宋_GB2312" w:cs="仿宋_GB2312" w:hint="eastAsia"/>
          <w:sz w:val="32"/>
          <w:szCs w:val="32"/>
        </w:rPr>
        <w:t>的，</w:t>
      </w:r>
      <w:r>
        <w:rPr>
          <w:rFonts w:ascii="仿宋_GB2312" w:eastAsia="仿宋_GB2312" w:hAnsi="仿宋_GB2312" w:cs="仿宋_GB2312" w:hint="eastAsia"/>
          <w:sz w:val="32"/>
          <w:szCs w:val="32"/>
        </w:rPr>
        <w:t>为</w:t>
      </w:r>
      <w:r>
        <w:rPr>
          <w:rFonts w:ascii="仿宋_GB2312" w:eastAsia="仿宋_GB2312" w:hAnsi="仿宋_GB2312" w:cs="仿宋_GB2312" w:hint="eastAsia"/>
          <w:sz w:val="32"/>
          <w:szCs w:val="32"/>
        </w:rPr>
        <w:t>商品及金融</w:t>
      </w:r>
      <w:r>
        <w:rPr>
          <w:rFonts w:ascii="仿宋_GB2312" w:eastAsia="仿宋_GB2312" w:hAnsi="仿宋_GB2312" w:cs="仿宋_GB2312" w:hint="eastAsia"/>
          <w:sz w:val="32"/>
          <w:szCs w:val="32"/>
        </w:rPr>
        <w:t>衍生品类；</w:t>
      </w:r>
    </w:p>
    <w:p w14:paraId="731C8EC7" w14:textId="77777777" w:rsidR="00E12269" w:rsidRDefault="00414B76">
      <w:pPr>
        <w:numPr>
          <w:ilvl w:val="0"/>
          <w:numId w:val="6"/>
        </w:num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投资于债权类、</w:t>
      </w:r>
      <w:r>
        <w:rPr>
          <w:rFonts w:ascii="仿宋_GB2312" w:eastAsia="仿宋_GB2312" w:hAnsi="仿宋_GB2312" w:cs="仿宋_GB2312" w:hint="eastAsia"/>
          <w:sz w:val="32"/>
          <w:szCs w:val="32"/>
        </w:rPr>
        <w:t>股权</w:t>
      </w:r>
      <w:r>
        <w:rPr>
          <w:rFonts w:ascii="仿宋_GB2312" w:eastAsia="仿宋_GB2312" w:hAnsi="仿宋_GB2312" w:cs="仿宋_GB2312" w:hint="eastAsia"/>
          <w:sz w:val="32"/>
          <w:szCs w:val="32"/>
        </w:rPr>
        <w:t>类、商品</w:t>
      </w:r>
      <w:r>
        <w:rPr>
          <w:rFonts w:ascii="仿宋_GB2312" w:eastAsia="仿宋_GB2312" w:hAnsi="仿宋_GB2312" w:cs="仿宋_GB2312" w:hint="eastAsia"/>
          <w:sz w:val="32"/>
          <w:szCs w:val="32"/>
        </w:rPr>
        <w:t>及</w:t>
      </w:r>
      <w:r>
        <w:rPr>
          <w:rFonts w:ascii="仿宋_GB2312" w:eastAsia="仿宋_GB2312" w:hAnsi="仿宋_GB2312" w:cs="仿宋_GB2312" w:hint="eastAsia"/>
          <w:sz w:val="32"/>
          <w:szCs w:val="32"/>
        </w:rPr>
        <w:t>金融衍生品类资产</w:t>
      </w:r>
      <w:r>
        <w:rPr>
          <w:rFonts w:ascii="仿宋_GB2312" w:eastAsia="仿宋_GB2312" w:hAnsi="仿宋_GB2312" w:cs="仿宋_GB2312" w:hint="eastAsia"/>
          <w:sz w:val="32"/>
          <w:szCs w:val="32"/>
        </w:rPr>
        <w:t>的</w:t>
      </w:r>
      <w:r>
        <w:rPr>
          <w:rFonts w:ascii="仿宋_GB2312" w:eastAsia="仿宋_GB2312" w:hAnsi="仿宋_GB2312" w:cs="仿宋_GB2312" w:hint="eastAsia"/>
          <w:sz w:val="32"/>
          <w:szCs w:val="32"/>
        </w:rPr>
        <w:t>比例</w:t>
      </w:r>
      <w:r>
        <w:rPr>
          <w:rFonts w:ascii="仿宋_GB2312" w:eastAsia="仿宋_GB2312" w:hAnsi="仿宋_GB2312" w:cs="仿宋_GB2312" w:hint="eastAsia"/>
          <w:sz w:val="32"/>
          <w:szCs w:val="32"/>
        </w:rPr>
        <w:t>未达到前三类</w:t>
      </w:r>
      <w:r>
        <w:rPr>
          <w:rFonts w:ascii="仿宋_GB2312" w:eastAsia="仿宋_GB2312" w:hAnsi="仿宋_GB2312" w:cs="仿宋_GB2312" w:hint="eastAsia"/>
          <w:sz w:val="32"/>
          <w:szCs w:val="32"/>
        </w:rPr>
        <w:t>产品</w:t>
      </w:r>
      <w:r>
        <w:rPr>
          <w:rFonts w:ascii="仿宋_GB2312" w:eastAsia="仿宋_GB2312" w:hAnsi="仿宋_GB2312" w:cs="仿宋_GB2312" w:hint="eastAsia"/>
          <w:sz w:val="32"/>
          <w:szCs w:val="32"/>
        </w:rPr>
        <w:t>标准的，为混合类。</w:t>
      </w:r>
      <w:r>
        <w:rPr>
          <w:rFonts w:ascii="仿宋_GB2312" w:eastAsia="仿宋_GB2312" w:hAnsi="仿宋_GB2312" w:cs="仿宋_GB2312" w:hint="eastAsia"/>
          <w:sz w:val="32"/>
          <w:szCs w:val="32"/>
        </w:rPr>
        <w:t xml:space="preserve"> </w:t>
      </w:r>
    </w:p>
    <w:p w14:paraId="299E5F35"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第二十一条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根据资产管理计划的类别、投向资产的流动性及期限特点、投资者需求等因素，证券期货经营机构可以设立存续期间办理参与、退出的开放式资产管理计划，或者存续期间不办理参与和退出的封闭式资产管理计划。</w:t>
      </w:r>
    </w:p>
    <w:p w14:paraId="3BB731EC" w14:textId="77777777" w:rsidR="00E12269" w:rsidRDefault="00414B7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开放式资产管理计划应当明确投资者参与、退出的时间、次数、程序及限制事项。开放式集合资产管理计划每三个月至多开放一次计划份额的参与、退出，中国证监会另有规定的除外。</w:t>
      </w:r>
    </w:p>
    <w:p w14:paraId="7E02F103"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第二十二条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单一资产管理计划可以不设份额，</w:t>
      </w:r>
      <w:r>
        <w:rPr>
          <w:rFonts w:ascii="仿宋_GB2312" w:eastAsia="仿宋_GB2312" w:hAnsi="仿宋_GB2312" w:cs="仿宋_GB2312" w:hint="eastAsia"/>
          <w:sz w:val="32"/>
          <w:szCs w:val="32"/>
        </w:rPr>
        <w:t>集合资产管理计划应当设定为均等份额</w:t>
      </w:r>
      <w:r>
        <w:rPr>
          <w:rFonts w:ascii="仿宋_GB2312" w:eastAsia="仿宋_GB2312" w:hAnsi="仿宋_GB2312" w:cs="仿宋_GB2312" w:hint="eastAsia"/>
          <w:sz w:val="32"/>
          <w:szCs w:val="32"/>
        </w:rPr>
        <w:t>。</w:t>
      </w:r>
    </w:p>
    <w:p w14:paraId="51E50ED4" w14:textId="77777777" w:rsidR="00E12269" w:rsidRDefault="00414B7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开放式集合资产管理计划不得进行份额分级。封闭式集合资产管理计划</w:t>
      </w:r>
      <w:r>
        <w:rPr>
          <w:rFonts w:ascii="仿宋_GB2312" w:eastAsia="仿宋_GB2312" w:hAnsi="仿宋_GB2312" w:cs="仿宋_GB2312" w:hint="eastAsia"/>
          <w:sz w:val="32"/>
          <w:szCs w:val="32"/>
        </w:rPr>
        <w:t>可以根据风险收益特征对份额进行分级。</w:t>
      </w:r>
      <w:r>
        <w:rPr>
          <w:rFonts w:ascii="仿宋_GB2312" w:eastAsia="仿宋_GB2312" w:hAnsi="仿宋_GB2312" w:cs="仿宋_GB2312" w:hint="eastAsia"/>
          <w:sz w:val="32"/>
          <w:szCs w:val="32"/>
        </w:rPr>
        <w:t>同级份额享有同等权益、承担同等风险。分级资产管理计划优先级与劣后级的比例应当符合法律、行政法规和中国证监会的规定。</w:t>
      </w:r>
    </w:p>
    <w:p w14:paraId="5B76B5E7" w14:textId="77777777" w:rsidR="00E12269" w:rsidRDefault="00414B76">
      <w:pPr>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 xml:space="preserve">    </w:t>
      </w:r>
      <w:r>
        <w:rPr>
          <w:rFonts w:ascii="仿宋_GB2312" w:eastAsia="仿宋_GB2312" w:hAnsi="仿宋_GB2312" w:cs="仿宋_GB2312" w:hint="eastAsia"/>
          <w:sz w:val="32"/>
          <w:szCs w:val="32"/>
        </w:rPr>
        <w:t>分级资产管理计划的</w:t>
      </w:r>
      <w:r>
        <w:rPr>
          <w:rFonts w:ascii="仿宋_GB2312" w:eastAsia="仿宋_GB2312" w:hAnsi="仿宋_GB2312" w:cs="仿宋_GB2312" w:hint="eastAsia"/>
          <w:sz w:val="32"/>
          <w:szCs w:val="32"/>
        </w:rPr>
        <w:t>名称应</w:t>
      </w:r>
      <w:r>
        <w:rPr>
          <w:rFonts w:ascii="仿宋_GB2312" w:eastAsia="仿宋_GB2312" w:hAnsi="仿宋_GB2312" w:cs="仿宋_GB2312" w:hint="eastAsia"/>
          <w:sz w:val="32"/>
          <w:szCs w:val="32"/>
        </w:rPr>
        <w:t>当</w:t>
      </w:r>
      <w:r>
        <w:rPr>
          <w:rFonts w:ascii="仿宋_GB2312" w:eastAsia="仿宋_GB2312" w:hAnsi="仿宋_GB2312" w:cs="仿宋_GB2312" w:hint="eastAsia"/>
          <w:sz w:val="32"/>
          <w:szCs w:val="32"/>
        </w:rPr>
        <w:t>包含“分级”或“结构化”字样</w:t>
      </w:r>
      <w:r>
        <w:rPr>
          <w:rFonts w:ascii="仿宋_GB2312" w:eastAsia="仿宋_GB2312" w:hAnsi="仿宋_GB2312" w:cs="仿宋_GB2312" w:hint="eastAsia"/>
          <w:sz w:val="32"/>
          <w:szCs w:val="32"/>
        </w:rPr>
        <w:t>，证券期货经营机构应当向投资者充分披露资产管理计划的分级设计及相应风险、收益分配、风险控制等信息。</w:t>
      </w:r>
    </w:p>
    <w:p w14:paraId="742D456B"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第二十三条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证券期货经营机构可以设立基金中基金资产管理计划，将</w:t>
      </w:r>
      <w:r>
        <w:rPr>
          <w:rFonts w:ascii="仿宋_GB2312" w:eastAsia="仿宋_GB2312" w:hAnsi="仿宋_GB2312" w:cs="仿宋_GB2312" w:hint="eastAsia"/>
          <w:sz w:val="32"/>
          <w:szCs w:val="32"/>
        </w:rPr>
        <w:t>80%</w:t>
      </w:r>
      <w:r>
        <w:rPr>
          <w:rFonts w:ascii="仿宋_GB2312" w:eastAsia="仿宋_GB2312" w:hAnsi="仿宋_GB2312" w:cs="仿宋_GB2312" w:hint="eastAsia"/>
          <w:sz w:val="32"/>
          <w:szCs w:val="32"/>
        </w:rPr>
        <w:t>以上的资产管理计划资产投资于接受国务院金融监督管理机构监管的机构发行的资产管理产品，但不得违反本办法第四十四条、第四十五条以及中国证监会的其他规定。</w:t>
      </w:r>
    </w:p>
    <w:p w14:paraId="07CD064C" w14:textId="77777777" w:rsidR="00E12269" w:rsidRDefault="00414B7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证券期货经营机构应当向投资者充分披露基金中基金资产管理计划所投资资产管理产品的选择标准、资产管理计划发生的费用、投资管理人及管理人关联方所设立的资产管理产品的情况。</w:t>
      </w:r>
    </w:p>
    <w:p w14:paraId="5F773ECA" w14:textId="77777777" w:rsidR="00E12269" w:rsidRDefault="00414B7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本办法所称关联方按照《企业会计准则》的规定确定。</w:t>
      </w:r>
    </w:p>
    <w:p w14:paraId="7CB0B986"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第二十四条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证券期货经营机构可以设立管理人中管理人资产管理计划，</w:t>
      </w:r>
      <w:r>
        <w:rPr>
          <w:rFonts w:ascii="仿宋_GB2312" w:eastAsia="仿宋_GB2312" w:hAnsi="仿宋_GB2312" w:cs="仿宋_GB2312" w:hint="eastAsia"/>
          <w:sz w:val="32"/>
          <w:szCs w:val="32"/>
        </w:rPr>
        <w:t>具体规则由中国证监会另行制定。</w:t>
      </w:r>
    </w:p>
    <w:p w14:paraId="22CA4A55" w14:textId="77777777" w:rsidR="00E12269" w:rsidRDefault="00414B7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p>
    <w:p w14:paraId="45927413" w14:textId="77777777" w:rsidR="00E12269" w:rsidRDefault="00414B76">
      <w:pPr>
        <w:jc w:val="center"/>
        <w:rPr>
          <w:rFonts w:ascii="黑体" w:eastAsia="黑体" w:hAnsi="黑体" w:cs="黑体"/>
          <w:sz w:val="32"/>
          <w:szCs w:val="32"/>
        </w:rPr>
      </w:pPr>
      <w:r>
        <w:rPr>
          <w:rFonts w:ascii="黑体" w:eastAsia="黑体" w:hAnsi="黑体" w:cs="黑体" w:hint="eastAsia"/>
          <w:sz w:val="32"/>
          <w:szCs w:val="32"/>
        </w:rPr>
        <w:t>第四章</w:t>
      </w:r>
      <w:r>
        <w:rPr>
          <w:rFonts w:ascii="黑体" w:eastAsia="黑体" w:hAnsi="黑体" w:cs="黑体" w:hint="eastAsia"/>
          <w:sz w:val="32"/>
          <w:szCs w:val="32"/>
        </w:rPr>
        <w:t xml:space="preserve"> </w:t>
      </w:r>
      <w:r>
        <w:rPr>
          <w:rFonts w:ascii="黑体" w:eastAsia="黑体" w:hAnsi="黑体" w:cs="黑体" w:hint="eastAsia"/>
          <w:sz w:val="32"/>
          <w:szCs w:val="32"/>
        </w:rPr>
        <w:t>非公开</w:t>
      </w:r>
      <w:r>
        <w:rPr>
          <w:rFonts w:ascii="黑体" w:eastAsia="黑体" w:hAnsi="黑体" w:cs="黑体" w:hint="eastAsia"/>
          <w:sz w:val="32"/>
          <w:szCs w:val="32"/>
        </w:rPr>
        <w:t>募集</w:t>
      </w:r>
    </w:p>
    <w:p w14:paraId="1E7BC489" w14:textId="77777777" w:rsidR="00E12269" w:rsidRDefault="00E12269">
      <w:pPr>
        <w:autoSpaceDN w:val="0"/>
        <w:ind w:firstLine="600"/>
        <w:rPr>
          <w:rFonts w:ascii="仿宋_GB2312" w:eastAsia="仿宋_GB2312" w:hAnsi="仿宋_GB2312" w:cs="仿宋_GB2312"/>
          <w:sz w:val="32"/>
          <w:szCs w:val="32"/>
        </w:rPr>
      </w:pPr>
    </w:p>
    <w:p w14:paraId="0D2F8820"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第二十五条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资产管理计划应当</w:t>
      </w:r>
      <w:r>
        <w:rPr>
          <w:rFonts w:ascii="仿宋_GB2312" w:eastAsia="仿宋_GB2312" w:hAnsi="仿宋_GB2312" w:cs="仿宋_GB2312" w:hint="eastAsia"/>
          <w:sz w:val="32"/>
          <w:szCs w:val="32"/>
        </w:rPr>
        <w:t>以非公开方式</w:t>
      </w:r>
      <w:r>
        <w:rPr>
          <w:rFonts w:ascii="仿宋_GB2312" w:eastAsia="仿宋_GB2312" w:hAnsi="仿宋_GB2312" w:cs="仿宋_GB2312" w:hint="eastAsia"/>
          <w:sz w:val="32"/>
          <w:szCs w:val="32"/>
        </w:rPr>
        <w:t>向合格投资者</w:t>
      </w:r>
      <w:r>
        <w:rPr>
          <w:rFonts w:ascii="仿宋_GB2312" w:eastAsia="仿宋_GB2312" w:hAnsi="仿宋_GB2312" w:cs="仿宋_GB2312" w:hint="eastAsia"/>
          <w:sz w:val="32"/>
          <w:szCs w:val="32"/>
        </w:rPr>
        <w:t>募集</w:t>
      </w:r>
      <w:r>
        <w:rPr>
          <w:rFonts w:ascii="仿宋_GB2312" w:eastAsia="仿宋_GB2312" w:hAnsi="仿宋_GB2312" w:cs="仿宋_GB2312" w:hint="eastAsia"/>
          <w:sz w:val="32"/>
          <w:szCs w:val="32"/>
        </w:rPr>
        <w:t>。</w:t>
      </w:r>
    </w:p>
    <w:p w14:paraId="7385EA9F" w14:textId="77777777" w:rsidR="00E12269" w:rsidRDefault="00414B76">
      <w:pPr>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 xml:space="preserve">    </w:t>
      </w:r>
      <w:r>
        <w:rPr>
          <w:rFonts w:ascii="仿宋_GB2312" w:eastAsia="仿宋_GB2312" w:hAnsi="仿宋_GB2312" w:cs="仿宋_GB2312" w:hint="eastAsia"/>
          <w:sz w:val="32"/>
          <w:szCs w:val="32"/>
        </w:rPr>
        <w:t>证券期货经营机构、销售机构</w:t>
      </w:r>
      <w:r>
        <w:rPr>
          <w:rFonts w:ascii="仿宋_GB2312" w:eastAsia="仿宋_GB2312" w:hAnsi="仿宋_GB2312" w:cs="仿宋_GB2312" w:hint="eastAsia"/>
          <w:sz w:val="32"/>
          <w:szCs w:val="32"/>
        </w:rPr>
        <w:t>不得</w:t>
      </w:r>
      <w:r>
        <w:rPr>
          <w:rFonts w:ascii="仿宋_GB2312" w:eastAsia="仿宋_GB2312" w:hAnsi="仿宋_GB2312" w:cs="仿宋_GB2312" w:hint="eastAsia"/>
          <w:sz w:val="32"/>
          <w:szCs w:val="32"/>
        </w:rPr>
        <w:t>公开或变相公开募集资产管理计划，不得通过报刊、电台、电视、互联网等传播媒体或者讲座、报告会、传单、布告、自媒体等方式向不特定对象宣传具体资产管理计划</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 xml:space="preserve">    </w:t>
      </w:r>
    </w:p>
    <w:p w14:paraId="7386BC09" w14:textId="77777777" w:rsidR="00E12269" w:rsidRDefault="00414B7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证券期货经营机构不得设立多个资产管理计划，同时投资于同一非标准化资产，以变相突破投资者人数限制或者其他监管要求。</w:t>
      </w:r>
      <w:r>
        <w:rPr>
          <w:rFonts w:ascii="仿宋_GB2312" w:eastAsia="仿宋_GB2312" w:hAnsi="仿宋_GB2312" w:cs="仿宋_GB2312" w:hint="eastAsia"/>
          <w:sz w:val="32"/>
          <w:szCs w:val="32"/>
        </w:rPr>
        <w:t>单一主体及其关联方的非标准化资产，视为同一非标准化资产。</w:t>
      </w:r>
    </w:p>
    <w:p w14:paraId="12E8A33A" w14:textId="77777777" w:rsidR="00E12269" w:rsidRDefault="00414B7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任何</w:t>
      </w:r>
      <w:r>
        <w:rPr>
          <w:rFonts w:ascii="仿宋_GB2312" w:eastAsia="仿宋_GB2312" w:hAnsi="仿宋_GB2312" w:cs="仿宋_GB2312" w:hint="eastAsia"/>
          <w:sz w:val="32"/>
          <w:szCs w:val="32"/>
        </w:rPr>
        <w:t>单位</w:t>
      </w:r>
      <w:r>
        <w:rPr>
          <w:rFonts w:ascii="仿宋_GB2312" w:eastAsia="仿宋_GB2312" w:hAnsi="仿宋_GB2312" w:cs="仿宋_GB2312" w:hint="eastAsia"/>
          <w:sz w:val="32"/>
          <w:szCs w:val="32"/>
        </w:rPr>
        <w:t>和个人不得</w:t>
      </w:r>
      <w:r>
        <w:rPr>
          <w:rFonts w:ascii="仿宋_GB2312" w:eastAsia="仿宋_GB2312" w:hAnsi="仿宋_GB2312" w:cs="仿宋_GB2312" w:hint="eastAsia"/>
          <w:sz w:val="32"/>
          <w:szCs w:val="32"/>
        </w:rPr>
        <w:t>以</w:t>
      </w:r>
      <w:r>
        <w:rPr>
          <w:rFonts w:ascii="仿宋_GB2312" w:eastAsia="仿宋_GB2312" w:hAnsi="仿宋_GB2312" w:cs="仿宋_GB2312" w:hint="eastAsia"/>
          <w:sz w:val="32"/>
          <w:szCs w:val="32"/>
        </w:rPr>
        <w:t>拆分份额或者转让份额收</w:t>
      </w:r>
      <w:r>
        <w:rPr>
          <w:rFonts w:ascii="仿宋_GB2312" w:eastAsia="仿宋_GB2312" w:hAnsi="仿宋_GB2312" w:cs="仿宋_GB2312" w:hint="eastAsia"/>
          <w:sz w:val="32"/>
          <w:szCs w:val="32"/>
        </w:rPr>
        <w:t>（受）</w:t>
      </w:r>
      <w:r>
        <w:rPr>
          <w:rFonts w:ascii="仿宋_GB2312" w:eastAsia="仿宋_GB2312" w:hAnsi="仿宋_GB2312" w:cs="仿宋_GB2312" w:hint="eastAsia"/>
          <w:sz w:val="32"/>
          <w:szCs w:val="32"/>
        </w:rPr>
        <w:t>益权等方式，变相</w:t>
      </w:r>
      <w:r>
        <w:rPr>
          <w:rFonts w:ascii="仿宋_GB2312" w:eastAsia="仿宋_GB2312" w:hAnsi="仿宋_GB2312" w:cs="仿宋_GB2312" w:hint="eastAsia"/>
          <w:sz w:val="32"/>
          <w:szCs w:val="32"/>
        </w:rPr>
        <w:t>突破合格投资者标准或人数限制。</w:t>
      </w:r>
    </w:p>
    <w:p w14:paraId="01CAA896"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第二十六条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证券期货经营机构募集资产管理计划，应当与投资者、托管人签订资产管理合同。资产管理合同应当包括《证券投资基金法》第九十二条、第九十三条规定的内容。</w:t>
      </w:r>
    </w:p>
    <w:p w14:paraId="56B24507" w14:textId="77777777" w:rsidR="00E12269" w:rsidRDefault="00414B7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资产管理合同应当对巨额退出、延期支付、延期清算、管理人变更或者托管人变更等或有</w:t>
      </w:r>
      <w:r>
        <w:rPr>
          <w:rFonts w:ascii="仿宋_GB2312" w:eastAsia="仿宋_GB2312" w:hAnsi="仿宋_GB2312" w:cs="仿宋_GB2312" w:hint="eastAsia"/>
          <w:sz w:val="32"/>
          <w:szCs w:val="32"/>
        </w:rPr>
        <w:t>事项，</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明确约定。</w:t>
      </w:r>
    </w:p>
    <w:p w14:paraId="100F02C7"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第二十七条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证券期货经营机构和</w:t>
      </w:r>
      <w:r>
        <w:rPr>
          <w:rFonts w:ascii="仿宋_GB2312" w:eastAsia="仿宋_GB2312" w:hAnsi="仿宋_GB2312" w:cs="仿宋_GB2312" w:hint="eastAsia"/>
          <w:sz w:val="32"/>
          <w:szCs w:val="32"/>
        </w:rPr>
        <w:t>销售机构</w:t>
      </w:r>
      <w:r>
        <w:rPr>
          <w:rFonts w:ascii="仿宋_GB2312" w:eastAsia="仿宋_GB2312" w:hAnsi="仿宋_GB2312" w:cs="仿宋_GB2312" w:hint="eastAsia"/>
          <w:sz w:val="32"/>
          <w:szCs w:val="32"/>
        </w:rPr>
        <w:t>在募集资产管理计划过程中，应当按照中国证监会的规定，严格履行适当性管理义务</w:t>
      </w:r>
      <w:r>
        <w:rPr>
          <w:rFonts w:ascii="仿宋_GB2312" w:eastAsia="仿宋_GB2312" w:hAnsi="仿宋_GB2312" w:cs="仿宋_GB2312" w:hint="eastAsia"/>
          <w:sz w:val="32"/>
          <w:szCs w:val="32"/>
        </w:rPr>
        <w:t>，充分了解投资者，对投资者进行分类，对资产管理计划进行风险评级，遵循风险匹配原则，向投资者推荐适当的产品，</w:t>
      </w:r>
      <w:r>
        <w:rPr>
          <w:rFonts w:ascii="仿宋_GB2312" w:eastAsia="仿宋_GB2312" w:hAnsi="仿宋_GB2312" w:cs="仿宋_GB2312" w:hint="eastAsia"/>
          <w:sz w:val="32"/>
          <w:szCs w:val="32"/>
        </w:rPr>
        <w:lastRenderedPageBreak/>
        <w:t>禁止误导投资者购买与其风险承受能力不相符合的产品，禁止向风险识别能力和风险承受能力低于产品风险等级的投资者销售资产管理计划。</w:t>
      </w:r>
    </w:p>
    <w:p w14:paraId="2AEA3F9F" w14:textId="77777777" w:rsidR="00E12269" w:rsidRDefault="00414B7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投资者应当</w:t>
      </w:r>
      <w:r>
        <w:rPr>
          <w:rFonts w:ascii="仿宋_GB2312" w:eastAsia="仿宋_GB2312" w:hAnsi="仿宋_GB2312" w:cs="仿宋_GB2312" w:hint="eastAsia"/>
          <w:sz w:val="32"/>
          <w:szCs w:val="32"/>
        </w:rPr>
        <w:t>以真实身份</w:t>
      </w:r>
      <w:r>
        <w:rPr>
          <w:rFonts w:ascii="仿宋_GB2312" w:eastAsia="仿宋_GB2312" w:hAnsi="仿宋_GB2312" w:cs="仿宋_GB2312" w:hint="eastAsia"/>
          <w:sz w:val="32"/>
          <w:szCs w:val="32"/>
        </w:rPr>
        <w:t>和</w:t>
      </w:r>
      <w:r>
        <w:rPr>
          <w:rFonts w:ascii="仿宋_GB2312" w:eastAsia="仿宋_GB2312" w:hAnsi="仿宋_GB2312" w:cs="仿宋_GB2312" w:hint="eastAsia"/>
          <w:sz w:val="32"/>
          <w:szCs w:val="32"/>
        </w:rPr>
        <w:t>自有资金</w:t>
      </w:r>
      <w:r>
        <w:rPr>
          <w:rFonts w:ascii="仿宋_GB2312" w:eastAsia="仿宋_GB2312" w:hAnsi="仿宋_GB2312" w:cs="仿宋_GB2312" w:hint="eastAsia"/>
          <w:sz w:val="32"/>
          <w:szCs w:val="32"/>
        </w:rPr>
        <w:t>参与资产管理计划，</w:t>
      </w:r>
      <w:r>
        <w:rPr>
          <w:rFonts w:ascii="仿宋_GB2312" w:eastAsia="仿宋_GB2312" w:hAnsi="仿宋_GB2312" w:cs="仿宋_GB2312" w:hint="eastAsia"/>
          <w:sz w:val="32"/>
          <w:szCs w:val="32"/>
        </w:rPr>
        <w:t>并承诺委托</w:t>
      </w:r>
      <w:r>
        <w:rPr>
          <w:rFonts w:ascii="仿宋_GB2312" w:eastAsia="仿宋_GB2312" w:hAnsi="仿宋_GB2312" w:cs="仿宋_GB2312" w:hint="eastAsia"/>
          <w:sz w:val="32"/>
          <w:szCs w:val="32"/>
        </w:rPr>
        <w:t>资金</w:t>
      </w:r>
      <w:r>
        <w:rPr>
          <w:rFonts w:ascii="仿宋_GB2312" w:eastAsia="仿宋_GB2312" w:hAnsi="仿宋_GB2312" w:cs="仿宋_GB2312" w:hint="eastAsia"/>
          <w:sz w:val="32"/>
          <w:szCs w:val="32"/>
        </w:rPr>
        <w:t>的</w:t>
      </w:r>
      <w:r>
        <w:rPr>
          <w:rFonts w:ascii="仿宋_GB2312" w:eastAsia="仿宋_GB2312" w:hAnsi="仿宋_GB2312" w:cs="仿宋_GB2312" w:hint="eastAsia"/>
          <w:sz w:val="32"/>
          <w:szCs w:val="32"/>
        </w:rPr>
        <w:t>来源符合法律、行政法规的规定。投资者未作承诺，或者</w:t>
      </w:r>
      <w:r>
        <w:rPr>
          <w:rFonts w:ascii="仿宋_GB2312" w:eastAsia="仿宋_GB2312" w:hAnsi="仿宋_GB2312" w:cs="仿宋_GB2312" w:hint="eastAsia"/>
          <w:sz w:val="32"/>
          <w:szCs w:val="32"/>
        </w:rPr>
        <w:t>证券期货经营机构、销售</w:t>
      </w:r>
      <w:r>
        <w:rPr>
          <w:rFonts w:ascii="仿宋_GB2312" w:eastAsia="仿宋_GB2312" w:hAnsi="仿宋_GB2312" w:cs="仿宋_GB2312" w:hint="eastAsia"/>
          <w:sz w:val="32"/>
          <w:szCs w:val="32"/>
        </w:rPr>
        <w:t>机构</w:t>
      </w:r>
      <w:r>
        <w:rPr>
          <w:rFonts w:ascii="仿宋_GB2312" w:eastAsia="仿宋_GB2312" w:hAnsi="仿宋_GB2312" w:cs="仿宋_GB2312" w:hint="eastAsia"/>
          <w:sz w:val="32"/>
          <w:szCs w:val="32"/>
        </w:rPr>
        <w:t>知道或者应当知道投资者</w:t>
      </w:r>
      <w:r>
        <w:rPr>
          <w:rFonts w:ascii="仿宋_GB2312" w:eastAsia="仿宋_GB2312" w:hAnsi="仿宋_GB2312" w:cs="仿宋_GB2312" w:hint="eastAsia"/>
          <w:sz w:val="32"/>
          <w:szCs w:val="32"/>
        </w:rPr>
        <w:t>身份不真实、委托资金来源不合法的，</w:t>
      </w:r>
      <w:r>
        <w:rPr>
          <w:rFonts w:ascii="仿宋_GB2312" w:eastAsia="仿宋_GB2312" w:hAnsi="仿宋_GB2312" w:cs="仿宋_GB2312" w:hint="eastAsia"/>
          <w:sz w:val="32"/>
          <w:szCs w:val="32"/>
        </w:rPr>
        <w:t>证券期货经营机构、</w:t>
      </w:r>
      <w:r>
        <w:rPr>
          <w:rFonts w:ascii="仿宋_GB2312" w:eastAsia="仿宋_GB2312" w:hAnsi="仿宋_GB2312" w:cs="仿宋_GB2312" w:hint="eastAsia"/>
          <w:sz w:val="32"/>
          <w:szCs w:val="32"/>
        </w:rPr>
        <w:t>销售</w:t>
      </w:r>
      <w:r>
        <w:rPr>
          <w:rFonts w:ascii="仿宋_GB2312" w:eastAsia="仿宋_GB2312" w:hAnsi="仿宋_GB2312" w:cs="仿宋_GB2312" w:hint="eastAsia"/>
          <w:sz w:val="32"/>
          <w:szCs w:val="32"/>
        </w:rPr>
        <w:t>机构</w:t>
      </w:r>
      <w:r>
        <w:rPr>
          <w:rFonts w:ascii="仿宋_GB2312" w:eastAsia="仿宋_GB2312" w:hAnsi="仿宋_GB2312" w:cs="仿宋_GB2312" w:hint="eastAsia"/>
          <w:sz w:val="32"/>
          <w:szCs w:val="32"/>
        </w:rPr>
        <w:t>不得接受其参与资产管理计划。</w:t>
      </w:r>
      <w:r>
        <w:rPr>
          <w:rFonts w:ascii="仿宋_GB2312" w:eastAsia="仿宋_GB2312" w:hAnsi="仿宋_GB2312" w:cs="仿宋_GB2312" w:hint="eastAsia"/>
          <w:sz w:val="32"/>
          <w:szCs w:val="32"/>
        </w:rPr>
        <w:t xml:space="preserve">  </w:t>
      </w:r>
    </w:p>
    <w:p w14:paraId="77977A7E"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第二十八条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销售</w:t>
      </w:r>
      <w:r>
        <w:rPr>
          <w:rFonts w:ascii="仿宋_GB2312" w:eastAsia="仿宋_GB2312" w:hAnsi="仿宋_GB2312" w:cs="仿宋_GB2312" w:hint="eastAsia"/>
          <w:sz w:val="32"/>
          <w:szCs w:val="32"/>
        </w:rPr>
        <w:t>机构应当</w:t>
      </w:r>
      <w:r>
        <w:rPr>
          <w:rFonts w:ascii="仿宋_GB2312" w:eastAsia="仿宋_GB2312" w:hAnsi="仿宋_GB2312" w:cs="仿宋_GB2312" w:hint="eastAsia"/>
          <w:sz w:val="32"/>
          <w:szCs w:val="32"/>
        </w:rPr>
        <w:t>在募集结束后十个工作日内，</w:t>
      </w:r>
      <w:r>
        <w:rPr>
          <w:rFonts w:ascii="仿宋_GB2312" w:eastAsia="仿宋_GB2312" w:hAnsi="仿宋_GB2312" w:cs="仿宋_GB2312" w:hint="eastAsia"/>
          <w:sz w:val="32"/>
          <w:szCs w:val="32"/>
        </w:rPr>
        <w:t>将</w:t>
      </w:r>
      <w:r>
        <w:rPr>
          <w:rFonts w:ascii="仿宋_GB2312" w:eastAsia="仿宋_GB2312" w:hAnsi="仿宋_GB2312" w:cs="仿宋_GB2312" w:hint="eastAsia"/>
          <w:sz w:val="32"/>
          <w:szCs w:val="32"/>
        </w:rPr>
        <w:t>销售</w:t>
      </w:r>
      <w:r>
        <w:rPr>
          <w:rFonts w:ascii="仿宋_GB2312" w:eastAsia="仿宋_GB2312" w:hAnsi="仿宋_GB2312" w:cs="仿宋_GB2312" w:hint="eastAsia"/>
          <w:sz w:val="32"/>
          <w:szCs w:val="32"/>
        </w:rPr>
        <w:t>过程中产生和保存的</w:t>
      </w:r>
      <w:r>
        <w:rPr>
          <w:rFonts w:ascii="仿宋_GB2312" w:eastAsia="仿宋_GB2312" w:hAnsi="仿宋_GB2312" w:cs="仿宋_GB2312" w:hint="eastAsia"/>
          <w:sz w:val="32"/>
          <w:szCs w:val="32"/>
        </w:rPr>
        <w:t>投资者</w:t>
      </w:r>
      <w:r>
        <w:rPr>
          <w:rFonts w:ascii="仿宋_GB2312" w:eastAsia="仿宋_GB2312" w:hAnsi="仿宋_GB2312" w:cs="仿宋_GB2312" w:hint="eastAsia"/>
          <w:sz w:val="32"/>
          <w:szCs w:val="32"/>
        </w:rPr>
        <w:t>信息及资料全面、准确、及时提供给</w:t>
      </w:r>
      <w:r>
        <w:rPr>
          <w:rFonts w:ascii="仿宋_GB2312" w:eastAsia="仿宋_GB2312" w:hAnsi="仿宋_GB2312" w:cs="仿宋_GB2312" w:hint="eastAsia"/>
          <w:sz w:val="32"/>
          <w:szCs w:val="32"/>
        </w:rPr>
        <w:t>证券期货经营机构</w:t>
      </w:r>
      <w:r>
        <w:rPr>
          <w:rFonts w:ascii="仿宋_GB2312" w:eastAsia="仿宋_GB2312" w:hAnsi="仿宋_GB2312" w:cs="仿宋_GB2312" w:hint="eastAsia"/>
          <w:sz w:val="32"/>
          <w:szCs w:val="32"/>
        </w:rPr>
        <w:t>。</w:t>
      </w:r>
    </w:p>
    <w:p w14:paraId="09433BC6" w14:textId="77777777" w:rsidR="00E12269" w:rsidRDefault="00414B7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资产管理计划存续期间持续销售的，销售机构应当在销售行为完成后五个工作日内，</w:t>
      </w:r>
      <w:r>
        <w:rPr>
          <w:rFonts w:ascii="仿宋_GB2312" w:eastAsia="仿宋_GB2312" w:hAnsi="仿宋_GB2312" w:cs="仿宋_GB2312" w:hint="eastAsia"/>
          <w:sz w:val="32"/>
          <w:szCs w:val="32"/>
        </w:rPr>
        <w:t>将</w:t>
      </w:r>
      <w:r>
        <w:rPr>
          <w:rFonts w:ascii="仿宋_GB2312" w:eastAsia="仿宋_GB2312" w:hAnsi="仿宋_GB2312" w:cs="仿宋_GB2312" w:hint="eastAsia"/>
          <w:sz w:val="32"/>
          <w:szCs w:val="32"/>
        </w:rPr>
        <w:t>销售</w:t>
      </w:r>
      <w:r>
        <w:rPr>
          <w:rFonts w:ascii="仿宋_GB2312" w:eastAsia="仿宋_GB2312" w:hAnsi="仿宋_GB2312" w:cs="仿宋_GB2312" w:hint="eastAsia"/>
          <w:sz w:val="32"/>
          <w:szCs w:val="32"/>
        </w:rPr>
        <w:t>过程中产生和保存的</w:t>
      </w:r>
      <w:r>
        <w:rPr>
          <w:rFonts w:ascii="仿宋_GB2312" w:eastAsia="仿宋_GB2312" w:hAnsi="仿宋_GB2312" w:cs="仿宋_GB2312" w:hint="eastAsia"/>
          <w:sz w:val="32"/>
          <w:szCs w:val="32"/>
        </w:rPr>
        <w:t>投资者</w:t>
      </w:r>
      <w:r>
        <w:rPr>
          <w:rFonts w:ascii="仿宋_GB2312" w:eastAsia="仿宋_GB2312" w:hAnsi="仿宋_GB2312" w:cs="仿宋_GB2312" w:hint="eastAsia"/>
          <w:sz w:val="32"/>
          <w:szCs w:val="32"/>
        </w:rPr>
        <w:t>信息及资料全面、准确、及时提供给</w:t>
      </w:r>
      <w:r>
        <w:rPr>
          <w:rFonts w:ascii="仿宋_GB2312" w:eastAsia="仿宋_GB2312" w:hAnsi="仿宋_GB2312" w:cs="仿宋_GB2312" w:hint="eastAsia"/>
          <w:sz w:val="32"/>
          <w:szCs w:val="32"/>
        </w:rPr>
        <w:t>证券期货经营机构</w:t>
      </w:r>
      <w:r>
        <w:rPr>
          <w:rFonts w:ascii="仿宋_GB2312" w:eastAsia="仿宋_GB2312" w:hAnsi="仿宋_GB2312" w:cs="仿宋_GB2312" w:hint="eastAsia"/>
          <w:sz w:val="32"/>
          <w:szCs w:val="32"/>
        </w:rPr>
        <w:t>。</w:t>
      </w:r>
    </w:p>
    <w:p w14:paraId="7358C21D"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第二十九条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集合资产管理计划募集期间，证券期货经营机构、销售机构应当在规定期限内，将投资者参与资金存入集合资产管理计划份额登记机构指定的专门账户。集合资产管理计划成立前，任何机构和个人不得动用投资者参与资金。</w:t>
      </w:r>
    </w:p>
    <w:p w14:paraId="2F1BD2AA" w14:textId="77777777" w:rsidR="00E12269" w:rsidRDefault="00414B7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按照前款规定存入专门账户的投资者参与资金，独立于证券</w:t>
      </w:r>
      <w:r>
        <w:rPr>
          <w:rFonts w:ascii="仿宋_GB2312" w:eastAsia="仿宋_GB2312" w:hAnsi="仿宋_GB2312" w:cs="仿宋_GB2312" w:hint="eastAsia"/>
          <w:sz w:val="32"/>
          <w:szCs w:val="32"/>
        </w:rPr>
        <w:lastRenderedPageBreak/>
        <w:t>期货经营机构、销售机构的固有财产。非因投资者本身的债务或者法律规定的其他情形，不得查封、冻结、扣划或者强制执行存入专门账户的投资者参与资金。</w:t>
      </w:r>
    </w:p>
    <w:p w14:paraId="596D8E9C"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集合资产管理计划成立应当具备下列条件：</w:t>
      </w:r>
    </w:p>
    <w:p w14:paraId="5B04E21E" w14:textId="77777777" w:rsidR="00E12269" w:rsidRDefault="00414B76">
      <w:pPr>
        <w:numPr>
          <w:ilvl w:val="0"/>
          <w:numId w:val="7"/>
        </w:numPr>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募集过程符合法律、行政法规和中国证监会的规定；</w:t>
      </w:r>
    </w:p>
    <w:p w14:paraId="656384DE" w14:textId="77777777" w:rsidR="00E12269" w:rsidRDefault="00414B76">
      <w:pPr>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募集金</w:t>
      </w:r>
      <w:r>
        <w:rPr>
          <w:rFonts w:ascii="仿宋_GB2312" w:eastAsia="仿宋_GB2312" w:hAnsi="仿宋_GB2312" w:cs="仿宋_GB2312" w:hint="eastAsia"/>
          <w:sz w:val="32"/>
          <w:szCs w:val="32"/>
        </w:rPr>
        <w:t>额达到</w:t>
      </w:r>
      <w:r>
        <w:rPr>
          <w:rFonts w:ascii="仿宋_GB2312" w:eastAsia="仿宋_GB2312" w:hAnsi="仿宋_GB2312" w:cs="仿宋_GB2312" w:hint="eastAsia"/>
          <w:sz w:val="32"/>
          <w:szCs w:val="32"/>
        </w:rPr>
        <w:t>资产管理合同约定</w:t>
      </w:r>
      <w:r>
        <w:rPr>
          <w:rFonts w:ascii="仿宋_GB2312" w:eastAsia="仿宋_GB2312" w:hAnsi="仿宋_GB2312" w:cs="仿宋_GB2312" w:hint="eastAsia"/>
          <w:sz w:val="32"/>
          <w:szCs w:val="32"/>
        </w:rPr>
        <w:t>的成立规模</w:t>
      </w:r>
      <w:r>
        <w:rPr>
          <w:rFonts w:ascii="仿宋_GB2312" w:eastAsia="仿宋_GB2312" w:hAnsi="仿宋_GB2312" w:cs="仿宋_GB2312" w:hint="eastAsia"/>
          <w:sz w:val="32"/>
          <w:szCs w:val="32"/>
        </w:rPr>
        <w:t>，且不违反中国证监会规定的</w:t>
      </w:r>
      <w:proofErr w:type="gramStart"/>
      <w:r>
        <w:rPr>
          <w:rFonts w:ascii="仿宋_GB2312" w:eastAsia="仿宋_GB2312" w:hAnsi="仿宋_GB2312" w:cs="仿宋_GB2312" w:hint="eastAsia"/>
          <w:sz w:val="32"/>
          <w:szCs w:val="32"/>
        </w:rPr>
        <w:t>最低成立</w:t>
      </w:r>
      <w:proofErr w:type="gramEnd"/>
      <w:r>
        <w:rPr>
          <w:rFonts w:ascii="仿宋_GB2312" w:eastAsia="仿宋_GB2312" w:hAnsi="仿宋_GB2312" w:cs="仿宋_GB2312" w:hint="eastAsia"/>
          <w:sz w:val="32"/>
          <w:szCs w:val="32"/>
        </w:rPr>
        <w:t>规模</w:t>
      </w:r>
      <w:r>
        <w:rPr>
          <w:rFonts w:ascii="仿宋_GB2312" w:eastAsia="仿宋_GB2312" w:hAnsi="仿宋_GB2312" w:cs="仿宋_GB2312" w:hint="eastAsia"/>
          <w:sz w:val="32"/>
          <w:szCs w:val="32"/>
        </w:rPr>
        <w:t>；</w:t>
      </w:r>
    </w:p>
    <w:p w14:paraId="35ED2F09" w14:textId="77777777" w:rsidR="00E12269" w:rsidRDefault="00414B76">
      <w:pPr>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（三）投资者人数不少于</w:t>
      </w: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人；</w:t>
      </w:r>
    </w:p>
    <w:p w14:paraId="673245CF" w14:textId="77777777" w:rsidR="00E12269" w:rsidRDefault="00414B76">
      <w:pPr>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四</w:t>
      </w:r>
      <w:r>
        <w:rPr>
          <w:rFonts w:ascii="仿宋_GB2312" w:eastAsia="仿宋_GB2312" w:hAnsi="仿宋_GB2312" w:cs="仿宋_GB2312" w:hint="eastAsia"/>
          <w:sz w:val="32"/>
          <w:szCs w:val="32"/>
        </w:rPr>
        <w:t>）符合</w:t>
      </w:r>
      <w:r>
        <w:rPr>
          <w:rFonts w:ascii="仿宋_GB2312" w:eastAsia="仿宋_GB2312" w:hAnsi="仿宋_GB2312" w:cs="仿宋_GB2312" w:hint="eastAsia"/>
          <w:sz w:val="32"/>
          <w:szCs w:val="32"/>
        </w:rPr>
        <w:t>中国证监会规定以及资产管理合同约定的其他条件。</w:t>
      </w:r>
    </w:p>
    <w:p w14:paraId="0EACF25D"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第三十一条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集合资产管理计划</w:t>
      </w:r>
      <w:r>
        <w:rPr>
          <w:rFonts w:ascii="仿宋_GB2312" w:eastAsia="仿宋_GB2312" w:hAnsi="仿宋_GB2312" w:cs="仿宋_GB2312" w:hint="eastAsia"/>
          <w:sz w:val="32"/>
          <w:szCs w:val="32"/>
        </w:rPr>
        <w:t>的募集金额缴足之日起</w:t>
      </w:r>
      <w:r>
        <w:rPr>
          <w:rFonts w:ascii="仿宋_GB2312" w:eastAsia="仿宋_GB2312" w:hAnsi="仿宋_GB2312" w:cs="仿宋_GB2312" w:hint="eastAsia"/>
          <w:sz w:val="32"/>
          <w:szCs w:val="32"/>
        </w:rPr>
        <w:t>十个工作日内，</w:t>
      </w:r>
      <w:r>
        <w:rPr>
          <w:rFonts w:ascii="仿宋_GB2312" w:eastAsia="仿宋_GB2312" w:hAnsi="仿宋_GB2312" w:cs="仿宋_GB2312" w:hint="eastAsia"/>
          <w:sz w:val="32"/>
          <w:szCs w:val="32"/>
        </w:rPr>
        <w:t>证券期货经营机构应当委托</w:t>
      </w:r>
      <w:r>
        <w:rPr>
          <w:rFonts w:ascii="仿宋_GB2312" w:eastAsia="仿宋_GB2312" w:hAnsi="仿宋_GB2312" w:cs="仿宋_GB2312" w:hint="eastAsia"/>
          <w:sz w:val="32"/>
          <w:szCs w:val="32"/>
        </w:rPr>
        <w:t>具有证券相关业务资格的会计师事务所进行验资</w:t>
      </w:r>
      <w:r>
        <w:rPr>
          <w:rFonts w:ascii="仿宋_GB2312" w:eastAsia="仿宋_GB2312" w:hAnsi="仿宋_GB2312" w:cs="仿宋_GB2312" w:hint="eastAsia"/>
          <w:sz w:val="32"/>
          <w:szCs w:val="32"/>
        </w:rPr>
        <w:t>并出具验资报告。</w:t>
      </w:r>
    </w:p>
    <w:p w14:paraId="1BDA9D4C" w14:textId="77777777" w:rsidR="00E12269" w:rsidRDefault="00414B7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集合资产管理计划在取得验资报告后，由证券期货经营机构公告资产管理计划成立；单一资产管理计划在受托资产入账后，由证券期货经营机构书面通知投资者资产管理计划成立。</w:t>
      </w:r>
    </w:p>
    <w:p w14:paraId="2CD13956" w14:textId="77777777" w:rsidR="00E12269" w:rsidRDefault="00414B76">
      <w:pPr>
        <w:ind w:firstLineChars="200" w:firstLine="640"/>
        <w:rPr>
          <w:rStyle w:val="a6"/>
          <w:rFonts w:ascii="仿宋_GB2312" w:eastAsia="仿宋_GB2312" w:hAnsi="仿宋_GB2312" w:cs="仿宋_GB2312"/>
          <w:sz w:val="32"/>
          <w:szCs w:val="32"/>
        </w:rPr>
      </w:pPr>
      <w:r>
        <w:rPr>
          <w:rFonts w:ascii="黑体" w:eastAsia="黑体" w:hAnsi="黑体" w:cs="黑体" w:hint="eastAsia"/>
          <w:sz w:val="32"/>
          <w:szCs w:val="32"/>
        </w:rPr>
        <w:t>第三十二条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证券期货经营机构应当在资产管理计划成立之日起五个工作日内，将资产管理合同、</w:t>
      </w:r>
      <w:r>
        <w:rPr>
          <w:rStyle w:val="a6"/>
          <w:rFonts w:ascii="仿宋_GB2312" w:eastAsia="仿宋_GB2312" w:hAnsi="仿宋_GB2312" w:cs="仿宋_GB2312" w:hint="eastAsia"/>
          <w:sz w:val="32"/>
          <w:szCs w:val="32"/>
        </w:rPr>
        <w:t>投资者名单与认购金额、验资报告或者资产缴付证明等材料报证券投资基金业协会备案，</w:t>
      </w:r>
      <w:r>
        <w:rPr>
          <w:rStyle w:val="a6"/>
          <w:rFonts w:ascii="仿宋_GB2312" w:eastAsia="仿宋_GB2312" w:hAnsi="仿宋_GB2312" w:cs="仿宋_GB2312" w:hint="eastAsia"/>
          <w:sz w:val="32"/>
          <w:szCs w:val="32"/>
        </w:rPr>
        <w:lastRenderedPageBreak/>
        <w:t>并抄报中国证监会相关派出机构。</w:t>
      </w:r>
    </w:p>
    <w:p w14:paraId="71917214" w14:textId="77777777" w:rsidR="00E12269" w:rsidRDefault="00414B76">
      <w:pPr>
        <w:rPr>
          <w:rStyle w:val="a6"/>
          <w:rFonts w:ascii="仿宋_GB2312" w:eastAsia="仿宋_GB2312" w:hAnsi="仿宋_GB2312" w:cs="仿宋_GB2312"/>
          <w:sz w:val="32"/>
          <w:szCs w:val="32"/>
        </w:rPr>
      </w:pPr>
      <w:r>
        <w:rPr>
          <w:rStyle w:val="a6"/>
          <w:rFonts w:ascii="仿宋_GB2312" w:eastAsia="仿宋_GB2312" w:hAnsi="仿宋_GB2312" w:cs="仿宋_GB2312" w:hint="eastAsia"/>
          <w:sz w:val="32"/>
          <w:szCs w:val="32"/>
        </w:rPr>
        <w:t xml:space="preserve">    </w:t>
      </w:r>
      <w:r>
        <w:rPr>
          <w:rStyle w:val="a6"/>
          <w:rFonts w:ascii="仿宋_GB2312" w:eastAsia="仿宋_GB2312" w:hAnsi="仿宋_GB2312" w:cs="仿宋_GB2312" w:hint="eastAsia"/>
          <w:sz w:val="32"/>
          <w:szCs w:val="32"/>
        </w:rPr>
        <w:t>资产管理计划完成备案前不得开展投资活动，</w:t>
      </w:r>
      <w:r>
        <w:rPr>
          <w:rFonts w:ascii="仿宋_GB2312" w:eastAsia="仿宋_GB2312" w:hAnsi="仿宋_GB2312" w:cs="仿宋_GB2312" w:hint="eastAsia"/>
          <w:sz w:val="32"/>
          <w:szCs w:val="32"/>
        </w:rPr>
        <w:t>以现金管理为目的，投资于银行活期存款、国债、中央银行票据、政策性金融债、地方政府债券、货币市场基金等中国证</w:t>
      </w:r>
      <w:r>
        <w:rPr>
          <w:rFonts w:ascii="仿宋_GB2312" w:eastAsia="仿宋_GB2312" w:hAnsi="仿宋_GB2312" w:cs="仿宋_GB2312" w:hint="eastAsia"/>
          <w:sz w:val="32"/>
          <w:szCs w:val="32"/>
        </w:rPr>
        <w:t>监会认可的投资品种的除外。</w:t>
      </w:r>
    </w:p>
    <w:p w14:paraId="73D2614C" w14:textId="77777777" w:rsidR="00E12269" w:rsidRDefault="00414B76">
      <w:pPr>
        <w:ind w:firstLineChars="200" w:firstLine="640"/>
        <w:rPr>
          <w:rStyle w:val="a6"/>
          <w:rFonts w:ascii="仿宋_GB2312" w:eastAsia="仿宋_GB2312" w:hAnsi="仿宋_GB2312" w:cs="仿宋_GB2312"/>
          <w:sz w:val="32"/>
          <w:szCs w:val="32"/>
        </w:rPr>
      </w:pPr>
      <w:r>
        <w:rPr>
          <w:rStyle w:val="a6"/>
          <w:rFonts w:ascii="仿宋_GB2312" w:eastAsia="仿宋_GB2312" w:hAnsi="仿宋_GB2312" w:cs="仿宋_GB2312" w:hint="eastAsia"/>
          <w:sz w:val="32"/>
          <w:szCs w:val="32"/>
        </w:rPr>
        <w:t>证券投资基金业协会应当制定资产管理计划备案规则，明确工作程序和期限，并向社会公开。</w:t>
      </w:r>
      <w:bookmarkStart w:id="0" w:name="TBS0_0"/>
      <w:bookmarkEnd w:id="0"/>
    </w:p>
    <w:p w14:paraId="68EBA083"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第三十三条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证券期货经营机构应当在资产管理合同约定的募集期内，完成集合资产管理计划的募集。募集</w:t>
      </w:r>
      <w:r>
        <w:rPr>
          <w:rFonts w:ascii="仿宋_GB2312" w:eastAsia="仿宋_GB2312" w:hAnsi="仿宋_GB2312" w:cs="仿宋_GB2312" w:hint="eastAsia"/>
          <w:sz w:val="32"/>
          <w:szCs w:val="32"/>
        </w:rPr>
        <w:t>期届满</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集合资产管理计划</w:t>
      </w:r>
      <w:r>
        <w:rPr>
          <w:rFonts w:ascii="仿宋_GB2312" w:eastAsia="仿宋_GB2312" w:hAnsi="仿宋_GB2312" w:cs="仿宋_GB2312" w:hint="eastAsia"/>
          <w:sz w:val="32"/>
          <w:szCs w:val="32"/>
        </w:rPr>
        <w:t>未达到本办法第三十条规定的成立条件的</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证券期货经营机构</w:t>
      </w:r>
      <w:r>
        <w:rPr>
          <w:rFonts w:ascii="仿宋_GB2312" w:eastAsia="仿宋_GB2312" w:hAnsi="仿宋_GB2312" w:cs="仿宋_GB2312" w:hint="eastAsia"/>
          <w:sz w:val="32"/>
          <w:szCs w:val="32"/>
        </w:rPr>
        <w:t>应当承担下列责任：</w:t>
      </w:r>
    </w:p>
    <w:p w14:paraId="32799DD4" w14:textId="77777777" w:rsidR="00E12269" w:rsidRDefault="00414B7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（一）以其固有财产承担因</w:t>
      </w:r>
      <w:r>
        <w:rPr>
          <w:rFonts w:ascii="仿宋_GB2312" w:eastAsia="仿宋_GB2312" w:hAnsi="仿宋_GB2312" w:cs="仿宋_GB2312" w:hint="eastAsia"/>
          <w:sz w:val="32"/>
          <w:szCs w:val="32"/>
        </w:rPr>
        <w:t>募集</w:t>
      </w:r>
      <w:r>
        <w:rPr>
          <w:rFonts w:ascii="仿宋_GB2312" w:eastAsia="仿宋_GB2312" w:hAnsi="仿宋_GB2312" w:cs="仿宋_GB2312" w:hint="eastAsia"/>
          <w:sz w:val="32"/>
          <w:szCs w:val="32"/>
        </w:rPr>
        <w:t>行为而产生的债务和费用</w:t>
      </w:r>
      <w:r>
        <w:rPr>
          <w:rFonts w:ascii="仿宋_GB2312" w:eastAsia="仿宋_GB2312" w:hAnsi="仿宋_GB2312" w:cs="仿宋_GB2312" w:hint="eastAsia"/>
          <w:sz w:val="32"/>
          <w:szCs w:val="32"/>
        </w:rPr>
        <w:t>;</w:t>
      </w:r>
    </w:p>
    <w:p w14:paraId="7EA8987E" w14:textId="77777777" w:rsidR="00E12269" w:rsidRDefault="00414B7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在</w:t>
      </w:r>
      <w:r>
        <w:rPr>
          <w:rFonts w:ascii="仿宋_GB2312" w:eastAsia="仿宋_GB2312" w:hAnsi="仿宋_GB2312" w:cs="仿宋_GB2312" w:hint="eastAsia"/>
          <w:sz w:val="32"/>
          <w:szCs w:val="32"/>
        </w:rPr>
        <w:t>募集期</w:t>
      </w:r>
      <w:r>
        <w:rPr>
          <w:rFonts w:ascii="仿宋_GB2312" w:eastAsia="仿宋_GB2312" w:hAnsi="仿宋_GB2312" w:cs="仿宋_GB2312" w:hint="eastAsia"/>
          <w:sz w:val="32"/>
          <w:szCs w:val="32"/>
        </w:rPr>
        <w:t>届满后</w:t>
      </w:r>
      <w:r>
        <w:rPr>
          <w:rFonts w:ascii="仿宋_GB2312" w:eastAsia="仿宋_GB2312" w:hAnsi="仿宋_GB2312" w:cs="仿宋_GB2312" w:hint="eastAsia"/>
          <w:sz w:val="32"/>
          <w:szCs w:val="32"/>
        </w:rPr>
        <w:t>三十</w:t>
      </w:r>
      <w:r>
        <w:rPr>
          <w:rFonts w:ascii="仿宋_GB2312" w:eastAsia="仿宋_GB2312" w:hAnsi="仿宋_GB2312" w:cs="仿宋_GB2312" w:hint="eastAsia"/>
          <w:sz w:val="32"/>
          <w:szCs w:val="32"/>
        </w:rPr>
        <w:t>日内返还投资者已缴纳的款项，并加计银行同期活期存款利息。</w:t>
      </w:r>
      <w:r>
        <w:rPr>
          <w:rFonts w:ascii="仿宋_GB2312" w:eastAsia="仿宋_GB2312" w:hAnsi="仿宋_GB2312" w:cs="仿宋_GB2312" w:hint="eastAsia"/>
          <w:sz w:val="32"/>
          <w:szCs w:val="32"/>
        </w:rPr>
        <w:t xml:space="preserve"> </w:t>
      </w:r>
    </w:p>
    <w:p w14:paraId="24EF08BF"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第三十四条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证券期货经营机构以</w:t>
      </w:r>
      <w:r>
        <w:rPr>
          <w:rFonts w:ascii="仿宋_GB2312" w:eastAsia="仿宋_GB2312" w:hAnsi="仿宋_GB2312" w:cs="仿宋_GB2312" w:hint="eastAsia"/>
          <w:sz w:val="32"/>
          <w:szCs w:val="32"/>
        </w:rPr>
        <w:t>自有资金参与</w:t>
      </w:r>
      <w:r>
        <w:rPr>
          <w:rFonts w:ascii="仿宋_GB2312" w:eastAsia="仿宋_GB2312" w:hAnsi="仿宋_GB2312" w:cs="仿宋_GB2312" w:hint="eastAsia"/>
          <w:sz w:val="32"/>
          <w:szCs w:val="32"/>
        </w:rPr>
        <w:t>集合</w:t>
      </w:r>
      <w:r>
        <w:rPr>
          <w:rFonts w:ascii="仿宋_GB2312" w:eastAsia="仿宋_GB2312" w:hAnsi="仿宋_GB2312" w:cs="仿宋_GB2312" w:hint="eastAsia"/>
          <w:sz w:val="32"/>
          <w:szCs w:val="32"/>
        </w:rPr>
        <w:t>资产管理计划，应当符合法律</w:t>
      </w:r>
      <w:r>
        <w:rPr>
          <w:rFonts w:ascii="仿宋_GB2312" w:eastAsia="仿宋_GB2312" w:hAnsi="仿宋_GB2312" w:cs="仿宋_GB2312" w:hint="eastAsia"/>
          <w:sz w:val="32"/>
          <w:szCs w:val="32"/>
        </w:rPr>
        <w:t>、行政</w:t>
      </w:r>
      <w:r>
        <w:rPr>
          <w:rFonts w:ascii="仿宋_GB2312" w:eastAsia="仿宋_GB2312" w:hAnsi="仿宋_GB2312" w:cs="仿宋_GB2312" w:hint="eastAsia"/>
          <w:sz w:val="32"/>
          <w:szCs w:val="32"/>
        </w:rPr>
        <w:t>法规</w:t>
      </w:r>
      <w:r>
        <w:rPr>
          <w:rFonts w:ascii="仿宋_GB2312" w:eastAsia="仿宋_GB2312" w:hAnsi="仿宋_GB2312" w:cs="仿宋_GB2312" w:hint="eastAsia"/>
          <w:sz w:val="32"/>
          <w:szCs w:val="32"/>
        </w:rPr>
        <w:t>和中国证监会的</w:t>
      </w:r>
      <w:r>
        <w:rPr>
          <w:rFonts w:ascii="仿宋_GB2312" w:eastAsia="仿宋_GB2312" w:hAnsi="仿宋_GB2312" w:cs="仿宋_GB2312" w:hint="eastAsia"/>
          <w:sz w:val="32"/>
          <w:szCs w:val="32"/>
        </w:rPr>
        <w:t>规定，并按照《</w:t>
      </w:r>
      <w:r>
        <w:rPr>
          <w:rFonts w:ascii="仿宋_GB2312" w:eastAsia="仿宋_GB2312" w:hAnsi="仿宋_GB2312" w:cs="仿宋_GB2312" w:hint="eastAsia"/>
          <w:sz w:val="32"/>
          <w:szCs w:val="32"/>
        </w:rPr>
        <w:t>中华人民共和国</w:t>
      </w:r>
      <w:r>
        <w:rPr>
          <w:rFonts w:ascii="仿宋_GB2312" w:eastAsia="仿宋_GB2312" w:hAnsi="仿宋_GB2312" w:cs="仿宋_GB2312" w:hint="eastAsia"/>
          <w:sz w:val="32"/>
          <w:szCs w:val="32"/>
        </w:rPr>
        <w:t>公司法》和公司章程的规定，获得公司股东会、董事会或者其他授权程序的批准。</w:t>
      </w:r>
    </w:p>
    <w:p w14:paraId="012F3B51" w14:textId="77777777" w:rsidR="00E12269" w:rsidRDefault="00414B7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证券期货经营机构</w:t>
      </w:r>
      <w:r>
        <w:rPr>
          <w:rFonts w:ascii="仿宋_GB2312" w:eastAsia="仿宋_GB2312" w:hAnsi="仿宋_GB2312" w:cs="仿宋_GB2312" w:hint="eastAsia"/>
          <w:sz w:val="32"/>
          <w:szCs w:val="32"/>
        </w:rPr>
        <w:t>自有资金</w:t>
      </w:r>
      <w:r>
        <w:rPr>
          <w:rFonts w:ascii="仿宋_GB2312" w:eastAsia="仿宋_GB2312" w:hAnsi="仿宋_GB2312" w:cs="仿宋_GB2312" w:hint="eastAsia"/>
          <w:sz w:val="32"/>
          <w:szCs w:val="32"/>
        </w:rPr>
        <w:t>所持的集合</w:t>
      </w:r>
      <w:r>
        <w:rPr>
          <w:rFonts w:ascii="仿宋_GB2312" w:eastAsia="仿宋_GB2312" w:hAnsi="仿宋_GB2312" w:cs="仿宋_GB2312" w:hint="eastAsia"/>
          <w:sz w:val="32"/>
          <w:szCs w:val="32"/>
        </w:rPr>
        <w:t>资产管理计划</w:t>
      </w:r>
      <w:r>
        <w:rPr>
          <w:rFonts w:ascii="仿宋_GB2312" w:eastAsia="仿宋_GB2312" w:hAnsi="仿宋_GB2312" w:cs="仿宋_GB2312" w:hint="eastAsia"/>
          <w:sz w:val="32"/>
          <w:szCs w:val="32"/>
        </w:rPr>
        <w:t>份额，</w:t>
      </w:r>
      <w:r>
        <w:rPr>
          <w:rFonts w:ascii="仿宋_GB2312" w:eastAsia="仿宋_GB2312" w:hAnsi="仿宋_GB2312" w:cs="仿宋_GB2312" w:hint="eastAsia"/>
          <w:sz w:val="32"/>
          <w:szCs w:val="32"/>
        </w:rPr>
        <w:lastRenderedPageBreak/>
        <w:t>应当与投资者所持的同类份额享有同等权益、承担同等风险。</w:t>
      </w:r>
    </w:p>
    <w:p w14:paraId="0C03412F"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第三十五条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投资者</w:t>
      </w:r>
      <w:r>
        <w:rPr>
          <w:rFonts w:ascii="仿宋_GB2312" w:eastAsia="仿宋_GB2312" w:hAnsi="仿宋_GB2312" w:cs="仿宋_GB2312" w:hint="eastAsia"/>
          <w:sz w:val="32"/>
          <w:szCs w:val="32"/>
        </w:rPr>
        <w:t>可以通过</w:t>
      </w:r>
      <w:r>
        <w:rPr>
          <w:rFonts w:ascii="仿宋_GB2312" w:eastAsia="仿宋_GB2312" w:hAnsi="仿宋_GB2312" w:cs="仿宋_GB2312" w:hint="eastAsia"/>
          <w:sz w:val="32"/>
          <w:szCs w:val="32"/>
        </w:rPr>
        <w:t>证券交易所</w:t>
      </w:r>
      <w:r>
        <w:rPr>
          <w:rFonts w:ascii="仿宋_GB2312" w:eastAsia="仿宋_GB2312" w:hAnsi="仿宋_GB2312" w:cs="仿宋_GB2312" w:hint="eastAsia"/>
          <w:sz w:val="32"/>
          <w:szCs w:val="32"/>
        </w:rPr>
        <w:t>以及</w:t>
      </w:r>
      <w:r>
        <w:rPr>
          <w:rFonts w:ascii="仿宋_GB2312" w:eastAsia="仿宋_GB2312" w:hAnsi="仿宋_GB2312" w:cs="仿宋_GB2312" w:hint="eastAsia"/>
          <w:sz w:val="32"/>
          <w:szCs w:val="32"/>
        </w:rPr>
        <w:t>中国证监会认可</w:t>
      </w:r>
      <w:r>
        <w:rPr>
          <w:rFonts w:ascii="仿宋_GB2312" w:eastAsia="仿宋_GB2312" w:hAnsi="仿宋_GB2312" w:cs="仿宋_GB2312" w:hint="eastAsia"/>
          <w:sz w:val="32"/>
          <w:szCs w:val="32"/>
        </w:rPr>
        <w:t>的其他方式</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向合格投资者转让其持有的</w:t>
      </w:r>
      <w:r>
        <w:rPr>
          <w:rFonts w:ascii="仿宋_GB2312" w:eastAsia="仿宋_GB2312" w:hAnsi="仿宋_GB2312" w:cs="仿宋_GB2312" w:hint="eastAsia"/>
          <w:sz w:val="32"/>
          <w:szCs w:val="32"/>
        </w:rPr>
        <w:t>集合</w:t>
      </w:r>
      <w:r>
        <w:rPr>
          <w:rFonts w:ascii="仿宋_GB2312" w:eastAsia="仿宋_GB2312" w:hAnsi="仿宋_GB2312" w:cs="仿宋_GB2312" w:hint="eastAsia"/>
          <w:sz w:val="32"/>
          <w:szCs w:val="32"/>
        </w:rPr>
        <w:t>资产管理计划份额，并按规定办理份额变更登记手续。转让后，持有资产管理计划份额的合格投资者合计不得超过</w:t>
      </w:r>
      <w:r>
        <w:rPr>
          <w:rFonts w:ascii="仿宋_GB2312" w:eastAsia="仿宋_GB2312" w:hAnsi="仿宋_GB2312" w:cs="仿宋_GB2312" w:hint="eastAsia"/>
          <w:sz w:val="32"/>
          <w:szCs w:val="32"/>
        </w:rPr>
        <w:t>二百</w:t>
      </w:r>
      <w:r>
        <w:rPr>
          <w:rFonts w:ascii="仿宋_GB2312" w:eastAsia="仿宋_GB2312" w:hAnsi="仿宋_GB2312" w:cs="仿宋_GB2312" w:hint="eastAsia"/>
          <w:sz w:val="32"/>
          <w:szCs w:val="32"/>
        </w:rPr>
        <w:t>人。</w:t>
      </w:r>
    </w:p>
    <w:p w14:paraId="73E868BC" w14:textId="77777777" w:rsidR="00E12269" w:rsidRDefault="00414B7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证券期货经营机构</w:t>
      </w:r>
      <w:r>
        <w:rPr>
          <w:rFonts w:ascii="仿宋_GB2312" w:eastAsia="仿宋_GB2312" w:hAnsi="仿宋_GB2312" w:cs="仿宋_GB2312" w:hint="eastAsia"/>
          <w:sz w:val="32"/>
          <w:szCs w:val="32"/>
        </w:rPr>
        <w:t>应当</w:t>
      </w:r>
      <w:r>
        <w:rPr>
          <w:rFonts w:ascii="仿宋_GB2312" w:eastAsia="仿宋_GB2312" w:hAnsi="仿宋_GB2312" w:cs="仿宋_GB2312" w:hint="eastAsia"/>
          <w:sz w:val="32"/>
          <w:szCs w:val="32"/>
        </w:rPr>
        <w:t>在集合资产管理计划份额转让前，</w:t>
      </w:r>
      <w:r>
        <w:rPr>
          <w:rFonts w:ascii="仿宋_GB2312" w:eastAsia="仿宋_GB2312" w:hAnsi="仿宋_GB2312" w:cs="仿宋_GB2312" w:hint="eastAsia"/>
          <w:sz w:val="32"/>
          <w:szCs w:val="32"/>
        </w:rPr>
        <w:t>对受让人的合格投资者身份</w:t>
      </w:r>
      <w:r>
        <w:rPr>
          <w:rFonts w:ascii="仿宋_GB2312" w:eastAsia="仿宋_GB2312" w:hAnsi="仿宋_GB2312" w:cs="仿宋_GB2312" w:hint="eastAsia"/>
          <w:sz w:val="32"/>
          <w:szCs w:val="32"/>
        </w:rPr>
        <w:t>和</w:t>
      </w:r>
      <w:r>
        <w:rPr>
          <w:rFonts w:ascii="仿宋_GB2312" w:eastAsia="仿宋_GB2312" w:hAnsi="仿宋_GB2312" w:cs="仿宋_GB2312" w:hint="eastAsia"/>
          <w:sz w:val="32"/>
          <w:szCs w:val="32"/>
        </w:rPr>
        <w:t>资产管理计划的投资者人数进行</w:t>
      </w:r>
      <w:r>
        <w:rPr>
          <w:rFonts w:ascii="仿宋_GB2312" w:eastAsia="仿宋_GB2312" w:hAnsi="仿宋_GB2312" w:cs="仿宋_GB2312" w:hint="eastAsia"/>
          <w:sz w:val="32"/>
          <w:szCs w:val="32"/>
        </w:rPr>
        <w:t>合</w:t>
      </w:r>
      <w:proofErr w:type="gramStart"/>
      <w:r>
        <w:rPr>
          <w:rFonts w:ascii="仿宋_GB2312" w:eastAsia="仿宋_GB2312" w:hAnsi="仿宋_GB2312" w:cs="仿宋_GB2312" w:hint="eastAsia"/>
          <w:sz w:val="32"/>
          <w:szCs w:val="32"/>
        </w:rPr>
        <w:t>规</w:t>
      </w:r>
      <w:proofErr w:type="gramEnd"/>
      <w:r>
        <w:rPr>
          <w:rFonts w:ascii="仿宋_GB2312" w:eastAsia="仿宋_GB2312" w:hAnsi="仿宋_GB2312" w:cs="仿宋_GB2312" w:hint="eastAsia"/>
          <w:sz w:val="32"/>
          <w:szCs w:val="32"/>
        </w:rPr>
        <w:t>性</w:t>
      </w:r>
      <w:r>
        <w:rPr>
          <w:rFonts w:ascii="仿宋_GB2312" w:eastAsia="仿宋_GB2312" w:hAnsi="仿宋_GB2312" w:cs="仿宋_GB2312" w:hint="eastAsia"/>
          <w:sz w:val="32"/>
          <w:szCs w:val="32"/>
        </w:rPr>
        <w:t>审查。</w:t>
      </w:r>
      <w:r>
        <w:rPr>
          <w:rFonts w:ascii="仿宋_GB2312" w:eastAsia="仿宋_GB2312" w:hAnsi="仿宋_GB2312" w:cs="仿宋_GB2312" w:hint="eastAsia"/>
          <w:sz w:val="32"/>
          <w:szCs w:val="32"/>
        </w:rPr>
        <w:t>受让方首次参与集合资产管理计划的，应当先与证券期货经营机构、托管人签订资产管理合同。</w:t>
      </w:r>
    </w:p>
    <w:p w14:paraId="3606F6A3" w14:textId="77777777" w:rsidR="00E12269" w:rsidRDefault="00414B7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证券期货经营机构、交易场所不得通过办理集合资产管理计划的份额转让，</w:t>
      </w:r>
      <w:r>
        <w:rPr>
          <w:rFonts w:ascii="仿宋_GB2312" w:eastAsia="仿宋_GB2312" w:hAnsi="仿宋_GB2312" w:cs="仿宋_GB2312" w:hint="eastAsia"/>
          <w:sz w:val="32"/>
          <w:szCs w:val="32"/>
        </w:rPr>
        <w:t>公开或变相公开募集资产管理计划。</w:t>
      </w:r>
    </w:p>
    <w:p w14:paraId="44309086" w14:textId="77777777" w:rsidR="00E12269" w:rsidRDefault="00E12269">
      <w:pPr>
        <w:rPr>
          <w:rFonts w:ascii="仿宋_GB2312" w:eastAsia="仿宋_GB2312" w:hAnsi="仿宋_GB2312" w:cs="仿宋_GB2312"/>
          <w:sz w:val="32"/>
          <w:szCs w:val="32"/>
        </w:rPr>
      </w:pPr>
    </w:p>
    <w:p w14:paraId="16253F32" w14:textId="77777777" w:rsidR="00E12269" w:rsidRDefault="00414B76">
      <w:pPr>
        <w:jc w:val="center"/>
        <w:rPr>
          <w:rFonts w:ascii="黑体" w:eastAsia="黑体" w:hAnsi="黑体" w:cs="黑体"/>
          <w:b/>
          <w:bCs/>
          <w:sz w:val="32"/>
          <w:szCs w:val="32"/>
        </w:rPr>
      </w:pPr>
      <w:r>
        <w:rPr>
          <w:rFonts w:ascii="黑体" w:eastAsia="黑体" w:hAnsi="黑体" w:cs="黑体" w:hint="eastAsia"/>
          <w:sz w:val="32"/>
          <w:szCs w:val="32"/>
        </w:rPr>
        <w:t>第五章</w:t>
      </w:r>
      <w:r>
        <w:rPr>
          <w:rFonts w:ascii="黑体" w:eastAsia="黑体" w:hAnsi="黑体" w:cs="黑体" w:hint="eastAsia"/>
          <w:sz w:val="32"/>
          <w:szCs w:val="32"/>
        </w:rPr>
        <w:t xml:space="preserve"> </w:t>
      </w:r>
      <w:r>
        <w:rPr>
          <w:rFonts w:ascii="黑体" w:eastAsia="黑体" w:hAnsi="黑体" w:cs="黑体" w:hint="eastAsia"/>
          <w:sz w:val="32"/>
          <w:szCs w:val="32"/>
        </w:rPr>
        <w:t>投资运作</w:t>
      </w:r>
    </w:p>
    <w:p w14:paraId="2DF624D3" w14:textId="77777777" w:rsidR="00E12269" w:rsidRDefault="00E12269">
      <w:pPr>
        <w:rPr>
          <w:rFonts w:ascii="仿宋_GB2312" w:eastAsia="仿宋_GB2312" w:hAnsi="仿宋_GB2312" w:cs="仿宋_GB2312"/>
          <w:b/>
          <w:bCs/>
          <w:sz w:val="32"/>
          <w:szCs w:val="32"/>
        </w:rPr>
      </w:pPr>
    </w:p>
    <w:p w14:paraId="56EF8D51"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第三十六条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证券期货经营机构设立集合资产管理计划进行投资，除中国证监会另有规定外，应当采用资产组合的方式。</w:t>
      </w:r>
    </w:p>
    <w:p w14:paraId="3F0D2E06" w14:textId="77777777" w:rsidR="00E12269" w:rsidRDefault="00414B7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资产组合的具体方式和比例，依照法律、行政法规和中国证监会的规定在资产管理合同中约定。</w:t>
      </w:r>
    </w:p>
    <w:p w14:paraId="77AB6E99"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第三十七条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资产管理计划可以投资于以下资产：</w:t>
      </w:r>
    </w:p>
    <w:p w14:paraId="06BEDC4C" w14:textId="77777777" w:rsidR="00E12269" w:rsidRDefault="00414B7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（一）银行存款、同业存单</w:t>
      </w:r>
      <w:r>
        <w:rPr>
          <w:rFonts w:ascii="仿宋_GB2312" w:eastAsia="仿宋_GB2312" w:hAnsi="仿宋_GB2312" w:cs="仿宋_GB2312" w:hint="eastAsia"/>
          <w:sz w:val="32"/>
          <w:szCs w:val="32"/>
        </w:rPr>
        <w:t>，以及符合《指导意见》规定的标准化债权类资产，包括但不限于在</w:t>
      </w:r>
      <w:r>
        <w:rPr>
          <w:rFonts w:ascii="仿宋_GB2312" w:eastAsia="仿宋_GB2312" w:hAnsi="仿宋_GB2312" w:cs="仿宋_GB2312" w:hint="eastAsia"/>
          <w:sz w:val="32"/>
          <w:szCs w:val="32"/>
        </w:rPr>
        <w:t>证券交易所、银行间市场等国务院</w:t>
      </w:r>
      <w:r>
        <w:rPr>
          <w:rFonts w:ascii="仿宋_GB2312" w:eastAsia="仿宋_GB2312" w:hAnsi="仿宋_GB2312" w:cs="仿宋_GB2312" w:hint="eastAsia"/>
          <w:sz w:val="32"/>
          <w:szCs w:val="32"/>
        </w:rPr>
        <w:t>同意设立</w:t>
      </w:r>
      <w:r>
        <w:rPr>
          <w:rFonts w:ascii="仿宋_GB2312" w:eastAsia="仿宋_GB2312" w:hAnsi="仿宋_GB2312" w:cs="仿宋_GB2312" w:hint="eastAsia"/>
          <w:sz w:val="32"/>
          <w:szCs w:val="32"/>
        </w:rPr>
        <w:t>的交易场所交易的</w:t>
      </w:r>
      <w:r>
        <w:rPr>
          <w:rFonts w:ascii="仿宋_GB2312" w:eastAsia="仿宋_GB2312" w:hAnsi="仿宋_GB2312" w:cs="仿宋_GB2312" w:hint="eastAsia"/>
          <w:sz w:val="32"/>
          <w:szCs w:val="32"/>
        </w:rPr>
        <w:t>可以划分为均等份额、</w:t>
      </w:r>
      <w:r>
        <w:rPr>
          <w:rFonts w:ascii="仿宋_GB2312" w:eastAsia="仿宋_GB2312" w:hAnsi="仿宋_GB2312" w:cs="仿宋_GB2312" w:hint="eastAsia"/>
          <w:sz w:val="32"/>
          <w:szCs w:val="32"/>
        </w:rPr>
        <w:t>具有合理公允价值和</w:t>
      </w:r>
      <w:r>
        <w:rPr>
          <w:rFonts w:ascii="仿宋_GB2312" w:eastAsia="仿宋_GB2312" w:hAnsi="仿宋_GB2312" w:cs="仿宋_GB2312" w:hint="eastAsia"/>
          <w:sz w:val="32"/>
          <w:szCs w:val="32"/>
        </w:rPr>
        <w:t>完善流动性机制</w:t>
      </w:r>
      <w:r>
        <w:rPr>
          <w:rFonts w:ascii="仿宋_GB2312" w:eastAsia="仿宋_GB2312" w:hAnsi="仿宋_GB2312" w:cs="仿宋_GB2312" w:hint="eastAsia"/>
          <w:sz w:val="32"/>
          <w:szCs w:val="32"/>
        </w:rPr>
        <w:t>的债券、</w:t>
      </w:r>
      <w:r>
        <w:rPr>
          <w:rFonts w:ascii="仿宋_GB2312" w:eastAsia="仿宋_GB2312" w:hAnsi="仿宋_GB2312" w:cs="仿宋_GB2312" w:hint="eastAsia"/>
          <w:sz w:val="32"/>
          <w:szCs w:val="32"/>
        </w:rPr>
        <w:t>中</w:t>
      </w:r>
      <w:r>
        <w:rPr>
          <w:rFonts w:ascii="仿宋_GB2312" w:eastAsia="仿宋_GB2312" w:hAnsi="仿宋_GB2312" w:cs="仿宋_GB2312" w:hint="eastAsia"/>
          <w:sz w:val="32"/>
          <w:szCs w:val="32"/>
        </w:rPr>
        <w:t>央</w:t>
      </w:r>
      <w:r>
        <w:rPr>
          <w:rFonts w:ascii="仿宋_GB2312" w:eastAsia="仿宋_GB2312" w:hAnsi="仿宋_GB2312" w:cs="仿宋_GB2312" w:hint="eastAsia"/>
          <w:sz w:val="32"/>
          <w:szCs w:val="32"/>
        </w:rPr>
        <w:t>银</w:t>
      </w:r>
      <w:r>
        <w:rPr>
          <w:rFonts w:ascii="仿宋_GB2312" w:eastAsia="仿宋_GB2312" w:hAnsi="仿宋_GB2312" w:cs="仿宋_GB2312" w:hint="eastAsia"/>
          <w:sz w:val="32"/>
          <w:szCs w:val="32"/>
        </w:rPr>
        <w:t>行票据、资产支持证券、非金融企业债务融资工具等；</w:t>
      </w:r>
    </w:p>
    <w:p w14:paraId="6315F4B2" w14:textId="77777777" w:rsidR="00E12269" w:rsidRDefault="00414B7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）上市</w:t>
      </w:r>
      <w:r>
        <w:rPr>
          <w:rFonts w:ascii="仿宋_GB2312" w:eastAsia="仿宋_GB2312" w:hAnsi="仿宋_GB2312" w:cs="仿宋_GB2312" w:hint="eastAsia"/>
          <w:sz w:val="32"/>
          <w:szCs w:val="32"/>
        </w:rPr>
        <w:t>公司</w:t>
      </w:r>
      <w:r>
        <w:rPr>
          <w:rFonts w:ascii="仿宋_GB2312" w:eastAsia="仿宋_GB2312" w:hAnsi="仿宋_GB2312" w:cs="仿宋_GB2312" w:hint="eastAsia"/>
          <w:sz w:val="32"/>
          <w:szCs w:val="32"/>
        </w:rPr>
        <w:t>股票</w:t>
      </w:r>
      <w:r>
        <w:rPr>
          <w:rFonts w:ascii="仿宋_GB2312" w:eastAsia="仿宋_GB2312" w:hAnsi="仿宋_GB2312" w:cs="仿宋_GB2312" w:hint="eastAsia"/>
          <w:sz w:val="32"/>
          <w:szCs w:val="32"/>
        </w:rPr>
        <w:t>、存托凭证</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以及中国证监会认可的其他标准化</w:t>
      </w:r>
      <w:r>
        <w:rPr>
          <w:rFonts w:ascii="仿宋_GB2312" w:eastAsia="仿宋_GB2312" w:hAnsi="仿宋_GB2312" w:cs="仿宋_GB2312" w:hint="eastAsia"/>
          <w:sz w:val="32"/>
          <w:szCs w:val="32"/>
        </w:rPr>
        <w:t>股权类</w:t>
      </w:r>
      <w:r>
        <w:rPr>
          <w:rFonts w:ascii="仿宋_GB2312" w:eastAsia="仿宋_GB2312" w:hAnsi="仿宋_GB2312" w:cs="仿宋_GB2312" w:hint="eastAsia"/>
          <w:sz w:val="32"/>
          <w:szCs w:val="32"/>
        </w:rPr>
        <w:t>资产；</w:t>
      </w:r>
    </w:p>
    <w:p w14:paraId="5C594D7E" w14:textId="77777777" w:rsidR="00E12269" w:rsidRDefault="00414B7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rPr>
        <w:t>）在证券期货交易所等</w:t>
      </w:r>
      <w:r>
        <w:rPr>
          <w:rFonts w:ascii="仿宋_GB2312" w:eastAsia="仿宋_GB2312" w:hAnsi="仿宋_GB2312" w:cs="仿宋_GB2312" w:hint="eastAsia"/>
          <w:sz w:val="32"/>
          <w:szCs w:val="32"/>
        </w:rPr>
        <w:t>国务院同意设立</w:t>
      </w:r>
      <w:r>
        <w:rPr>
          <w:rFonts w:ascii="仿宋_GB2312" w:eastAsia="仿宋_GB2312" w:hAnsi="仿宋_GB2312" w:cs="仿宋_GB2312" w:hint="eastAsia"/>
          <w:sz w:val="32"/>
          <w:szCs w:val="32"/>
        </w:rPr>
        <w:t>的交易场所</w:t>
      </w:r>
      <w:r>
        <w:rPr>
          <w:rFonts w:ascii="仿宋_GB2312" w:eastAsia="仿宋_GB2312" w:hAnsi="仿宋_GB2312" w:cs="仿宋_GB2312" w:hint="eastAsia"/>
          <w:sz w:val="32"/>
          <w:szCs w:val="32"/>
        </w:rPr>
        <w:t>集中交易清算的期货及期权合约等标准化商品及金融衍生品类资产</w:t>
      </w:r>
      <w:r>
        <w:rPr>
          <w:rFonts w:ascii="仿宋_GB2312" w:eastAsia="仿宋_GB2312" w:hAnsi="仿宋_GB2312" w:cs="仿宋_GB2312" w:hint="eastAsia"/>
          <w:sz w:val="32"/>
          <w:szCs w:val="32"/>
        </w:rPr>
        <w:t>；</w:t>
      </w:r>
    </w:p>
    <w:p w14:paraId="68FECC23" w14:textId="77777777" w:rsidR="00E12269" w:rsidRDefault="00414B7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四</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公开募集证券投资基金（以下简称公募基金），以及中国证监会认可的比照公</w:t>
      </w:r>
      <w:proofErr w:type="gramStart"/>
      <w:r>
        <w:rPr>
          <w:rFonts w:ascii="仿宋_GB2312" w:eastAsia="仿宋_GB2312" w:hAnsi="仿宋_GB2312" w:cs="仿宋_GB2312" w:hint="eastAsia"/>
          <w:sz w:val="32"/>
          <w:szCs w:val="32"/>
        </w:rPr>
        <w:t>募基金</w:t>
      </w:r>
      <w:proofErr w:type="gramEnd"/>
      <w:r>
        <w:rPr>
          <w:rFonts w:ascii="仿宋_GB2312" w:eastAsia="仿宋_GB2312" w:hAnsi="仿宋_GB2312" w:cs="仿宋_GB2312" w:hint="eastAsia"/>
          <w:sz w:val="32"/>
          <w:szCs w:val="32"/>
        </w:rPr>
        <w:t>管理的资产管理产品；</w:t>
      </w:r>
    </w:p>
    <w:p w14:paraId="11EA541A" w14:textId="77777777" w:rsidR="00E12269" w:rsidRDefault="00414B7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（五）第（一）至（三）项规定以外的非标准化债权类资产、股权类资产、商品及金融衍生品类资产；</w:t>
      </w:r>
    </w:p>
    <w:p w14:paraId="65A926CF" w14:textId="77777777" w:rsidR="00E12269" w:rsidRDefault="00414B7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（六）第（四）项规定以外的其他受国务院金融监督管理机构监管的机构发行的资产管理产品；</w:t>
      </w:r>
    </w:p>
    <w:p w14:paraId="2542CA56" w14:textId="77777777" w:rsidR="00E12269" w:rsidRDefault="00414B7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w:t>
      </w:r>
      <w:r>
        <w:rPr>
          <w:rFonts w:ascii="仿宋_GB2312" w:eastAsia="仿宋_GB2312" w:hAnsi="仿宋_GB2312" w:cs="仿宋_GB2312" w:hint="eastAsia"/>
          <w:sz w:val="32"/>
          <w:szCs w:val="32"/>
        </w:rPr>
        <w:t>中国证监会认可的其他资产</w:t>
      </w:r>
      <w:r>
        <w:rPr>
          <w:rFonts w:ascii="仿宋_GB2312" w:eastAsia="仿宋_GB2312" w:hAnsi="仿宋_GB2312" w:cs="仿宋_GB2312" w:hint="eastAsia"/>
          <w:sz w:val="32"/>
          <w:szCs w:val="32"/>
        </w:rPr>
        <w:t>。</w:t>
      </w:r>
    </w:p>
    <w:p w14:paraId="0E5917BE" w14:textId="77777777" w:rsidR="00E12269" w:rsidRDefault="00414B7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前款</w:t>
      </w:r>
      <w:r>
        <w:rPr>
          <w:rFonts w:ascii="仿宋_GB2312" w:eastAsia="仿宋_GB2312" w:hAnsi="仿宋_GB2312" w:cs="仿宋_GB2312" w:hint="eastAsia"/>
          <w:sz w:val="32"/>
          <w:szCs w:val="32"/>
        </w:rPr>
        <w:t>第（一）项至第（四）项为标准化资产，第（五）项至第（六）项为非标准化资产。</w:t>
      </w:r>
    </w:p>
    <w:p w14:paraId="0AF086FA" w14:textId="77777777" w:rsidR="00E12269" w:rsidRDefault="00414B7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中国证监会对证券期货经营机构从事私募资产管理业务投</w:t>
      </w:r>
      <w:r>
        <w:rPr>
          <w:rFonts w:ascii="仿宋_GB2312" w:eastAsia="仿宋_GB2312" w:hAnsi="仿宋_GB2312" w:cs="仿宋_GB2312" w:hint="eastAsia"/>
          <w:sz w:val="32"/>
          <w:szCs w:val="32"/>
        </w:rPr>
        <w:lastRenderedPageBreak/>
        <w:t>资于本条第一款第（五）项规定资产另有规定的，适用其规定。</w:t>
      </w:r>
    </w:p>
    <w:p w14:paraId="4876EC14"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第三十八条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资产管理计划可以</w:t>
      </w:r>
      <w:r>
        <w:rPr>
          <w:rFonts w:ascii="仿宋_GB2312" w:eastAsia="仿宋_GB2312" w:hAnsi="仿宋_GB2312" w:cs="仿宋_GB2312" w:hint="eastAsia"/>
          <w:sz w:val="32"/>
          <w:szCs w:val="32"/>
        </w:rPr>
        <w:t>依法</w:t>
      </w:r>
      <w:r>
        <w:rPr>
          <w:rFonts w:ascii="仿宋_GB2312" w:eastAsia="仿宋_GB2312" w:hAnsi="仿宋_GB2312" w:cs="仿宋_GB2312" w:hint="eastAsia"/>
          <w:sz w:val="32"/>
          <w:szCs w:val="32"/>
        </w:rPr>
        <w:t>参与</w:t>
      </w:r>
      <w:r>
        <w:rPr>
          <w:rFonts w:ascii="仿宋_GB2312" w:eastAsia="仿宋_GB2312" w:hAnsi="仿宋_GB2312" w:cs="仿宋_GB2312" w:hint="eastAsia"/>
          <w:sz w:val="32"/>
          <w:szCs w:val="32"/>
        </w:rPr>
        <w:t>证券</w:t>
      </w:r>
      <w:r>
        <w:rPr>
          <w:rFonts w:ascii="仿宋_GB2312" w:eastAsia="仿宋_GB2312" w:hAnsi="仿宋_GB2312" w:cs="仿宋_GB2312" w:hint="eastAsia"/>
          <w:sz w:val="32"/>
          <w:szCs w:val="32"/>
        </w:rPr>
        <w:t>回购、融资融券</w:t>
      </w:r>
      <w:r>
        <w:rPr>
          <w:rFonts w:ascii="仿宋_GB2312" w:eastAsia="仿宋_GB2312" w:hAnsi="仿宋_GB2312" w:cs="仿宋_GB2312" w:hint="eastAsia"/>
          <w:sz w:val="32"/>
          <w:szCs w:val="32"/>
        </w:rPr>
        <w:t>、转融通以及中国证监会认可的其他业务</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法律、行政法规和中国证监会另有规定的除外。</w:t>
      </w:r>
    </w:p>
    <w:p w14:paraId="154B8B24" w14:textId="77777777" w:rsidR="00E12269" w:rsidRDefault="00414B7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证券期货经营机构</w:t>
      </w:r>
      <w:r>
        <w:rPr>
          <w:rFonts w:ascii="仿宋_GB2312" w:eastAsia="仿宋_GB2312" w:hAnsi="仿宋_GB2312" w:cs="仿宋_GB2312" w:hint="eastAsia"/>
          <w:sz w:val="32"/>
          <w:szCs w:val="32"/>
        </w:rPr>
        <w:t>可以依法设立资产管理计划在境内募集资金，投资于中国证监会认可的境外金融产品</w:t>
      </w:r>
      <w:r>
        <w:rPr>
          <w:rFonts w:ascii="仿宋_GB2312" w:eastAsia="仿宋_GB2312" w:hAnsi="仿宋_GB2312" w:cs="仿宋_GB2312" w:hint="eastAsia"/>
          <w:sz w:val="32"/>
          <w:szCs w:val="32"/>
        </w:rPr>
        <w:t>。</w:t>
      </w:r>
    </w:p>
    <w:p w14:paraId="0E25AFAF"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第三十九条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资产管理计划</w:t>
      </w:r>
      <w:r>
        <w:rPr>
          <w:rFonts w:ascii="仿宋_GB2312" w:eastAsia="仿宋_GB2312" w:hAnsi="仿宋_GB2312" w:cs="仿宋_GB2312" w:hint="eastAsia"/>
          <w:sz w:val="32"/>
          <w:szCs w:val="32"/>
        </w:rPr>
        <w:t>不得</w:t>
      </w:r>
      <w:r>
        <w:rPr>
          <w:rFonts w:ascii="仿宋_GB2312" w:eastAsia="仿宋_GB2312" w:hAnsi="仿宋_GB2312" w:cs="仿宋_GB2312" w:hint="eastAsia"/>
          <w:sz w:val="32"/>
          <w:szCs w:val="32"/>
        </w:rPr>
        <w:t>直接投资商业银行信贷资产</w:t>
      </w:r>
      <w:r>
        <w:rPr>
          <w:rFonts w:ascii="仿宋_GB2312" w:eastAsia="仿宋_GB2312" w:hAnsi="仿宋_GB2312" w:cs="仿宋_GB2312" w:hint="eastAsia"/>
          <w:sz w:val="32"/>
          <w:szCs w:val="32"/>
        </w:rPr>
        <w:t>；不得违规为地方政府及其部门提供融资，不得要求或者接受地方政府及其部门违规提供担保；不得直接或者间接投资</w:t>
      </w:r>
      <w:r>
        <w:rPr>
          <w:rFonts w:ascii="仿宋_GB2312" w:eastAsia="仿宋_GB2312" w:hAnsi="仿宋_GB2312" w:cs="仿宋_GB2312" w:hint="eastAsia"/>
          <w:sz w:val="32"/>
          <w:szCs w:val="32"/>
        </w:rPr>
        <w:t>法律</w:t>
      </w:r>
      <w:r>
        <w:rPr>
          <w:rFonts w:ascii="仿宋_GB2312" w:eastAsia="仿宋_GB2312" w:hAnsi="仿宋_GB2312" w:cs="仿宋_GB2312" w:hint="eastAsia"/>
          <w:sz w:val="32"/>
          <w:szCs w:val="32"/>
        </w:rPr>
        <w:t>、行政</w:t>
      </w:r>
      <w:r>
        <w:rPr>
          <w:rFonts w:ascii="仿宋_GB2312" w:eastAsia="仿宋_GB2312" w:hAnsi="仿宋_GB2312" w:cs="仿宋_GB2312" w:hint="eastAsia"/>
          <w:sz w:val="32"/>
          <w:szCs w:val="32"/>
        </w:rPr>
        <w:t>法规和</w:t>
      </w:r>
      <w:r>
        <w:rPr>
          <w:rFonts w:ascii="仿宋_GB2312" w:eastAsia="仿宋_GB2312" w:hAnsi="仿宋_GB2312" w:cs="仿宋_GB2312" w:hint="eastAsia"/>
          <w:sz w:val="32"/>
          <w:szCs w:val="32"/>
        </w:rPr>
        <w:t>国家政策</w:t>
      </w:r>
      <w:r>
        <w:rPr>
          <w:rFonts w:ascii="仿宋_GB2312" w:eastAsia="仿宋_GB2312" w:hAnsi="仿宋_GB2312" w:cs="仿宋_GB2312" w:hint="eastAsia"/>
          <w:sz w:val="32"/>
          <w:szCs w:val="32"/>
        </w:rPr>
        <w:t>禁止投资的行业或领域</w:t>
      </w:r>
      <w:r>
        <w:rPr>
          <w:rFonts w:ascii="仿宋_GB2312" w:eastAsia="仿宋_GB2312" w:hAnsi="仿宋_GB2312" w:cs="仿宋_GB2312" w:hint="eastAsia"/>
          <w:sz w:val="32"/>
          <w:szCs w:val="32"/>
        </w:rPr>
        <w:t>。</w:t>
      </w:r>
    </w:p>
    <w:p w14:paraId="56D18A9D"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第四十条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资产管理计划存续期间，</w:t>
      </w:r>
      <w:r>
        <w:rPr>
          <w:rFonts w:ascii="仿宋_GB2312" w:eastAsia="仿宋_GB2312" w:hAnsi="仿宋_GB2312" w:cs="仿宋_GB2312" w:hint="eastAsia"/>
          <w:sz w:val="32"/>
          <w:szCs w:val="32"/>
        </w:rPr>
        <w:t>证券期货经营机构应当严格按照法律、行政法规、中国证监会规定以及合同约定</w:t>
      </w:r>
      <w:r>
        <w:rPr>
          <w:rFonts w:ascii="仿宋_GB2312" w:eastAsia="仿宋_GB2312" w:hAnsi="仿宋_GB2312" w:cs="仿宋_GB2312" w:hint="eastAsia"/>
          <w:sz w:val="32"/>
          <w:szCs w:val="32"/>
        </w:rPr>
        <w:t>的</w:t>
      </w:r>
      <w:r>
        <w:rPr>
          <w:rFonts w:ascii="仿宋_GB2312" w:eastAsia="仿宋_GB2312" w:hAnsi="仿宋_GB2312" w:cs="仿宋_GB2312" w:hint="eastAsia"/>
          <w:sz w:val="32"/>
          <w:szCs w:val="32"/>
        </w:rPr>
        <w:t>投向和比例进行资产管理计划的投资运作</w:t>
      </w:r>
      <w:r>
        <w:rPr>
          <w:rFonts w:ascii="仿宋_GB2312" w:eastAsia="仿宋_GB2312" w:hAnsi="仿宋_GB2312" w:cs="仿宋_GB2312" w:hint="eastAsia"/>
          <w:sz w:val="32"/>
          <w:szCs w:val="32"/>
        </w:rPr>
        <w:t>。</w:t>
      </w:r>
    </w:p>
    <w:p w14:paraId="3FBF9229" w14:textId="77777777" w:rsidR="00E12269" w:rsidRDefault="00414B7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资产管理计划</w:t>
      </w:r>
      <w:r>
        <w:rPr>
          <w:rFonts w:ascii="仿宋_GB2312" w:eastAsia="仿宋_GB2312" w:hAnsi="仿宋_GB2312" w:cs="仿宋_GB2312" w:hint="eastAsia"/>
          <w:sz w:val="32"/>
          <w:szCs w:val="32"/>
        </w:rPr>
        <w:t>改变投向和比例的，</w:t>
      </w:r>
      <w:r>
        <w:rPr>
          <w:rFonts w:ascii="仿宋_GB2312" w:eastAsia="仿宋_GB2312" w:hAnsi="仿宋_GB2312" w:cs="仿宋_GB2312" w:hint="eastAsia"/>
          <w:sz w:val="32"/>
          <w:szCs w:val="32"/>
        </w:rPr>
        <w:t>应当</w:t>
      </w:r>
      <w:r>
        <w:rPr>
          <w:rFonts w:ascii="仿宋_GB2312" w:eastAsia="仿宋_GB2312" w:hAnsi="仿宋_GB2312" w:cs="仿宋_GB2312" w:hint="eastAsia"/>
          <w:sz w:val="32"/>
          <w:szCs w:val="32"/>
        </w:rPr>
        <w:t>事先</w:t>
      </w:r>
      <w:r>
        <w:rPr>
          <w:rFonts w:ascii="仿宋_GB2312" w:eastAsia="仿宋_GB2312" w:hAnsi="仿宋_GB2312" w:cs="仿宋_GB2312" w:hint="eastAsia"/>
          <w:sz w:val="32"/>
          <w:szCs w:val="32"/>
        </w:rPr>
        <w:t>取得投资者同意，</w:t>
      </w:r>
      <w:r>
        <w:rPr>
          <w:rFonts w:ascii="仿宋_GB2312" w:eastAsia="仿宋_GB2312" w:hAnsi="仿宋_GB2312" w:cs="仿宋_GB2312" w:hint="eastAsia"/>
          <w:sz w:val="32"/>
          <w:szCs w:val="32"/>
        </w:rPr>
        <w:t>并按规定履行合同变更程序。</w:t>
      </w:r>
    </w:p>
    <w:p w14:paraId="335702AA" w14:textId="77777777" w:rsidR="00E12269" w:rsidRDefault="00414B7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因证券期货市场波动、证券发行人合并、资产管理计划规模变动等证券期货经营机构之外的因素导致资产管理计划投资不符合法律、行政法规和中国证监会</w:t>
      </w:r>
      <w:r>
        <w:rPr>
          <w:rFonts w:ascii="仿宋_GB2312" w:eastAsia="仿宋_GB2312" w:hAnsi="仿宋_GB2312" w:cs="仿宋_GB2312" w:hint="eastAsia"/>
          <w:sz w:val="32"/>
          <w:szCs w:val="32"/>
        </w:rPr>
        <w:t>规定的投资比例或者</w:t>
      </w:r>
      <w:r>
        <w:rPr>
          <w:rFonts w:ascii="仿宋_GB2312" w:eastAsia="仿宋_GB2312" w:hAnsi="仿宋_GB2312" w:cs="仿宋_GB2312" w:hint="eastAsia"/>
          <w:sz w:val="32"/>
          <w:szCs w:val="32"/>
        </w:rPr>
        <w:t>合同约定的投资比例的，证券期货经营机构应当在流动性受限资产可出</w:t>
      </w:r>
      <w:r>
        <w:rPr>
          <w:rFonts w:ascii="仿宋_GB2312" w:eastAsia="仿宋_GB2312" w:hAnsi="仿宋_GB2312" w:cs="仿宋_GB2312" w:hint="eastAsia"/>
          <w:sz w:val="32"/>
          <w:szCs w:val="32"/>
        </w:rPr>
        <w:lastRenderedPageBreak/>
        <w:t>售、可转让或者恢复交易的十五</w:t>
      </w:r>
      <w:r>
        <w:rPr>
          <w:rFonts w:ascii="仿宋_GB2312" w:eastAsia="仿宋_GB2312" w:hAnsi="仿宋_GB2312" w:cs="仿宋_GB2312" w:hint="eastAsia"/>
          <w:sz w:val="32"/>
          <w:szCs w:val="32"/>
        </w:rPr>
        <w:t>个交易日内</w:t>
      </w:r>
      <w:r>
        <w:rPr>
          <w:rFonts w:ascii="仿宋_GB2312" w:eastAsia="仿宋_GB2312" w:hAnsi="仿宋_GB2312" w:cs="仿宋_GB2312" w:hint="eastAsia"/>
          <w:sz w:val="32"/>
          <w:szCs w:val="32"/>
        </w:rPr>
        <w:t>调整至符合相关要求。</w:t>
      </w:r>
      <w:r>
        <w:rPr>
          <w:rFonts w:ascii="仿宋_GB2312" w:eastAsia="仿宋_GB2312" w:hAnsi="仿宋_GB2312" w:cs="仿宋_GB2312" w:hint="eastAsia"/>
          <w:sz w:val="32"/>
          <w:szCs w:val="32"/>
        </w:rPr>
        <w:t>确有特殊事由未能在</w:t>
      </w:r>
      <w:r>
        <w:rPr>
          <w:rFonts w:ascii="仿宋_GB2312" w:eastAsia="仿宋_GB2312" w:hAnsi="仿宋_GB2312" w:cs="仿宋_GB2312" w:hint="eastAsia"/>
          <w:sz w:val="32"/>
          <w:szCs w:val="32"/>
        </w:rPr>
        <w:t>规定时间</w:t>
      </w:r>
      <w:r>
        <w:rPr>
          <w:rFonts w:ascii="仿宋_GB2312" w:eastAsia="仿宋_GB2312" w:hAnsi="仿宋_GB2312" w:cs="仿宋_GB2312" w:hint="eastAsia"/>
          <w:sz w:val="32"/>
          <w:szCs w:val="32"/>
        </w:rPr>
        <w:t>内</w:t>
      </w:r>
      <w:r>
        <w:rPr>
          <w:rFonts w:ascii="仿宋_GB2312" w:eastAsia="仿宋_GB2312" w:hAnsi="仿宋_GB2312" w:cs="仿宋_GB2312" w:hint="eastAsia"/>
          <w:sz w:val="32"/>
          <w:szCs w:val="32"/>
        </w:rPr>
        <w:t>完成</w:t>
      </w:r>
      <w:r>
        <w:rPr>
          <w:rFonts w:ascii="仿宋_GB2312" w:eastAsia="仿宋_GB2312" w:hAnsi="仿宋_GB2312" w:cs="仿宋_GB2312" w:hint="eastAsia"/>
          <w:sz w:val="32"/>
          <w:szCs w:val="32"/>
        </w:rPr>
        <w:t>调整的，</w:t>
      </w:r>
      <w:r>
        <w:rPr>
          <w:rFonts w:ascii="仿宋_GB2312" w:eastAsia="仿宋_GB2312" w:hAnsi="仿宋_GB2312" w:cs="仿宋_GB2312" w:hint="eastAsia"/>
          <w:sz w:val="32"/>
          <w:szCs w:val="32"/>
        </w:rPr>
        <w:t>证券期货经营机构</w:t>
      </w:r>
      <w:r>
        <w:rPr>
          <w:rFonts w:ascii="仿宋_GB2312" w:eastAsia="仿宋_GB2312" w:hAnsi="仿宋_GB2312" w:cs="仿宋_GB2312" w:hint="eastAsia"/>
          <w:sz w:val="32"/>
          <w:szCs w:val="32"/>
        </w:rPr>
        <w:t>应当及时向中国证监会</w:t>
      </w:r>
      <w:r>
        <w:rPr>
          <w:rFonts w:ascii="仿宋_GB2312" w:eastAsia="仿宋_GB2312" w:hAnsi="仿宋_GB2312" w:cs="仿宋_GB2312" w:hint="eastAsia"/>
          <w:sz w:val="32"/>
          <w:szCs w:val="32"/>
        </w:rPr>
        <w:t>相关</w:t>
      </w:r>
      <w:r>
        <w:rPr>
          <w:rFonts w:ascii="仿宋_GB2312" w:eastAsia="仿宋_GB2312" w:hAnsi="仿宋_GB2312" w:cs="仿宋_GB2312" w:hint="eastAsia"/>
          <w:sz w:val="32"/>
          <w:szCs w:val="32"/>
        </w:rPr>
        <w:t>派出机构</w:t>
      </w:r>
      <w:r>
        <w:rPr>
          <w:rFonts w:ascii="仿宋_GB2312" w:eastAsia="仿宋_GB2312" w:hAnsi="仿宋_GB2312" w:cs="仿宋_GB2312" w:hint="eastAsia"/>
          <w:sz w:val="32"/>
          <w:szCs w:val="32"/>
        </w:rPr>
        <w:t>和证券投资基金业协会</w:t>
      </w:r>
      <w:r>
        <w:rPr>
          <w:rFonts w:ascii="仿宋_GB2312" w:eastAsia="仿宋_GB2312" w:hAnsi="仿宋_GB2312" w:cs="仿宋_GB2312" w:hint="eastAsia"/>
          <w:sz w:val="32"/>
          <w:szCs w:val="32"/>
        </w:rPr>
        <w:t>报告。</w:t>
      </w:r>
    </w:p>
    <w:p w14:paraId="2C0E1072"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第四十一条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证券期货经营机构应当</w:t>
      </w:r>
      <w:r>
        <w:rPr>
          <w:rFonts w:ascii="仿宋_GB2312" w:eastAsia="仿宋_GB2312" w:hAnsi="仿宋_GB2312" w:cs="仿宋_GB2312" w:hint="eastAsia"/>
          <w:sz w:val="32"/>
          <w:szCs w:val="32"/>
        </w:rPr>
        <w:t>确保资产管理计划所投资的资产组合的流动性与资产管理合同约定的参与、退出安排相匹配，确保</w:t>
      </w:r>
      <w:r>
        <w:rPr>
          <w:rFonts w:ascii="仿宋_GB2312" w:eastAsia="仿宋_GB2312" w:hAnsi="仿宋_GB2312" w:cs="仿宋_GB2312" w:hint="eastAsia"/>
          <w:sz w:val="32"/>
          <w:szCs w:val="32"/>
        </w:rPr>
        <w:t>在开放</w:t>
      </w:r>
      <w:proofErr w:type="gramStart"/>
      <w:r>
        <w:rPr>
          <w:rFonts w:ascii="仿宋_GB2312" w:eastAsia="仿宋_GB2312" w:hAnsi="仿宋_GB2312" w:cs="仿宋_GB2312" w:hint="eastAsia"/>
          <w:sz w:val="32"/>
          <w:szCs w:val="32"/>
        </w:rPr>
        <w:t>期保持</w:t>
      </w:r>
      <w:proofErr w:type="gramEnd"/>
      <w:r>
        <w:rPr>
          <w:rFonts w:ascii="仿宋_GB2312" w:eastAsia="仿宋_GB2312" w:hAnsi="仿宋_GB2312" w:cs="仿宋_GB2312" w:hint="eastAsia"/>
          <w:sz w:val="32"/>
          <w:szCs w:val="32"/>
        </w:rPr>
        <w:t>适当比例的现金或者其他高流动性金融资产，且限制流动性受限资产投资比例。</w:t>
      </w:r>
    </w:p>
    <w:p w14:paraId="3299B357"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第四十二条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资产管理计划的总资产不得超过该计划净资产的</w:t>
      </w:r>
      <w:r>
        <w:rPr>
          <w:rFonts w:ascii="仿宋_GB2312" w:eastAsia="仿宋_GB2312" w:hAnsi="仿宋_GB2312" w:cs="仿宋_GB2312" w:hint="eastAsia"/>
          <w:sz w:val="32"/>
          <w:szCs w:val="32"/>
        </w:rPr>
        <w:t>200%</w:t>
      </w:r>
      <w:r>
        <w:rPr>
          <w:rFonts w:ascii="仿宋_GB2312" w:eastAsia="仿宋_GB2312" w:hAnsi="仿宋_GB2312" w:cs="仿宋_GB2312" w:hint="eastAsia"/>
          <w:sz w:val="32"/>
          <w:szCs w:val="32"/>
        </w:rPr>
        <w:t>，分级资产管理计划的总资产不得超过该计划净资产的</w:t>
      </w:r>
      <w:r>
        <w:rPr>
          <w:rFonts w:ascii="仿宋_GB2312" w:eastAsia="仿宋_GB2312" w:hAnsi="仿宋_GB2312" w:cs="仿宋_GB2312" w:hint="eastAsia"/>
          <w:sz w:val="32"/>
          <w:szCs w:val="32"/>
        </w:rPr>
        <w:t>140%</w:t>
      </w:r>
      <w:r>
        <w:rPr>
          <w:rFonts w:ascii="仿宋_GB2312" w:eastAsia="仿宋_GB2312" w:hAnsi="仿宋_GB2312" w:cs="仿宋_GB2312" w:hint="eastAsia"/>
          <w:sz w:val="32"/>
          <w:szCs w:val="32"/>
        </w:rPr>
        <w:t>。</w:t>
      </w:r>
    </w:p>
    <w:p w14:paraId="4D81E6D9"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第四十三条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证券期货经营机构应当对资产管理计划实行净值化管理，</w:t>
      </w:r>
      <w:r>
        <w:rPr>
          <w:rFonts w:ascii="仿宋_GB2312" w:eastAsia="仿宋_GB2312" w:hAnsi="仿宋_GB2312" w:cs="仿宋_GB2312" w:hint="eastAsia"/>
          <w:sz w:val="32"/>
          <w:szCs w:val="32"/>
        </w:rPr>
        <w:t>确定合理的估值方法和科学的估值程序，</w:t>
      </w:r>
      <w:r>
        <w:rPr>
          <w:rFonts w:ascii="仿宋_GB2312" w:eastAsia="仿宋_GB2312" w:hAnsi="仿宋_GB2312" w:cs="仿宋_GB2312" w:hint="eastAsia"/>
          <w:sz w:val="32"/>
          <w:szCs w:val="32"/>
        </w:rPr>
        <w:t>真实</w:t>
      </w:r>
      <w:r>
        <w:rPr>
          <w:rFonts w:ascii="仿宋_GB2312" w:eastAsia="仿宋_GB2312" w:hAnsi="仿宋_GB2312" w:cs="仿宋_GB2312" w:hint="eastAsia"/>
          <w:sz w:val="32"/>
          <w:szCs w:val="32"/>
        </w:rPr>
        <w:t>公允</w:t>
      </w:r>
      <w:r>
        <w:rPr>
          <w:rFonts w:ascii="仿宋_GB2312" w:eastAsia="仿宋_GB2312" w:hAnsi="仿宋_GB2312" w:cs="仿宋_GB2312" w:hint="eastAsia"/>
          <w:sz w:val="32"/>
          <w:szCs w:val="32"/>
        </w:rPr>
        <w:t>地计算资产管理计划净值。</w:t>
      </w:r>
      <w:r>
        <w:rPr>
          <w:rFonts w:ascii="仿宋_GB2312" w:eastAsia="仿宋_GB2312" w:hAnsi="仿宋_GB2312" w:cs="仿宋_GB2312" w:hint="eastAsia"/>
          <w:sz w:val="32"/>
          <w:szCs w:val="32"/>
        </w:rPr>
        <w:t xml:space="preserve">  </w:t>
      </w:r>
    </w:p>
    <w:p w14:paraId="0B81EF4C"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第四十四条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资产管理计划接受</w:t>
      </w:r>
      <w:r>
        <w:rPr>
          <w:rFonts w:ascii="仿宋_GB2312" w:eastAsia="仿宋_GB2312" w:hAnsi="仿宋_GB2312" w:cs="仿宋_GB2312" w:hint="eastAsia"/>
          <w:sz w:val="32"/>
          <w:szCs w:val="32"/>
        </w:rPr>
        <w:t>其他资产管理产品参与，证券期货经营机构应当切实履行主</w:t>
      </w:r>
      <w:r>
        <w:rPr>
          <w:rFonts w:ascii="仿宋_GB2312" w:eastAsia="仿宋_GB2312" w:hAnsi="仿宋_GB2312" w:cs="仿宋_GB2312" w:hint="eastAsia"/>
          <w:sz w:val="32"/>
          <w:szCs w:val="32"/>
        </w:rPr>
        <w:t>动管理职责，不得进行转委托，不得再投资除公</w:t>
      </w:r>
      <w:proofErr w:type="gramStart"/>
      <w:r>
        <w:rPr>
          <w:rFonts w:ascii="仿宋_GB2312" w:eastAsia="仿宋_GB2312" w:hAnsi="仿宋_GB2312" w:cs="仿宋_GB2312" w:hint="eastAsia"/>
          <w:sz w:val="32"/>
          <w:szCs w:val="32"/>
        </w:rPr>
        <w:t>募基金</w:t>
      </w:r>
      <w:proofErr w:type="gramEnd"/>
      <w:r>
        <w:rPr>
          <w:rFonts w:ascii="仿宋_GB2312" w:eastAsia="仿宋_GB2312" w:hAnsi="仿宋_GB2312" w:cs="仿宋_GB2312" w:hint="eastAsia"/>
          <w:sz w:val="32"/>
          <w:szCs w:val="32"/>
        </w:rPr>
        <w:t>以外的其他</w:t>
      </w:r>
      <w:r>
        <w:rPr>
          <w:rFonts w:ascii="仿宋_GB2312" w:eastAsia="仿宋_GB2312" w:hAnsi="仿宋_GB2312" w:cs="仿宋_GB2312" w:hint="eastAsia"/>
          <w:sz w:val="32"/>
          <w:szCs w:val="32"/>
        </w:rPr>
        <w:t>资产管理产品</w:t>
      </w:r>
      <w:r>
        <w:rPr>
          <w:rFonts w:ascii="仿宋_GB2312" w:eastAsia="仿宋_GB2312" w:hAnsi="仿宋_GB2312" w:cs="仿宋_GB2312" w:hint="eastAsia"/>
          <w:sz w:val="32"/>
          <w:szCs w:val="32"/>
        </w:rPr>
        <w:t>。</w:t>
      </w:r>
    </w:p>
    <w:p w14:paraId="12C5EFA2"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第四十五条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资产管理计划投资于其他资产管理产品的，应当明确约定所投资的资产管理产品不再投资除公</w:t>
      </w:r>
      <w:proofErr w:type="gramStart"/>
      <w:r>
        <w:rPr>
          <w:rFonts w:ascii="仿宋_GB2312" w:eastAsia="仿宋_GB2312" w:hAnsi="仿宋_GB2312" w:cs="仿宋_GB2312" w:hint="eastAsia"/>
          <w:sz w:val="32"/>
          <w:szCs w:val="32"/>
        </w:rPr>
        <w:t>募基金</w:t>
      </w:r>
      <w:proofErr w:type="gramEnd"/>
      <w:r>
        <w:rPr>
          <w:rFonts w:ascii="仿宋_GB2312" w:eastAsia="仿宋_GB2312" w:hAnsi="仿宋_GB2312" w:cs="仿宋_GB2312" w:hint="eastAsia"/>
          <w:sz w:val="32"/>
          <w:szCs w:val="32"/>
        </w:rPr>
        <w:t>以外的</w:t>
      </w:r>
      <w:r>
        <w:rPr>
          <w:rFonts w:ascii="仿宋_GB2312" w:eastAsia="仿宋_GB2312" w:hAnsi="仿宋_GB2312" w:cs="仿宋_GB2312" w:hint="eastAsia"/>
          <w:sz w:val="32"/>
          <w:szCs w:val="32"/>
        </w:rPr>
        <w:lastRenderedPageBreak/>
        <w:t>其他资产管理产品。</w:t>
      </w:r>
    </w:p>
    <w:p w14:paraId="4E86D618" w14:textId="77777777" w:rsidR="00E12269" w:rsidRDefault="00414B7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资产管理计划投资于其他资产管理产品的，计算该资产管理计划的总资产时应当按照穿透原则合并计算所投资资产管理产品的总资产。</w:t>
      </w:r>
    </w:p>
    <w:p w14:paraId="25D0320F" w14:textId="77777777" w:rsidR="00E12269" w:rsidRDefault="00414B7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资产管理计划投资于其他私募资产管理产品的，该资产管理计划按照穿透原则合并计算的投资同一资产的比例以及投资同一或同类资产的金额，应当符合本办法及中国证监会相关规定。</w:t>
      </w:r>
    </w:p>
    <w:p w14:paraId="3F1D2D09" w14:textId="77777777" w:rsidR="00E12269" w:rsidRDefault="00414B7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资产管理计划应当按照所投资资产管理产品披露投资组合的频率，及时更新计算该资产管理计划所投资资产的金额或比例。</w:t>
      </w:r>
    </w:p>
    <w:p w14:paraId="5D5585F7" w14:textId="77777777" w:rsidR="00E12269" w:rsidRDefault="00414B76">
      <w:pPr>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证券期货经营机构不得将其管理的资产管理计划资产投资于该机构管理的其他资产管理计划，依法设立的</w:t>
      </w:r>
      <w:r>
        <w:rPr>
          <w:rFonts w:ascii="仿宋_GB2312" w:eastAsia="仿宋_GB2312" w:hAnsi="仿宋_GB2312" w:cs="仿宋_GB2312" w:hint="eastAsia"/>
          <w:sz w:val="32"/>
          <w:szCs w:val="32"/>
        </w:rPr>
        <w:t>基金中基金资产管理计划以及</w:t>
      </w:r>
      <w:r>
        <w:rPr>
          <w:rFonts w:ascii="仿宋_GB2312" w:eastAsia="仿宋_GB2312" w:hAnsi="仿宋_GB2312" w:cs="仿宋_GB2312" w:hint="eastAsia"/>
          <w:sz w:val="32"/>
          <w:szCs w:val="32"/>
        </w:rPr>
        <w:t>中国证监会另有规定的除外。</w:t>
      </w:r>
    </w:p>
    <w:p w14:paraId="35012A73"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第四十六条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证券期货经营机构应当切实履行主动管理职责，不得有下列行为：</w:t>
      </w:r>
    </w:p>
    <w:p w14:paraId="08C64FD4" w14:textId="77777777" w:rsidR="00E12269" w:rsidRDefault="00414B76">
      <w:pPr>
        <w:numPr>
          <w:ilvl w:val="0"/>
          <w:numId w:val="8"/>
        </w:num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为其他机构</w:t>
      </w:r>
      <w:r>
        <w:rPr>
          <w:rFonts w:ascii="仿宋_GB2312" w:eastAsia="仿宋_GB2312" w:hAnsi="仿宋_GB2312" w:cs="仿宋_GB2312" w:hint="eastAsia"/>
          <w:sz w:val="32"/>
          <w:szCs w:val="32"/>
        </w:rPr>
        <w:t>、个人或者</w:t>
      </w:r>
      <w:r>
        <w:rPr>
          <w:rFonts w:ascii="仿宋_GB2312" w:eastAsia="仿宋_GB2312" w:hAnsi="仿宋_GB2312" w:cs="仿宋_GB2312" w:hint="eastAsia"/>
          <w:sz w:val="32"/>
          <w:szCs w:val="32"/>
        </w:rPr>
        <w:t>资产管理产品提供规避投资范围、杠杆约束等监管要求的通道服务</w:t>
      </w:r>
      <w:r>
        <w:rPr>
          <w:rFonts w:ascii="仿宋_GB2312" w:eastAsia="仿宋_GB2312" w:hAnsi="仿宋_GB2312" w:cs="仿宋_GB2312" w:hint="eastAsia"/>
          <w:sz w:val="32"/>
          <w:szCs w:val="32"/>
        </w:rPr>
        <w:t>；</w:t>
      </w:r>
    </w:p>
    <w:p w14:paraId="3AF12785" w14:textId="77777777" w:rsidR="00E12269" w:rsidRDefault="00414B76">
      <w:pPr>
        <w:numPr>
          <w:ilvl w:val="0"/>
          <w:numId w:val="8"/>
        </w:num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在资产管理合同中约定由委托人或其指定第三方自行负责尽职调查或者投资运作；</w:t>
      </w:r>
    </w:p>
    <w:p w14:paraId="5085F94D" w14:textId="77777777" w:rsidR="00E12269" w:rsidRDefault="00414B76">
      <w:pPr>
        <w:numPr>
          <w:ilvl w:val="0"/>
          <w:numId w:val="8"/>
        </w:num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在资产管理合同中约定由委托</w:t>
      </w:r>
      <w:r>
        <w:rPr>
          <w:rFonts w:ascii="仿宋_GB2312" w:eastAsia="仿宋_GB2312" w:hAnsi="仿宋_GB2312" w:cs="仿宋_GB2312" w:hint="eastAsia"/>
          <w:sz w:val="32"/>
          <w:szCs w:val="32"/>
        </w:rPr>
        <w:t>人或其指定第三方下达投资指</w:t>
      </w:r>
      <w:r>
        <w:rPr>
          <w:rFonts w:ascii="仿宋_GB2312" w:eastAsia="仿宋_GB2312" w:hAnsi="仿宋_GB2312" w:cs="仿宋_GB2312" w:hint="eastAsia"/>
          <w:sz w:val="32"/>
          <w:szCs w:val="32"/>
        </w:rPr>
        <w:t>令或者提供投资建议；</w:t>
      </w:r>
    </w:p>
    <w:p w14:paraId="3EB9CC99" w14:textId="77777777" w:rsidR="00E12269" w:rsidRDefault="00414B76">
      <w:pPr>
        <w:numPr>
          <w:ilvl w:val="0"/>
          <w:numId w:val="8"/>
        </w:num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在资产管理合同中约定管理人根据委托人或其指定第三方的意见行使资产管理计划所持证券的权利；</w:t>
      </w:r>
    </w:p>
    <w:p w14:paraId="78EAEA50" w14:textId="77777777" w:rsidR="00E12269" w:rsidRDefault="00414B76">
      <w:pPr>
        <w:numPr>
          <w:ilvl w:val="0"/>
          <w:numId w:val="8"/>
        </w:num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法律、行政法规和中国证监会禁止的其他行为。</w:t>
      </w:r>
    </w:p>
    <w:p w14:paraId="672BEC02" w14:textId="77777777" w:rsidR="00E12269" w:rsidRDefault="00E12269">
      <w:pPr>
        <w:tabs>
          <w:tab w:val="left" w:pos="630"/>
        </w:tabs>
        <w:ind w:firstLineChars="200" w:firstLine="640"/>
        <w:rPr>
          <w:rFonts w:ascii="仿宋_GB2312" w:eastAsia="仿宋_GB2312" w:hAnsi="仿宋_GB2312" w:cs="仿宋_GB2312"/>
          <w:sz w:val="32"/>
          <w:szCs w:val="32"/>
        </w:rPr>
      </w:pPr>
    </w:p>
    <w:p w14:paraId="1B09E6C4" w14:textId="77777777" w:rsidR="00E12269" w:rsidRDefault="00414B76">
      <w:pPr>
        <w:numPr>
          <w:ilvl w:val="0"/>
          <w:numId w:val="9"/>
        </w:numPr>
        <w:tabs>
          <w:tab w:val="left" w:pos="630"/>
        </w:tabs>
        <w:jc w:val="center"/>
        <w:rPr>
          <w:rFonts w:ascii="黑体" w:eastAsia="黑体" w:hAnsi="黑体" w:cs="黑体"/>
          <w:sz w:val="32"/>
          <w:szCs w:val="32"/>
        </w:rPr>
      </w:pPr>
      <w:r>
        <w:rPr>
          <w:rFonts w:ascii="黑体" w:eastAsia="黑体" w:hAnsi="黑体" w:cs="黑体" w:hint="eastAsia"/>
          <w:sz w:val="32"/>
          <w:szCs w:val="32"/>
        </w:rPr>
        <w:t>信息披露</w:t>
      </w:r>
    </w:p>
    <w:p w14:paraId="65E69F1A" w14:textId="77777777" w:rsidR="00E12269" w:rsidRDefault="00E12269">
      <w:pPr>
        <w:tabs>
          <w:tab w:val="left" w:pos="630"/>
        </w:tabs>
        <w:rPr>
          <w:rFonts w:ascii="仿宋_GB2312" w:eastAsia="仿宋_GB2312" w:hAnsi="仿宋_GB2312" w:cs="仿宋_GB2312"/>
          <w:sz w:val="32"/>
          <w:szCs w:val="32"/>
        </w:rPr>
      </w:pPr>
    </w:p>
    <w:p w14:paraId="5B72A799" w14:textId="77777777" w:rsidR="00E12269" w:rsidRDefault="00414B76">
      <w:pPr>
        <w:tabs>
          <w:tab w:val="left" w:pos="630"/>
        </w:tabs>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第四十七条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证券期货经营机构、托管人、销售机构和其他信息披露义务人应当依法披露资产管理计划信息，保证所披露信息的真实性、准确性、完整性、及时性</w:t>
      </w:r>
      <w:r>
        <w:rPr>
          <w:rFonts w:ascii="仿宋_GB2312" w:eastAsia="仿宋_GB2312" w:hAnsi="仿宋_GB2312" w:cs="仿宋_GB2312" w:hint="eastAsia"/>
          <w:sz w:val="32"/>
          <w:szCs w:val="32"/>
        </w:rPr>
        <w:t>，确保</w:t>
      </w:r>
      <w:r>
        <w:rPr>
          <w:rFonts w:ascii="仿宋_GB2312" w:eastAsia="仿宋_GB2312" w:hAnsi="仿宋_GB2312" w:cs="仿宋_GB2312" w:hint="eastAsia"/>
          <w:sz w:val="32"/>
          <w:szCs w:val="32"/>
        </w:rPr>
        <w:t>投资者能够按照资产管理合同约定的时间和方式查阅或者复制所披露的信息资料。</w:t>
      </w:r>
    </w:p>
    <w:p w14:paraId="58947BC9"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第四十八条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资产管理计划应向投资者提供下列信息披露文件：</w:t>
      </w:r>
    </w:p>
    <w:p w14:paraId="535DBABD" w14:textId="77777777" w:rsidR="00E12269" w:rsidRDefault="00414B76">
      <w:pPr>
        <w:numPr>
          <w:ilvl w:val="0"/>
          <w:numId w:val="10"/>
        </w:numPr>
        <w:rPr>
          <w:rFonts w:ascii="仿宋_GB2312" w:eastAsia="仿宋_GB2312" w:hAnsi="仿宋_GB2312" w:cs="仿宋_GB2312"/>
          <w:sz w:val="32"/>
          <w:szCs w:val="32"/>
        </w:rPr>
      </w:pPr>
      <w:r>
        <w:rPr>
          <w:rFonts w:ascii="仿宋_GB2312" w:eastAsia="仿宋_GB2312" w:hAnsi="仿宋_GB2312" w:cs="仿宋_GB2312" w:hint="eastAsia"/>
          <w:sz w:val="32"/>
          <w:szCs w:val="32"/>
        </w:rPr>
        <w:t>资产管理合同、计划说明书和风险揭示书；</w:t>
      </w:r>
    </w:p>
    <w:p w14:paraId="4DD1D401" w14:textId="77777777" w:rsidR="00E12269" w:rsidRDefault="00414B76">
      <w:pPr>
        <w:numPr>
          <w:ilvl w:val="0"/>
          <w:numId w:val="10"/>
        </w:numPr>
        <w:rPr>
          <w:rFonts w:ascii="仿宋_GB2312" w:eastAsia="仿宋_GB2312" w:hAnsi="仿宋_GB2312" w:cs="仿宋_GB2312"/>
          <w:sz w:val="32"/>
          <w:szCs w:val="32"/>
        </w:rPr>
      </w:pPr>
      <w:r>
        <w:rPr>
          <w:rFonts w:ascii="仿宋_GB2312" w:eastAsia="仿宋_GB2312" w:hAnsi="仿宋_GB2312" w:cs="仿宋_GB2312" w:hint="eastAsia"/>
          <w:sz w:val="32"/>
          <w:szCs w:val="32"/>
        </w:rPr>
        <w:t>资产管理计划净值，资产管理计划参与、退出价格；</w:t>
      </w:r>
    </w:p>
    <w:p w14:paraId="05BF010F" w14:textId="77777777" w:rsidR="00E12269" w:rsidRDefault="00414B76">
      <w:pPr>
        <w:numPr>
          <w:ilvl w:val="0"/>
          <w:numId w:val="10"/>
        </w:numPr>
        <w:rPr>
          <w:rFonts w:ascii="仿宋_GB2312" w:eastAsia="仿宋_GB2312" w:hAnsi="仿宋_GB2312" w:cs="仿宋_GB2312"/>
          <w:sz w:val="32"/>
          <w:szCs w:val="32"/>
        </w:rPr>
      </w:pPr>
      <w:r>
        <w:rPr>
          <w:rFonts w:ascii="仿宋_GB2312" w:eastAsia="仿宋_GB2312" w:hAnsi="仿宋_GB2312" w:cs="仿宋_GB2312" w:hint="eastAsia"/>
          <w:sz w:val="32"/>
          <w:szCs w:val="32"/>
        </w:rPr>
        <w:t>资产管理计划定期报告，至少包括季度报告和年度报</w:t>
      </w:r>
    </w:p>
    <w:p w14:paraId="0B9855FF" w14:textId="77777777" w:rsidR="00E12269" w:rsidRDefault="00414B76">
      <w:pPr>
        <w:rPr>
          <w:rFonts w:ascii="仿宋_GB2312" w:eastAsia="仿宋_GB2312" w:hAnsi="仿宋_GB2312" w:cs="仿宋_GB2312"/>
          <w:sz w:val="32"/>
          <w:szCs w:val="32"/>
        </w:rPr>
      </w:pPr>
      <w:r>
        <w:rPr>
          <w:rFonts w:ascii="仿宋_GB2312" w:eastAsia="仿宋_GB2312" w:hAnsi="仿宋_GB2312" w:cs="仿宋_GB2312" w:hint="eastAsia"/>
          <w:sz w:val="32"/>
          <w:szCs w:val="32"/>
        </w:rPr>
        <w:t>告；</w:t>
      </w:r>
    </w:p>
    <w:p w14:paraId="6E27DE4B" w14:textId="77777777" w:rsidR="00E12269" w:rsidRDefault="00414B76">
      <w:pPr>
        <w:numPr>
          <w:ilvl w:val="0"/>
          <w:numId w:val="10"/>
        </w:numPr>
        <w:ind w:firstLineChars="139" w:firstLine="445"/>
        <w:rPr>
          <w:rFonts w:ascii="仿宋_GB2312" w:eastAsia="仿宋_GB2312" w:hAnsi="仿宋_GB2312" w:cs="仿宋_GB2312"/>
          <w:sz w:val="32"/>
          <w:szCs w:val="32"/>
        </w:rPr>
      </w:pPr>
      <w:r>
        <w:rPr>
          <w:rFonts w:ascii="仿宋_GB2312" w:eastAsia="仿宋_GB2312" w:hAnsi="仿宋_GB2312" w:cs="仿宋_GB2312" w:hint="eastAsia"/>
          <w:sz w:val="32"/>
          <w:szCs w:val="32"/>
        </w:rPr>
        <w:t>重大事项的临时报告；</w:t>
      </w:r>
    </w:p>
    <w:p w14:paraId="0A87C81A" w14:textId="77777777" w:rsidR="00E12269" w:rsidRDefault="00414B76">
      <w:pPr>
        <w:numPr>
          <w:ilvl w:val="0"/>
          <w:numId w:val="10"/>
        </w:numPr>
        <w:ind w:firstLineChars="139" w:firstLine="445"/>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资产管理计划清算报告；</w:t>
      </w:r>
    </w:p>
    <w:p w14:paraId="161453CE" w14:textId="77777777" w:rsidR="00E12269" w:rsidRDefault="00414B76">
      <w:pPr>
        <w:numPr>
          <w:ilvl w:val="0"/>
          <w:numId w:val="10"/>
        </w:numPr>
        <w:ind w:firstLineChars="139" w:firstLine="445"/>
        <w:rPr>
          <w:rFonts w:ascii="仿宋_GB2312" w:eastAsia="仿宋_GB2312" w:hAnsi="仿宋_GB2312" w:cs="仿宋_GB2312"/>
          <w:sz w:val="32"/>
          <w:szCs w:val="32"/>
        </w:rPr>
      </w:pPr>
      <w:r>
        <w:rPr>
          <w:rFonts w:ascii="仿宋_GB2312" w:eastAsia="仿宋_GB2312" w:hAnsi="仿宋_GB2312" w:cs="仿宋_GB2312" w:hint="eastAsia"/>
          <w:sz w:val="32"/>
          <w:szCs w:val="32"/>
        </w:rPr>
        <w:t>中国证监会规定的其他事项。</w:t>
      </w:r>
    </w:p>
    <w:p w14:paraId="24DFCED1" w14:textId="77777777" w:rsidR="00E12269" w:rsidRDefault="00414B76">
      <w:pPr>
        <w:widowControl/>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证券期货经营机构向投资者提供的信息披露文件，应当及时报送中国证监会相关派出机构、证券投资基金业协会。</w:t>
      </w:r>
    </w:p>
    <w:p w14:paraId="390DFE9E" w14:textId="77777777" w:rsidR="00E12269" w:rsidRDefault="00414B7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信息披露文件的内容与格式指引由中国证监会或者授权证券投资</w:t>
      </w:r>
      <w:r>
        <w:rPr>
          <w:rFonts w:ascii="仿宋_GB2312" w:eastAsia="仿宋_GB2312" w:hAnsi="仿宋_GB2312" w:cs="仿宋_GB2312" w:hint="eastAsia"/>
          <w:sz w:val="32"/>
          <w:szCs w:val="32"/>
        </w:rPr>
        <w:t>基金业协会</w:t>
      </w:r>
      <w:r>
        <w:rPr>
          <w:rFonts w:ascii="仿宋_GB2312" w:eastAsia="仿宋_GB2312" w:hAnsi="仿宋_GB2312" w:cs="仿宋_GB2312" w:hint="eastAsia"/>
          <w:sz w:val="32"/>
          <w:szCs w:val="32"/>
        </w:rPr>
        <w:t>另行制定。</w:t>
      </w:r>
    </w:p>
    <w:p w14:paraId="68EDD34E" w14:textId="77777777" w:rsidR="00E12269" w:rsidRDefault="00414B76">
      <w:pPr>
        <w:tabs>
          <w:tab w:val="left" w:pos="630"/>
        </w:tabs>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第四十九条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证券期货经营机构募集资产管理计划，除向投资者提供资产管理合同外，还应当制作计划说明书和风险揭示书，详细说明资产管理计划管理和运作情况，充分揭示资产管理计划的各类风险。</w:t>
      </w:r>
      <w:r>
        <w:rPr>
          <w:rFonts w:ascii="仿宋_GB2312" w:eastAsia="仿宋_GB2312" w:hAnsi="仿宋_GB2312" w:cs="仿宋_GB2312" w:hint="eastAsia"/>
          <w:sz w:val="32"/>
          <w:szCs w:val="32"/>
        </w:rPr>
        <w:t xml:space="preserve"> </w:t>
      </w:r>
    </w:p>
    <w:p w14:paraId="06D0445C" w14:textId="77777777" w:rsidR="00E12269" w:rsidRDefault="00414B76">
      <w:pPr>
        <w:tabs>
          <w:tab w:val="left" w:pos="63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计划说明书披露的信息应当与资产管理合同内容一致。</w:t>
      </w:r>
      <w:r>
        <w:rPr>
          <w:rFonts w:ascii="仿宋_GB2312" w:eastAsia="仿宋_GB2312" w:hAnsi="仿宋_GB2312" w:cs="仿宋_GB2312" w:hint="eastAsia"/>
          <w:sz w:val="32"/>
          <w:szCs w:val="32"/>
        </w:rPr>
        <w:t>销售机构应当使用证券期货经营机构制作的计划说明书和其他销售材料，不得擅自修改或者增减材料。</w:t>
      </w:r>
    </w:p>
    <w:p w14:paraId="7EDB3BE9" w14:textId="77777777" w:rsidR="00E12269" w:rsidRDefault="00414B76">
      <w:pPr>
        <w:tabs>
          <w:tab w:val="left" w:pos="63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风险揭示书应当作为资产管理计划合同的一部分交由投资者签字确认。</w:t>
      </w:r>
    </w:p>
    <w:p w14:paraId="3B964637" w14:textId="77777777" w:rsidR="00E12269" w:rsidRDefault="00414B76">
      <w:pPr>
        <w:tabs>
          <w:tab w:val="left" w:pos="630"/>
        </w:tabs>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第五十条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资产管理计划运作期间，证券期货经营机构应当按照以下要求向投资者提供相关信息：</w:t>
      </w:r>
    </w:p>
    <w:p w14:paraId="0F108D77" w14:textId="77777777" w:rsidR="00E12269" w:rsidRDefault="00414B76">
      <w:pPr>
        <w:numPr>
          <w:ilvl w:val="0"/>
          <w:numId w:val="11"/>
        </w:numPr>
        <w:tabs>
          <w:tab w:val="left" w:pos="63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投资标准化资产的</w:t>
      </w:r>
      <w:r>
        <w:rPr>
          <w:rFonts w:ascii="仿宋_GB2312" w:eastAsia="仿宋_GB2312" w:hAnsi="仿宋_GB2312" w:cs="仿宋_GB2312" w:hint="eastAsia"/>
          <w:sz w:val="32"/>
          <w:szCs w:val="32"/>
        </w:rPr>
        <w:t>资产管理计划</w:t>
      </w:r>
      <w:r>
        <w:rPr>
          <w:rFonts w:ascii="仿宋_GB2312" w:eastAsia="仿宋_GB2312" w:hAnsi="仿宋_GB2312" w:cs="仿宋_GB2312" w:hint="eastAsia"/>
          <w:sz w:val="32"/>
          <w:szCs w:val="32"/>
        </w:rPr>
        <w:t>至少每周披露一次</w:t>
      </w:r>
      <w:r>
        <w:rPr>
          <w:rFonts w:ascii="仿宋_GB2312" w:eastAsia="仿宋_GB2312" w:hAnsi="仿宋_GB2312" w:cs="仿宋_GB2312" w:hint="eastAsia"/>
          <w:sz w:val="32"/>
          <w:szCs w:val="32"/>
        </w:rPr>
        <w:t>净值，投资非标准化资产的资产管理计划至少每季度披露一次净</w:t>
      </w:r>
      <w:r>
        <w:rPr>
          <w:rFonts w:ascii="仿宋_GB2312" w:eastAsia="仿宋_GB2312" w:hAnsi="仿宋_GB2312" w:cs="仿宋_GB2312" w:hint="eastAsia"/>
          <w:sz w:val="32"/>
          <w:szCs w:val="32"/>
        </w:rPr>
        <w:lastRenderedPageBreak/>
        <w:t>值；</w:t>
      </w:r>
    </w:p>
    <w:p w14:paraId="090FCDC6" w14:textId="77777777" w:rsidR="00E12269" w:rsidRDefault="00414B76">
      <w:pPr>
        <w:numPr>
          <w:ilvl w:val="0"/>
          <w:numId w:val="11"/>
        </w:numPr>
        <w:tabs>
          <w:tab w:val="left" w:pos="63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开放式资产管理计划净值的披露频率不得低于资产管理计划的开放频率，分级资产管理计划应当披露各类别份额净值；</w:t>
      </w:r>
    </w:p>
    <w:p w14:paraId="3E55D99B" w14:textId="77777777" w:rsidR="00E12269" w:rsidRDefault="00414B76">
      <w:pPr>
        <w:numPr>
          <w:ilvl w:val="0"/>
          <w:numId w:val="11"/>
        </w:numPr>
        <w:tabs>
          <w:tab w:val="left" w:pos="63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每季度结束之日起一个月内披露季度报告，每年度结束之日起四个月内披露年度报告；</w:t>
      </w:r>
    </w:p>
    <w:p w14:paraId="7E89DD61" w14:textId="77777777" w:rsidR="00E12269" w:rsidRDefault="00414B76">
      <w:pPr>
        <w:numPr>
          <w:ilvl w:val="0"/>
          <w:numId w:val="11"/>
        </w:numPr>
        <w:tabs>
          <w:tab w:val="left" w:pos="63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发生资产管理合同约定的或者可能影响投资者利益的重大事项时，在事项发生之日起五日内向投资者披露；</w:t>
      </w:r>
    </w:p>
    <w:p w14:paraId="09FEDCC9" w14:textId="77777777" w:rsidR="00E12269" w:rsidRDefault="00414B76">
      <w:pPr>
        <w:numPr>
          <w:ilvl w:val="0"/>
          <w:numId w:val="11"/>
        </w:numPr>
        <w:tabs>
          <w:tab w:val="left" w:pos="63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中国证监会规定的其他要求。</w:t>
      </w:r>
    </w:p>
    <w:p w14:paraId="1168B8F4" w14:textId="77777777" w:rsidR="00E12269" w:rsidRDefault="00414B76">
      <w:pPr>
        <w:tabs>
          <w:tab w:val="left" w:pos="630"/>
        </w:tabs>
        <w:rPr>
          <w:rFonts w:ascii="仿宋_GB2312" w:eastAsia="仿宋_GB2312" w:hAnsi="仿宋_GB2312" w:cs="仿宋_GB2312"/>
          <w:sz w:val="32"/>
          <w:szCs w:val="32"/>
        </w:rPr>
      </w:pPr>
      <w:r>
        <w:rPr>
          <w:rStyle w:val="a6"/>
          <w:rFonts w:ascii="仿宋_GB2312" w:eastAsia="仿宋_GB2312" w:hAnsi="仿宋_GB2312" w:cs="仿宋_GB2312" w:hint="eastAsia"/>
          <w:sz w:val="32"/>
          <w:szCs w:val="32"/>
        </w:rPr>
        <w:t xml:space="preserve">    </w:t>
      </w:r>
      <w:r>
        <w:rPr>
          <w:rStyle w:val="a6"/>
          <w:rFonts w:ascii="仿宋_GB2312" w:eastAsia="仿宋_GB2312" w:hAnsi="仿宋_GB2312" w:cs="仿宋_GB2312" w:hint="eastAsia"/>
          <w:sz w:val="32"/>
          <w:szCs w:val="32"/>
        </w:rPr>
        <w:t>资产管理计划成立不足三个月或者存续期间不足三个月的，证券期货经营机构可以不编制资产管理计划当期的季度报告和年度报告。</w:t>
      </w:r>
    </w:p>
    <w:p w14:paraId="798C2960" w14:textId="77777777" w:rsidR="00E12269" w:rsidRDefault="00414B76">
      <w:pPr>
        <w:tabs>
          <w:tab w:val="left" w:pos="630"/>
        </w:tabs>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第五十一条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披露资产管理计划信息，不得有下列行为：</w:t>
      </w:r>
    </w:p>
    <w:p w14:paraId="111C45AF" w14:textId="77777777" w:rsidR="00E12269" w:rsidRDefault="00414B76">
      <w:pPr>
        <w:tabs>
          <w:tab w:val="left" w:pos="630"/>
        </w:tabs>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（一）虚假记载、误导性陈述或者重大遗漏；</w:t>
      </w:r>
    </w:p>
    <w:p w14:paraId="04A9FD28" w14:textId="77777777" w:rsidR="00E12269" w:rsidRDefault="00414B76">
      <w:pPr>
        <w:tabs>
          <w:tab w:val="left" w:pos="63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（二）对投资业绩进行预测，或者宣传预期收益率；</w:t>
      </w:r>
    </w:p>
    <w:p w14:paraId="08618BF3" w14:textId="77777777" w:rsidR="00E12269" w:rsidRDefault="00414B76">
      <w:pPr>
        <w:tabs>
          <w:tab w:val="left" w:pos="63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（三）承诺收益，承诺本金不受损失或者限定损失金额或比例；</w:t>
      </w:r>
    </w:p>
    <w:p w14:paraId="2142A765" w14:textId="77777777" w:rsidR="00E12269" w:rsidRDefault="00414B76">
      <w:pPr>
        <w:tabs>
          <w:tab w:val="left" w:pos="63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（四）夸大或者片面宣传管理人、投资经理及其管理的资产管理计划的过往业绩；</w:t>
      </w:r>
    </w:p>
    <w:p w14:paraId="151C976C" w14:textId="77777777" w:rsidR="00E12269" w:rsidRDefault="00414B76">
      <w:pPr>
        <w:tabs>
          <w:tab w:val="left" w:pos="63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（五）</w:t>
      </w:r>
      <w:r>
        <w:rPr>
          <w:rFonts w:ascii="仿宋_GB2312" w:eastAsia="仿宋_GB2312" w:hAnsi="仿宋_GB2312" w:cs="仿宋_GB2312" w:hint="eastAsia"/>
          <w:sz w:val="32"/>
          <w:szCs w:val="32"/>
        </w:rPr>
        <w:t>恶意诋毁、贬低其他资产管理人、托管人、销售机构或者其他资产管理产品</w:t>
      </w:r>
      <w:r>
        <w:rPr>
          <w:rFonts w:ascii="仿宋_GB2312" w:eastAsia="仿宋_GB2312" w:hAnsi="仿宋_GB2312" w:cs="仿宋_GB2312" w:hint="eastAsia"/>
          <w:sz w:val="32"/>
          <w:szCs w:val="32"/>
        </w:rPr>
        <w:t>；</w:t>
      </w:r>
    </w:p>
    <w:p w14:paraId="04E9D9E3" w14:textId="77777777" w:rsidR="00E12269" w:rsidRDefault="00414B76">
      <w:pPr>
        <w:numPr>
          <w:ilvl w:val="0"/>
          <w:numId w:val="12"/>
        </w:num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中国证监会禁止的其他情形。</w:t>
      </w:r>
    </w:p>
    <w:p w14:paraId="1A58902A"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第五十二条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集合资产管理计划年度财务会计报告应当经</w:t>
      </w:r>
      <w:r>
        <w:rPr>
          <w:rFonts w:ascii="仿宋_GB2312" w:eastAsia="仿宋_GB2312" w:hAnsi="仿宋_GB2312" w:cs="仿宋_GB2312" w:hint="eastAsia"/>
          <w:sz w:val="32"/>
          <w:szCs w:val="32"/>
        </w:rPr>
        <w:t>具有证券相关业务资格的会计师事务所</w:t>
      </w:r>
      <w:r>
        <w:rPr>
          <w:rFonts w:ascii="仿宋_GB2312" w:eastAsia="仿宋_GB2312" w:hAnsi="仿宋_GB2312" w:cs="仿宋_GB2312" w:hint="eastAsia"/>
          <w:sz w:val="32"/>
          <w:szCs w:val="32"/>
        </w:rPr>
        <w:t>审计，审计机构应当对资产管理计划会计核算及净值计算等出具意见。</w:t>
      </w:r>
    </w:p>
    <w:p w14:paraId="529F65A9" w14:textId="77777777" w:rsidR="00E12269" w:rsidRDefault="00E12269">
      <w:pPr>
        <w:tabs>
          <w:tab w:val="left" w:pos="630"/>
        </w:tabs>
        <w:rPr>
          <w:rFonts w:ascii="仿宋_GB2312" w:eastAsia="仿宋_GB2312" w:hAnsi="仿宋_GB2312" w:cs="仿宋_GB2312"/>
          <w:sz w:val="32"/>
          <w:szCs w:val="32"/>
        </w:rPr>
      </w:pPr>
    </w:p>
    <w:p w14:paraId="480BEC65" w14:textId="77777777" w:rsidR="00E12269" w:rsidRDefault="00414B76">
      <w:pPr>
        <w:jc w:val="center"/>
        <w:rPr>
          <w:rFonts w:ascii="黑体" w:eastAsia="黑体" w:hAnsi="黑体" w:cs="黑体"/>
          <w:b/>
          <w:bCs/>
          <w:sz w:val="32"/>
          <w:szCs w:val="32"/>
        </w:rPr>
      </w:pPr>
      <w:r>
        <w:rPr>
          <w:rFonts w:ascii="黑体" w:eastAsia="黑体" w:hAnsi="黑体" w:cs="黑体" w:hint="eastAsia"/>
          <w:sz w:val="32"/>
          <w:szCs w:val="32"/>
        </w:rPr>
        <w:t>第七章</w:t>
      </w:r>
      <w:r>
        <w:rPr>
          <w:rFonts w:ascii="黑体" w:eastAsia="黑体" w:hAnsi="黑体" w:cs="黑体" w:hint="eastAsia"/>
          <w:sz w:val="32"/>
          <w:szCs w:val="32"/>
        </w:rPr>
        <w:t xml:space="preserve"> </w:t>
      </w:r>
      <w:r>
        <w:rPr>
          <w:rFonts w:ascii="黑体" w:eastAsia="黑体" w:hAnsi="黑体" w:cs="黑体" w:hint="eastAsia"/>
          <w:sz w:val="32"/>
          <w:szCs w:val="32"/>
        </w:rPr>
        <w:t>变更、终止与清算</w:t>
      </w:r>
    </w:p>
    <w:p w14:paraId="0C78BD08" w14:textId="77777777" w:rsidR="00E12269" w:rsidRDefault="00E12269">
      <w:pPr>
        <w:tabs>
          <w:tab w:val="left" w:pos="630"/>
        </w:tabs>
        <w:rPr>
          <w:rFonts w:ascii="仿宋_GB2312" w:eastAsia="仿宋_GB2312" w:hAnsi="仿宋_GB2312" w:cs="仿宋_GB2312"/>
          <w:sz w:val="32"/>
          <w:szCs w:val="32"/>
        </w:rPr>
      </w:pPr>
    </w:p>
    <w:p w14:paraId="0EF88352" w14:textId="77777777" w:rsidR="00E12269" w:rsidRDefault="00414B76">
      <w:pPr>
        <w:tabs>
          <w:tab w:val="left" w:pos="630"/>
        </w:tabs>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第五十三条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资产管理合同需要变更的，</w:t>
      </w:r>
      <w:r>
        <w:rPr>
          <w:rFonts w:ascii="仿宋_GB2312" w:eastAsia="仿宋_GB2312" w:hAnsi="仿宋_GB2312" w:cs="仿宋_GB2312" w:hint="eastAsia"/>
          <w:sz w:val="32"/>
          <w:szCs w:val="32"/>
        </w:rPr>
        <w:t>证券期货经营机构</w:t>
      </w:r>
      <w:r>
        <w:rPr>
          <w:rFonts w:ascii="仿宋_GB2312" w:eastAsia="仿宋_GB2312" w:hAnsi="仿宋_GB2312" w:cs="仿宋_GB2312" w:hint="eastAsia"/>
          <w:sz w:val="32"/>
          <w:szCs w:val="32"/>
        </w:rPr>
        <w:t>应当</w:t>
      </w:r>
      <w:r>
        <w:rPr>
          <w:rFonts w:ascii="仿宋_GB2312" w:eastAsia="仿宋_GB2312" w:hAnsi="仿宋_GB2312" w:cs="仿宋_GB2312" w:hint="eastAsia"/>
          <w:sz w:val="32"/>
          <w:szCs w:val="32"/>
        </w:rPr>
        <w:t>按照资产管理合同约定的方式取得</w:t>
      </w:r>
      <w:r>
        <w:rPr>
          <w:rFonts w:ascii="仿宋_GB2312" w:eastAsia="仿宋_GB2312" w:hAnsi="仿宋_GB2312" w:cs="仿宋_GB2312" w:hint="eastAsia"/>
          <w:sz w:val="32"/>
          <w:szCs w:val="32"/>
        </w:rPr>
        <w:t>投资者</w:t>
      </w:r>
      <w:r>
        <w:rPr>
          <w:rFonts w:ascii="仿宋_GB2312" w:eastAsia="仿宋_GB2312" w:hAnsi="仿宋_GB2312" w:cs="仿宋_GB2312" w:hint="eastAsia"/>
          <w:sz w:val="32"/>
          <w:szCs w:val="32"/>
        </w:rPr>
        <w:t>和</w:t>
      </w:r>
      <w:r>
        <w:rPr>
          <w:rFonts w:ascii="仿宋_GB2312" w:eastAsia="仿宋_GB2312" w:hAnsi="仿宋_GB2312" w:cs="仿宋_GB2312" w:hint="eastAsia"/>
          <w:sz w:val="32"/>
          <w:szCs w:val="32"/>
        </w:rPr>
        <w:t>托管人</w:t>
      </w:r>
      <w:r>
        <w:rPr>
          <w:rFonts w:ascii="仿宋_GB2312" w:eastAsia="仿宋_GB2312" w:hAnsi="仿宋_GB2312" w:cs="仿宋_GB2312" w:hint="eastAsia"/>
          <w:sz w:val="32"/>
          <w:szCs w:val="32"/>
        </w:rPr>
        <w:t>的同意，</w:t>
      </w:r>
      <w:r>
        <w:rPr>
          <w:rFonts w:ascii="仿宋_GB2312" w:eastAsia="仿宋_GB2312" w:hAnsi="仿宋_GB2312" w:cs="仿宋_GB2312" w:hint="eastAsia"/>
          <w:sz w:val="32"/>
          <w:szCs w:val="32"/>
        </w:rPr>
        <w:t>保障投资者选择退出资产管理计划的权利，对相关后续事项</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公平、</w:t>
      </w:r>
      <w:r>
        <w:rPr>
          <w:rFonts w:ascii="仿宋_GB2312" w:eastAsia="仿宋_GB2312" w:hAnsi="仿宋_GB2312" w:cs="仿宋_GB2312" w:hint="eastAsia"/>
          <w:sz w:val="32"/>
          <w:szCs w:val="32"/>
        </w:rPr>
        <w:t>合理安排</w:t>
      </w:r>
      <w:r>
        <w:rPr>
          <w:rStyle w:val="a6"/>
          <w:rFonts w:ascii="仿宋_GB2312" w:eastAsia="仿宋_GB2312" w:hAnsi="仿宋_GB2312" w:cs="仿宋_GB2312" w:hint="eastAsia"/>
          <w:sz w:val="32"/>
          <w:szCs w:val="32"/>
        </w:rPr>
        <w:t>。</w:t>
      </w:r>
    </w:p>
    <w:p w14:paraId="6ED2A918" w14:textId="77777777" w:rsidR="00E12269" w:rsidRDefault="00414B76">
      <w:pPr>
        <w:tabs>
          <w:tab w:val="left" w:pos="630"/>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证券期货经营机构应当</w:t>
      </w:r>
      <w:proofErr w:type="gramStart"/>
      <w:r>
        <w:rPr>
          <w:rFonts w:ascii="仿宋_GB2312" w:eastAsia="仿宋_GB2312" w:hAnsi="仿宋_GB2312" w:cs="仿宋_GB2312" w:hint="eastAsia"/>
          <w:sz w:val="32"/>
          <w:szCs w:val="32"/>
        </w:rPr>
        <w:t>自资产</w:t>
      </w:r>
      <w:proofErr w:type="gramEnd"/>
      <w:r>
        <w:rPr>
          <w:rFonts w:ascii="仿宋_GB2312" w:eastAsia="仿宋_GB2312" w:hAnsi="仿宋_GB2312" w:cs="仿宋_GB2312" w:hint="eastAsia"/>
          <w:sz w:val="32"/>
          <w:szCs w:val="32"/>
        </w:rPr>
        <w:t>管理合同变更之日起五</w:t>
      </w:r>
      <w:r>
        <w:rPr>
          <w:rStyle w:val="a6"/>
          <w:rFonts w:ascii="仿宋_GB2312" w:eastAsia="仿宋_GB2312" w:hAnsi="仿宋_GB2312" w:cs="仿宋_GB2312" w:hint="eastAsia"/>
          <w:sz w:val="32"/>
          <w:szCs w:val="32"/>
        </w:rPr>
        <w:t>个工作日内报证券投资基金业协会备案，并抄报中国证监会相关派出机构。</w:t>
      </w:r>
    </w:p>
    <w:p w14:paraId="22ADE26D"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第五十四条</w:t>
      </w:r>
      <w:r>
        <w:rPr>
          <w:rStyle w:val="a6"/>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资产管理</w:t>
      </w:r>
      <w:r>
        <w:rPr>
          <w:rFonts w:ascii="仿宋_GB2312" w:eastAsia="仿宋_GB2312" w:hAnsi="仿宋_GB2312" w:cs="仿宋_GB2312" w:hint="eastAsia"/>
          <w:sz w:val="32"/>
          <w:szCs w:val="32"/>
        </w:rPr>
        <w:t>计划</w:t>
      </w:r>
      <w:r>
        <w:rPr>
          <w:rFonts w:ascii="仿宋_GB2312" w:eastAsia="仿宋_GB2312" w:hAnsi="仿宋_GB2312" w:cs="仿宋_GB2312" w:hint="eastAsia"/>
          <w:sz w:val="32"/>
          <w:szCs w:val="32"/>
        </w:rPr>
        <w:t>展期应当符合下列条件：</w:t>
      </w:r>
    </w:p>
    <w:p w14:paraId="03D427DF" w14:textId="77777777" w:rsidR="00E12269" w:rsidRDefault="00414B76">
      <w:pPr>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（一）资产管理计划</w:t>
      </w:r>
      <w:r>
        <w:rPr>
          <w:rFonts w:ascii="仿宋_GB2312" w:eastAsia="仿宋_GB2312" w:hAnsi="仿宋_GB2312" w:cs="仿宋_GB2312" w:hint="eastAsia"/>
          <w:sz w:val="32"/>
          <w:szCs w:val="32"/>
        </w:rPr>
        <w:t>运作</w:t>
      </w:r>
      <w:r>
        <w:rPr>
          <w:rFonts w:ascii="仿宋_GB2312" w:eastAsia="仿宋_GB2312" w:hAnsi="仿宋_GB2312" w:cs="仿宋_GB2312" w:hint="eastAsia"/>
          <w:sz w:val="32"/>
          <w:szCs w:val="32"/>
        </w:rPr>
        <w:t>规范，</w:t>
      </w:r>
      <w:r>
        <w:rPr>
          <w:rFonts w:ascii="仿宋_GB2312" w:eastAsia="仿宋_GB2312" w:hAnsi="仿宋_GB2312" w:cs="仿宋_GB2312" w:hint="eastAsia"/>
          <w:sz w:val="32"/>
          <w:szCs w:val="32"/>
        </w:rPr>
        <w:t>证券期货经营机构</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托管人</w:t>
      </w:r>
      <w:r>
        <w:rPr>
          <w:rFonts w:ascii="仿宋_GB2312" w:eastAsia="仿宋_GB2312" w:hAnsi="仿宋_GB2312" w:cs="仿宋_GB2312" w:hint="eastAsia"/>
          <w:sz w:val="32"/>
          <w:szCs w:val="32"/>
        </w:rPr>
        <w:t>未违反</w:t>
      </w:r>
      <w:r>
        <w:rPr>
          <w:rFonts w:ascii="仿宋_GB2312" w:eastAsia="仿宋_GB2312" w:hAnsi="仿宋_GB2312" w:cs="仿宋_GB2312" w:hint="eastAsia"/>
          <w:sz w:val="32"/>
          <w:szCs w:val="32"/>
        </w:rPr>
        <w:t>法律、行政法规、中国证监会规定和</w:t>
      </w:r>
      <w:r>
        <w:rPr>
          <w:rFonts w:ascii="仿宋_GB2312" w:eastAsia="仿宋_GB2312" w:hAnsi="仿宋_GB2312" w:cs="仿宋_GB2312" w:hint="eastAsia"/>
          <w:sz w:val="32"/>
          <w:szCs w:val="32"/>
        </w:rPr>
        <w:t>资产管理合同的约定；</w:t>
      </w:r>
    </w:p>
    <w:p w14:paraId="7D0A594B" w14:textId="77777777" w:rsidR="00E12269" w:rsidRDefault="00414B76">
      <w:pPr>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（二）资产管理计划展期没有损害投资者利益的情形；</w:t>
      </w:r>
    </w:p>
    <w:p w14:paraId="111096CC" w14:textId="77777777" w:rsidR="00E12269" w:rsidRDefault="00414B76">
      <w:pPr>
        <w:tabs>
          <w:tab w:val="left" w:pos="630"/>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（三）中国证监会规定的其他条件。</w:t>
      </w:r>
    </w:p>
    <w:p w14:paraId="4475D006" w14:textId="77777777" w:rsidR="00E12269" w:rsidRDefault="00414B76">
      <w:pPr>
        <w:tabs>
          <w:tab w:val="left" w:pos="630"/>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集合资产管理计划展期的，还应当符合集合资产管理计划的成立条件</w:t>
      </w:r>
      <w:r>
        <w:rPr>
          <w:rFonts w:ascii="仿宋_GB2312" w:eastAsia="仿宋_GB2312" w:hAnsi="仿宋_GB2312" w:cs="仿宋_GB2312" w:hint="eastAsia"/>
          <w:sz w:val="32"/>
          <w:szCs w:val="32"/>
        </w:rPr>
        <w:t>。</w:t>
      </w:r>
    </w:p>
    <w:p w14:paraId="76BA4DB1" w14:textId="77777777" w:rsidR="00E12269" w:rsidRDefault="00414B76">
      <w:pPr>
        <w:tabs>
          <w:tab w:val="left" w:pos="630"/>
        </w:tabs>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第五十五条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有下列情形之一的，资产管理</w:t>
      </w:r>
      <w:r>
        <w:rPr>
          <w:rFonts w:ascii="仿宋_GB2312" w:eastAsia="仿宋_GB2312" w:hAnsi="仿宋_GB2312" w:cs="仿宋_GB2312" w:hint="eastAsia"/>
          <w:sz w:val="32"/>
          <w:szCs w:val="32"/>
        </w:rPr>
        <w:t>计划</w:t>
      </w:r>
      <w:r>
        <w:rPr>
          <w:rFonts w:ascii="仿宋_GB2312" w:eastAsia="仿宋_GB2312" w:hAnsi="仿宋_GB2312" w:cs="仿宋_GB2312" w:hint="eastAsia"/>
          <w:sz w:val="32"/>
          <w:szCs w:val="32"/>
        </w:rPr>
        <w:t>终止：</w:t>
      </w:r>
    </w:p>
    <w:p w14:paraId="6443857F" w14:textId="77777777" w:rsidR="00E12269" w:rsidRDefault="00414B76">
      <w:pPr>
        <w:tabs>
          <w:tab w:val="left" w:pos="630"/>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（一）资产管理计划存续期</w:t>
      </w:r>
      <w:r>
        <w:rPr>
          <w:rFonts w:ascii="仿宋_GB2312" w:eastAsia="仿宋_GB2312" w:hAnsi="仿宋_GB2312" w:cs="仿宋_GB2312" w:hint="eastAsia"/>
          <w:sz w:val="32"/>
          <w:szCs w:val="32"/>
        </w:rPr>
        <w:t>届满</w:t>
      </w:r>
      <w:r>
        <w:rPr>
          <w:rFonts w:ascii="仿宋_GB2312" w:eastAsia="仿宋_GB2312" w:hAnsi="仿宋_GB2312" w:cs="仿宋_GB2312" w:hint="eastAsia"/>
          <w:sz w:val="32"/>
          <w:szCs w:val="32"/>
        </w:rPr>
        <w:t>且</w:t>
      </w:r>
      <w:proofErr w:type="gramStart"/>
      <w:r>
        <w:rPr>
          <w:rFonts w:ascii="仿宋_GB2312" w:eastAsia="仿宋_GB2312" w:hAnsi="仿宋_GB2312" w:cs="仿宋_GB2312" w:hint="eastAsia"/>
          <w:sz w:val="32"/>
          <w:szCs w:val="32"/>
        </w:rPr>
        <w:t>不</w:t>
      </w:r>
      <w:proofErr w:type="gramEnd"/>
      <w:r>
        <w:rPr>
          <w:rFonts w:ascii="仿宋_GB2312" w:eastAsia="仿宋_GB2312" w:hAnsi="仿宋_GB2312" w:cs="仿宋_GB2312" w:hint="eastAsia"/>
          <w:sz w:val="32"/>
          <w:szCs w:val="32"/>
        </w:rPr>
        <w:t>展期；</w:t>
      </w:r>
    </w:p>
    <w:p w14:paraId="0D653F44" w14:textId="77777777" w:rsidR="00E12269" w:rsidRDefault="00414B76">
      <w:pPr>
        <w:tabs>
          <w:tab w:val="left" w:pos="630"/>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证券期货经营机构</w:t>
      </w:r>
      <w:r>
        <w:rPr>
          <w:rFonts w:ascii="仿宋_GB2312" w:eastAsia="仿宋_GB2312" w:hAnsi="仿宋_GB2312" w:cs="仿宋_GB2312" w:hint="eastAsia"/>
          <w:sz w:val="32"/>
          <w:szCs w:val="32"/>
        </w:rPr>
        <w:t>被依法撤销资产管理业务资格</w:t>
      </w:r>
      <w:r>
        <w:rPr>
          <w:rFonts w:ascii="仿宋_GB2312" w:eastAsia="仿宋_GB2312" w:hAnsi="仿宋_GB2312" w:cs="仿宋_GB2312" w:hint="eastAsia"/>
          <w:sz w:val="32"/>
          <w:szCs w:val="32"/>
        </w:rPr>
        <w:t>或者依法解散、被撤销、被宣告破产，且在六个月内没有新的管理人承接；</w:t>
      </w:r>
    </w:p>
    <w:p w14:paraId="0038DD49" w14:textId="77777777" w:rsidR="00E12269" w:rsidRDefault="00414B76">
      <w:pPr>
        <w:tabs>
          <w:tab w:val="left" w:pos="630"/>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（三）托管人</w:t>
      </w:r>
      <w:r>
        <w:rPr>
          <w:rFonts w:ascii="仿宋_GB2312" w:eastAsia="仿宋_GB2312" w:hAnsi="仿宋_GB2312" w:cs="仿宋_GB2312" w:hint="eastAsia"/>
          <w:sz w:val="32"/>
          <w:szCs w:val="32"/>
        </w:rPr>
        <w:t>被依法撤销</w:t>
      </w:r>
      <w:r>
        <w:rPr>
          <w:rFonts w:ascii="仿宋_GB2312" w:eastAsia="仿宋_GB2312" w:hAnsi="仿宋_GB2312" w:cs="仿宋_GB2312" w:hint="eastAsia"/>
          <w:sz w:val="32"/>
          <w:szCs w:val="32"/>
        </w:rPr>
        <w:t>基金</w:t>
      </w:r>
      <w:r>
        <w:rPr>
          <w:rFonts w:ascii="仿宋_GB2312" w:eastAsia="仿宋_GB2312" w:hAnsi="仿宋_GB2312" w:cs="仿宋_GB2312" w:hint="eastAsia"/>
          <w:sz w:val="32"/>
          <w:szCs w:val="32"/>
        </w:rPr>
        <w:t>托管资格</w:t>
      </w:r>
      <w:r>
        <w:rPr>
          <w:rFonts w:ascii="仿宋_GB2312" w:eastAsia="仿宋_GB2312" w:hAnsi="仿宋_GB2312" w:cs="仿宋_GB2312" w:hint="eastAsia"/>
          <w:sz w:val="32"/>
          <w:szCs w:val="32"/>
        </w:rPr>
        <w:t>或者依法解散、被撤销、被宣告破产，且在六个月内没有新的托管人承接；</w:t>
      </w:r>
    </w:p>
    <w:p w14:paraId="208DFB3C" w14:textId="77777777" w:rsidR="00E12269" w:rsidRDefault="00414B76">
      <w:pPr>
        <w:tabs>
          <w:tab w:val="left" w:pos="630"/>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（四）经全体投资者、</w:t>
      </w:r>
      <w:r>
        <w:rPr>
          <w:rFonts w:ascii="仿宋_GB2312" w:eastAsia="仿宋_GB2312" w:hAnsi="仿宋_GB2312" w:cs="仿宋_GB2312" w:hint="eastAsia"/>
          <w:sz w:val="32"/>
          <w:szCs w:val="32"/>
        </w:rPr>
        <w:t>证券期货经营机构</w:t>
      </w:r>
      <w:r>
        <w:rPr>
          <w:rFonts w:ascii="仿宋_GB2312" w:eastAsia="仿宋_GB2312" w:hAnsi="仿宋_GB2312" w:cs="仿宋_GB2312" w:hint="eastAsia"/>
          <w:sz w:val="32"/>
          <w:szCs w:val="32"/>
        </w:rPr>
        <w:t>和托管人协商一致决定终止的；</w:t>
      </w:r>
    </w:p>
    <w:p w14:paraId="01EBEBBE" w14:textId="77777777" w:rsidR="00E12269" w:rsidRDefault="00414B76">
      <w:pPr>
        <w:tabs>
          <w:tab w:val="left" w:pos="630"/>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（五）发生资产管理合同约定的应当终止的情形；</w:t>
      </w:r>
    </w:p>
    <w:p w14:paraId="52BF89B3" w14:textId="77777777" w:rsidR="00E12269" w:rsidRDefault="00414B76">
      <w:pPr>
        <w:tabs>
          <w:tab w:val="left" w:pos="630"/>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（六）集合资产管理计划存续期间，</w:t>
      </w:r>
      <w:r>
        <w:rPr>
          <w:rFonts w:ascii="仿宋_GB2312" w:eastAsia="仿宋_GB2312" w:hAnsi="仿宋_GB2312" w:cs="仿宋_GB2312" w:hint="eastAsia"/>
          <w:sz w:val="32"/>
          <w:szCs w:val="32"/>
        </w:rPr>
        <w:t>持续五个工作日投资者</w:t>
      </w:r>
      <w:r>
        <w:rPr>
          <w:rFonts w:ascii="仿宋_GB2312" w:eastAsia="仿宋_GB2312" w:hAnsi="仿宋_GB2312" w:cs="仿宋_GB2312" w:hint="eastAsia"/>
          <w:sz w:val="32"/>
          <w:szCs w:val="32"/>
        </w:rPr>
        <w:t>少于</w:t>
      </w: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人；</w:t>
      </w:r>
    </w:p>
    <w:p w14:paraId="19128248" w14:textId="77777777" w:rsidR="00E12269" w:rsidRDefault="00414B76">
      <w:pPr>
        <w:tabs>
          <w:tab w:val="left" w:pos="630"/>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（七）法律、行政法规及中国证监会规定的其他情形。</w:t>
      </w:r>
    </w:p>
    <w:p w14:paraId="761CBDFF" w14:textId="77777777" w:rsidR="00E12269" w:rsidRDefault="00414B76">
      <w:pPr>
        <w:tabs>
          <w:tab w:val="left" w:pos="630"/>
        </w:tabs>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证券期货经营机构应当</w:t>
      </w:r>
      <w:proofErr w:type="gramStart"/>
      <w:r>
        <w:rPr>
          <w:rFonts w:ascii="仿宋_GB2312" w:eastAsia="仿宋_GB2312" w:hAnsi="仿宋_GB2312" w:cs="仿宋_GB2312" w:hint="eastAsia"/>
          <w:sz w:val="32"/>
          <w:szCs w:val="32"/>
        </w:rPr>
        <w:t>自资产</w:t>
      </w:r>
      <w:proofErr w:type="gramEnd"/>
      <w:r>
        <w:rPr>
          <w:rFonts w:ascii="仿宋_GB2312" w:eastAsia="仿宋_GB2312" w:hAnsi="仿宋_GB2312" w:cs="仿宋_GB2312" w:hint="eastAsia"/>
          <w:sz w:val="32"/>
          <w:szCs w:val="32"/>
        </w:rPr>
        <w:t>管理计划终止之日起</w:t>
      </w:r>
      <w:r>
        <w:rPr>
          <w:rStyle w:val="a6"/>
          <w:rFonts w:ascii="仿宋_GB2312" w:eastAsia="仿宋_GB2312" w:hAnsi="仿宋_GB2312" w:cs="仿宋_GB2312" w:hint="eastAsia"/>
          <w:sz w:val="32"/>
          <w:szCs w:val="32"/>
        </w:rPr>
        <w:t>五个工作日内报证券投资基金业协会备案，并抄报中国证监会相关派出</w:t>
      </w:r>
      <w:r>
        <w:rPr>
          <w:rStyle w:val="a6"/>
          <w:rFonts w:ascii="仿宋_GB2312" w:eastAsia="仿宋_GB2312" w:hAnsi="仿宋_GB2312" w:cs="仿宋_GB2312" w:hint="eastAsia"/>
          <w:sz w:val="32"/>
          <w:szCs w:val="32"/>
        </w:rPr>
        <w:lastRenderedPageBreak/>
        <w:t>机构。</w:t>
      </w:r>
    </w:p>
    <w:p w14:paraId="47B1E888" w14:textId="77777777" w:rsidR="00E12269" w:rsidRDefault="00414B76">
      <w:pPr>
        <w:tabs>
          <w:tab w:val="left" w:pos="630"/>
        </w:tabs>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第五十六条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资产管理</w:t>
      </w:r>
      <w:r>
        <w:rPr>
          <w:rFonts w:ascii="仿宋_GB2312" w:eastAsia="仿宋_GB2312" w:hAnsi="仿宋_GB2312" w:cs="仿宋_GB2312" w:hint="eastAsia"/>
          <w:sz w:val="32"/>
          <w:szCs w:val="32"/>
        </w:rPr>
        <w:t>计划</w:t>
      </w:r>
      <w:r>
        <w:rPr>
          <w:rFonts w:ascii="仿宋_GB2312" w:eastAsia="仿宋_GB2312" w:hAnsi="仿宋_GB2312" w:cs="仿宋_GB2312" w:hint="eastAsia"/>
          <w:sz w:val="32"/>
          <w:szCs w:val="32"/>
        </w:rPr>
        <w:t>终止的，</w:t>
      </w:r>
      <w:r>
        <w:rPr>
          <w:rFonts w:ascii="仿宋_GB2312" w:eastAsia="仿宋_GB2312" w:hAnsi="仿宋_GB2312" w:cs="仿宋_GB2312" w:hint="eastAsia"/>
          <w:sz w:val="32"/>
          <w:szCs w:val="32"/>
        </w:rPr>
        <w:t>证券期货经营机构</w:t>
      </w:r>
      <w:r>
        <w:rPr>
          <w:rFonts w:ascii="仿宋_GB2312" w:eastAsia="仿宋_GB2312" w:hAnsi="仿宋_GB2312" w:cs="仿宋_GB2312" w:hint="eastAsia"/>
          <w:sz w:val="32"/>
          <w:szCs w:val="32"/>
        </w:rPr>
        <w:t>应当在发生终止情形之日起</w:t>
      </w:r>
      <w:r>
        <w:rPr>
          <w:rFonts w:ascii="仿宋_GB2312" w:eastAsia="仿宋_GB2312" w:hAnsi="仿宋_GB2312" w:cs="仿宋_GB2312" w:hint="eastAsia"/>
          <w:sz w:val="32"/>
          <w:szCs w:val="32"/>
        </w:rPr>
        <w:t>五</w:t>
      </w:r>
      <w:r>
        <w:rPr>
          <w:rFonts w:ascii="仿宋_GB2312" w:eastAsia="仿宋_GB2312" w:hAnsi="仿宋_GB2312" w:cs="仿宋_GB2312" w:hint="eastAsia"/>
          <w:sz w:val="32"/>
          <w:szCs w:val="32"/>
        </w:rPr>
        <w:t>个工作日内开始</w:t>
      </w:r>
      <w:r>
        <w:rPr>
          <w:rFonts w:ascii="仿宋_GB2312" w:eastAsia="仿宋_GB2312" w:hAnsi="仿宋_GB2312" w:cs="仿宋_GB2312" w:hint="eastAsia"/>
          <w:sz w:val="32"/>
          <w:szCs w:val="32"/>
        </w:rPr>
        <w:t>组织</w:t>
      </w:r>
      <w:r>
        <w:rPr>
          <w:rFonts w:ascii="仿宋_GB2312" w:eastAsia="仿宋_GB2312" w:hAnsi="仿宋_GB2312" w:cs="仿宋_GB2312" w:hint="eastAsia"/>
          <w:sz w:val="32"/>
          <w:szCs w:val="32"/>
        </w:rPr>
        <w:t>清算资产管理计划</w:t>
      </w:r>
      <w:r>
        <w:rPr>
          <w:rFonts w:ascii="仿宋_GB2312" w:eastAsia="仿宋_GB2312" w:hAnsi="仿宋_GB2312" w:cs="仿宋_GB2312" w:hint="eastAsia"/>
          <w:sz w:val="32"/>
          <w:szCs w:val="32"/>
        </w:rPr>
        <w:t>财产</w:t>
      </w:r>
      <w:r>
        <w:rPr>
          <w:rFonts w:ascii="仿宋_GB2312" w:eastAsia="仿宋_GB2312" w:hAnsi="仿宋_GB2312" w:cs="仿宋_GB2312" w:hint="eastAsia"/>
          <w:sz w:val="32"/>
          <w:szCs w:val="32"/>
        </w:rPr>
        <w:t>。</w:t>
      </w:r>
    </w:p>
    <w:p w14:paraId="0F327DDB" w14:textId="77777777" w:rsidR="00E12269" w:rsidRDefault="00414B76">
      <w:pPr>
        <w:tabs>
          <w:tab w:val="left" w:pos="630"/>
        </w:tabs>
        <w:ind w:firstLineChars="213" w:firstLine="682"/>
        <w:rPr>
          <w:rFonts w:ascii="仿宋_GB2312" w:eastAsia="仿宋_GB2312" w:hAnsi="仿宋_GB2312" w:cs="仿宋_GB2312"/>
          <w:sz w:val="32"/>
          <w:szCs w:val="32"/>
        </w:rPr>
      </w:pPr>
      <w:r>
        <w:rPr>
          <w:rFonts w:ascii="仿宋_GB2312" w:eastAsia="仿宋_GB2312" w:hAnsi="仿宋_GB2312" w:cs="仿宋_GB2312" w:hint="eastAsia"/>
          <w:sz w:val="32"/>
          <w:szCs w:val="32"/>
        </w:rPr>
        <w:t>清算后的剩余</w:t>
      </w:r>
      <w:r>
        <w:rPr>
          <w:rFonts w:ascii="仿宋_GB2312" w:eastAsia="仿宋_GB2312" w:hAnsi="仿宋_GB2312" w:cs="仿宋_GB2312" w:hint="eastAsia"/>
          <w:sz w:val="32"/>
          <w:szCs w:val="32"/>
        </w:rPr>
        <w:t>财产</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集合资产管理计划</w:t>
      </w:r>
      <w:r>
        <w:rPr>
          <w:rFonts w:ascii="仿宋_GB2312" w:eastAsia="仿宋_GB2312" w:hAnsi="仿宋_GB2312" w:cs="仿宋_GB2312" w:hint="eastAsia"/>
          <w:sz w:val="32"/>
          <w:szCs w:val="32"/>
        </w:rPr>
        <w:t>应当按照投资者持有份额占总份额的比例或者资产管理合同的约定，</w:t>
      </w:r>
      <w:r>
        <w:rPr>
          <w:rFonts w:ascii="仿宋_GB2312" w:eastAsia="仿宋_GB2312" w:hAnsi="仿宋_GB2312" w:cs="仿宋_GB2312" w:hint="eastAsia"/>
          <w:sz w:val="32"/>
          <w:szCs w:val="32"/>
        </w:rPr>
        <w:t>以货币资金</w:t>
      </w:r>
      <w:r>
        <w:rPr>
          <w:rFonts w:ascii="仿宋_GB2312" w:eastAsia="仿宋_GB2312" w:hAnsi="仿宋_GB2312" w:cs="仿宋_GB2312" w:hint="eastAsia"/>
          <w:sz w:val="32"/>
          <w:szCs w:val="32"/>
        </w:rPr>
        <w:t>形式</w:t>
      </w:r>
      <w:r>
        <w:rPr>
          <w:rFonts w:ascii="仿宋_GB2312" w:eastAsia="仿宋_GB2312" w:hAnsi="仿宋_GB2312" w:cs="仿宋_GB2312" w:hint="eastAsia"/>
          <w:sz w:val="32"/>
          <w:szCs w:val="32"/>
        </w:rPr>
        <w:t>分配给</w:t>
      </w:r>
      <w:r>
        <w:rPr>
          <w:rFonts w:ascii="仿宋_GB2312" w:eastAsia="仿宋_GB2312" w:hAnsi="仿宋_GB2312" w:cs="仿宋_GB2312" w:hint="eastAsia"/>
          <w:sz w:val="32"/>
          <w:szCs w:val="32"/>
        </w:rPr>
        <w:t>投资者，中国证监会另有规定的除外</w:t>
      </w:r>
      <w:r>
        <w:rPr>
          <w:rFonts w:ascii="仿宋_GB2312" w:eastAsia="仿宋_GB2312" w:hAnsi="仿宋_GB2312" w:cs="仿宋_GB2312" w:hint="eastAsia"/>
          <w:sz w:val="32"/>
          <w:szCs w:val="32"/>
        </w:rPr>
        <w:t>；单一资产管理计划应当按照合同约定的形式将全部财产交还投资者自行管理。</w:t>
      </w:r>
    </w:p>
    <w:p w14:paraId="1F12E2DF" w14:textId="77777777" w:rsidR="00E12269" w:rsidRDefault="00414B76">
      <w:pPr>
        <w:tabs>
          <w:tab w:val="left" w:pos="630"/>
        </w:tabs>
        <w:ind w:firstLine="640"/>
        <w:rPr>
          <w:rFonts w:ascii="仿宋_GB2312" w:eastAsia="仿宋_GB2312" w:hAnsi="仿宋_GB2312" w:cs="仿宋_GB2312"/>
          <w:sz w:val="32"/>
          <w:szCs w:val="32"/>
        </w:rPr>
      </w:pPr>
      <w:r>
        <w:rPr>
          <w:rStyle w:val="a6"/>
          <w:rFonts w:ascii="仿宋_GB2312" w:eastAsia="仿宋_GB2312" w:hAnsi="仿宋_GB2312" w:cs="仿宋_GB2312" w:hint="eastAsia"/>
          <w:sz w:val="32"/>
          <w:szCs w:val="32"/>
        </w:rPr>
        <w:t>证券期货经营机构应当在资产管理计划清算结束后五个工作日内将清算结果报证券投资基金业协会备案，并抄报中国证监会相关派出机构。</w:t>
      </w:r>
      <w:r>
        <w:rPr>
          <w:rFonts w:ascii="仿宋_GB2312" w:eastAsia="仿宋_GB2312" w:hAnsi="仿宋_GB2312" w:cs="仿宋_GB2312" w:hint="eastAsia"/>
          <w:sz w:val="32"/>
          <w:szCs w:val="32"/>
        </w:rPr>
        <w:t xml:space="preserve"> </w:t>
      </w:r>
    </w:p>
    <w:p w14:paraId="32965436" w14:textId="77777777" w:rsidR="00E12269" w:rsidRDefault="00414B76">
      <w:pPr>
        <w:tabs>
          <w:tab w:val="left" w:pos="2100"/>
        </w:tabs>
        <w:rPr>
          <w:rFonts w:ascii="仿宋_GB2312" w:eastAsia="仿宋_GB2312" w:hAnsi="仿宋_GB2312" w:cs="仿宋_GB2312"/>
          <w:sz w:val="32"/>
          <w:szCs w:val="32"/>
        </w:rPr>
      </w:pPr>
      <w:r>
        <w:rPr>
          <w:rStyle w:val="a6"/>
          <w:rFonts w:ascii="仿宋_GB2312" w:eastAsia="仿宋_GB2312" w:hAnsi="仿宋_GB2312" w:cs="仿宋_GB2312" w:hint="eastAsia"/>
          <w:sz w:val="32"/>
          <w:szCs w:val="32"/>
        </w:rPr>
        <w:t xml:space="preserve">    </w:t>
      </w:r>
      <w:r>
        <w:rPr>
          <w:rStyle w:val="a6"/>
          <w:rFonts w:ascii="仿宋_GB2312" w:eastAsia="仿宋_GB2312" w:hAnsi="仿宋_GB2312" w:cs="仿宋_GB2312" w:hint="eastAsia"/>
          <w:sz w:val="32"/>
          <w:szCs w:val="32"/>
        </w:rPr>
        <w:t>资产管理计划因</w:t>
      </w:r>
      <w:r>
        <w:rPr>
          <w:rStyle w:val="a6"/>
          <w:rFonts w:ascii="仿宋_GB2312" w:eastAsia="仿宋_GB2312" w:hAnsi="仿宋_GB2312" w:cs="仿宋_GB2312" w:hint="eastAsia"/>
          <w:sz w:val="32"/>
          <w:szCs w:val="32"/>
        </w:rPr>
        <w:t>委托财产流动性受限等原因延期清算的，证券期货经营机构应当及时向中国证监会相关派出机构和证券投资基金业协会报告。</w:t>
      </w:r>
    </w:p>
    <w:p w14:paraId="4C29753B"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第五十七条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证券期货经营机构</w:t>
      </w:r>
      <w:r>
        <w:rPr>
          <w:rFonts w:ascii="仿宋_GB2312" w:eastAsia="仿宋_GB2312" w:hAnsi="仿宋_GB2312" w:cs="仿宋_GB2312" w:hint="eastAsia"/>
          <w:sz w:val="32"/>
          <w:szCs w:val="32"/>
        </w:rPr>
        <w:t>、托管人</w:t>
      </w:r>
      <w:r>
        <w:rPr>
          <w:rFonts w:ascii="仿宋_GB2312" w:eastAsia="仿宋_GB2312" w:hAnsi="仿宋_GB2312" w:cs="仿宋_GB2312" w:hint="eastAsia"/>
          <w:sz w:val="32"/>
          <w:szCs w:val="32"/>
        </w:rPr>
        <w:t>、销售机构等</w:t>
      </w:r>
      <w:r>
        <w:rPr>
          <w:rFonts w:ascii="仿宋_GB2312" w:eastAsia="仿宋_GB2312" w:hAnsi="仿宋_GB2312" w:cs="仿宋_GB2312" w:hint="eastAsia"/>
          <w:sz w:val="32"/>
          <w:szCs w:val="32"/>
        </w:rPr>
        <w:t>机构应当按照法律、行政法规</w:t>
      </w:r>
      <w:r>
        <w:rPr>
          <w:rFonts w:ascii="仿宋_GB2312" w:eastAsia="仿宋_GB2312" w:hAnsi="仿宋_GB2312" w:cs="仿宋_GB2312" w:hint="eastAsia"/>
          <w:sz w:val="32"/>
          <w:szCs w:val="32"/>
        </w:rPr>
        <w:t>和中国证监会</w:t>
      </w:r>
      <w:r>
        <w:rPr>
          <w:rFonts w:ascii="仿宋_GB2312" w:eastAsia="仿宋_GB2312" w:hAnsi="仿宋_GB2312" w:cs="仿宋_GB2312" w:hint="eastAsia"/>
          <w:sz w:val="32"/>
          <w:szCs w:val="32"/>
        </w:rPr>
        <w:t>的规定保存资产管理</w:t>
      </w:r>
      <w:r>
        <w:rPr>
          <w:rFonts w:ascii="仿宋_GB2312" w:eastAsia="仿宋_GB2312" w:hAnsi="仿宋_GB2312" w:cs="仿宋_GB2312" w:hint="eastAsia"/>
          <w:sz w:val="32"/>
          <w:szCs w:val="32"/>
        </w:rPr>
        <w:t>计划</w:t>
      </w:r>
      <w:r>
        <w:rPr>
          <w:rFonts w:ascii="仿宋_GB2312" w:eastAsia="仿宋_GB2312" w:hAnsi="仿宋_GB2312" w:cs="仿宋_GB2312" w:hint="eastAsia"/>
          <w:sz w:val="32"/>
          <w:szCs w:val="32"/>
        </w:rPr>
        <w:t>的会计账册，妥善保存有关的合同、协议、交易记录等文件、资料和数据，任何人不得隐匿、伪造、篡改或者销毁。保存期限</w:t>
      </w:r>
      <w:proofErr w:type="gramStart"/>
      <w:r>
        <w:rPr>
          <w:rFonts w:ascii="仿宋_GB2312" w:eastAsia="仿宋_GB2312" w:hAnsi="仿宋_GB2312" w:cs="仿宋_GB2312" w:hint="eastAsia"/>
          <w:sz w:val="32"/>
          <w:szCs w:val="32"/>
        </w:rPr>
        <w:t>自资产</w:t>
      </w:r>
      <w:proofErr w:type="gramEnd"/>
      <w:r>
        <w:rPr>
          <w:rFonts w:ascii="仿宋_GB2312" w:eastAsia="仿宋_GB2312" w:hAnsi="仿宋_GB2312" w:cs="仿宋_GB2312" w:hint="eastAsia"/>
          <w:sz w:val="32"/>
          <w:szCs w:val="32"/>
        </w:rPr>
        <w:t>管理计划终止之日起不少于</w:t>
      </w:r>
      <w:r>
        <w:rPr>
          <w:rFonts w:ascii="仿宋_GB2312" w:eastAsia="仿宋_GB2312" w:hAnsi="仿宋_GB2312" w:cs="仿宋_GB2312" w:hint="eastAsia"/>
          <w:sz w:val="32"/>
          <w:szCs w:val="32"/>
        </w:rPr>
        <w:t>二十</w:t>
      </w:r>
      <w:r>
        <w:rPr>
          <w:rFonts w:ascii="仿宋_GB2312" w:eastAsia="仿宋_GB2312" w:hAnsi="仿宋_GB2312" w:cs="仿宋_GB2312" w:hint="eastAsia"/>
          <w:sz w:val="32"/>
          <w:szCs w:val="32"/>
        </w:rPr>
        <w:t>年。</w:t>
      </w:r>
    </w:p>
    <w:p w14:paraId="6D833B90" w14:textId="77777777" w:rsidR="00E12269" w:rsidRDefault="00E12269">
      <w:pPr>
        <w:tabs>
          <w:tab w:val="left" w:pos="630"/>
        </w:tabs>
        <w:ind w:firstLine="640"/>
        <w:rPr>
          <w:rFonts w:ascii="仿宋_GB2312" w:eastAsia="仿宋_GB2312" w:hAnsi="仿宋_GB2312" w:cs="仿宋_GB2312"/>
          <w:sz w:val="32"/>
          <w:szCs w:val="32"/>
        </w:rPr>
      </w:pPr>
    </w:p>
    <w:p w14:paraId="5E90E910" w14:textId="77777777" w:rsidR="00E12269" w:rsidRDefault="00414B76">
      <w:pPr>
        <w:jc w:val="center"/>
        <w:rPr>
          <w:rFonts w:ascii="黑体" w:eastAsia="黑体" w:hAnsi="黑体" w:cs="黑体"/>
          <w:sz w:val="32"/>
          <w:szCs w:val="32"/>
        </w:rPr>
      </w:pPr>
      <w:r>
        <w:rPr>
          <w:rFonts w:ascii="黑体" w:eastAsia="黑体" w:hAnsi="黑体" w:cs="黑体" w:hint="eastAsia"/>
          <w:sz w:val="32"/>
          <w:szCs w:val="32"/>
        </w:rPr>
        <w:t>第</w:t>
      </w:r>
      <w:r>
        <w:rPr>
          <w:rFonts w:ascii="黑体" w:eastAsia="黑体" w:hAnsi="黑体" w:cs="黑体" w:hint="eastAsia"/>
          <w:sz w:val="32"/>
          <w:szCs w:val="32"/>
        </w:rPr>
        <w:t>八</w:t>
      </w:r>
      <w:r>
        <w:rPr>
          <w:rFonts w:ascii="黑体" w:eastAsia="黑体" w:hAnsi="黑体" w:cs="黑体" w:hint="eastAsia"/>
          <w:sz w:val="32"/>
          <w:szCs w:val="32"/>
        </w:rPr>
        <w:t>章</w:t>
      </w:r>
      <w:r>
        <w:rPr>
          <w:rFonts w:ascii="黑体" w:eastAsia="黑体" w:hAnsi="黑体" w:cs="黑体" w:hint="eastAsia"/>
          <w:sz w:val="32"/>
          <w:szCs w:val="32"/>
        </w:rPr>
        <w:t xml:space="preserve"> </w:t>
      </w:r>
      <w:r>
        <w:rPr>
          <w:rFonts w:ascii="黑体" w:eastAsia="黑体" w:hAnsi="黑体" w:cs="黑体" w:hint="eastAsia"/>
          <w:sz w:val="32"/>
          <w:szCs w:val="32"/>
        </w:rPr>
        <w:t>风险管理与内部控制</w:t>
      </w:r>
    </w:p>
    <w:p w14:paraId="7849FE6C" w14:textId="77777777" w:rsidR="00E12269" w:rsidRDefault="00E12269">
      <w:pPr>
        <w:rPr>
          <w:rFonts w:ascii="仿宋_GB2312" w:eastAsia="仿宋_GB2312" w:hAnsi="仿宋_GB2312" w:cs="仿宋_GB2312"/>
          <w:sz w:val="32"/>
          <w:szCs w:val="32"/>
        </w:rPr>
      </w:pPr>
    </w:p>
    <w:p w14:paraId="49B27FDA"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第五十八条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证券期货经营机构应当建立健全与私募资产管理业务相关的投资者适当性、投资决策、公平交易、会计核算、风险控制、合</w:t>
      </w:r>
      <w:proofErr w:type="gramStart"/>
      <w:r>
        <w:rPr>
          <w:rFonts w:ascii="仿宋_GB2312" w:eastAsia="仿宋_GB2312" w:hAnsi="仿宋_GB2312" w:cs="仿宋_GB2312" w:hint="eastAsia"/>
          <w:sz w:val="32"/>
          <w:szCs w:val="32"/>
        </w:rPr>
        <w:t>规</w:t>
      </w:r>
      <w:proofErr w:type="gramEnd"/>
      <w:r>
        <w:rPr>
          <w:rFonts w:ascii="仿宋_GB2312" w:eastAsia="仿宋_GB2312" w:hAnsi="仿宋_GB2312" w:cs="仿宋_GB2312" w:hint="eastAsia"/>
          <w:sz w:val="32"/>
          <w:szCs w:val="32"/>
        </w:rPr>
        <w:t>管理、投诉处理等管理制度，覆盖私募资产管理业务的产品设计、募集、研究、投资、交易、会计核算、信息披露、清算、信息技术、投资者服务等各个环节，明确岗位职责和责任追究机制，确保各项制度流程得到有效执行。</w:t>
      </w:r>
      <w:r>
        <w:rPr>
          <w:rFonts w:ascii="仿宋_GB2312" w:eastAsia="仿宋_GB2312" w:hAnsi="仿宋_GB2312" w:cs="仿宋_GB2312" w:hint="eastAsia"/>
          <w:sz w:val="32"/>
          <w:szCs w:val="32"/>
        </w:rPr>
        <w:t xml:space="preserve">  </w:t>
      </w:r>
    </w:p>
    <w:p w14:paraId="5FDFA988"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第五十九条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证券期货经营机构</w:t>
      </w:r>
      <w:r>
        <w:rPr>
          <w:rFonts w:ascii="仿宋_GB2312" w:eastAsia="仿宋_GB2312" w:hAnsi="仿宋_GB2312" w:cs="仿宋_GB2312" w:hint="eastAsia"/>
          <w:sz w:val="32"/>
          <w:szCs w:val="32"/>
        </w:rPr>
        <w:t>应当</w:t>
      </w:r>
      <w:r>
        <w:rPr>
          <w:rFonts w:ascii="仿宋_GB2312" w:eastAsia="仿宋_GB2312" w:hAnsi="仿宋_GB2312" w:cs="仿宋_GB2312" w:hint="eastAsia"/>
          <w:sz w:val="32"/>
          <w:szCs w:val="32"/>
        </w:rPr>
        <w:t>采取有效措施，</w:t>
      </w:r>
      <w:r>
        <w:rPr>
          <w:rFonts w:ascii="仿宋_GB2312" w:eastAsia="仿宋_GB2312" w:hAnsi="仿宋_GB2312" w:cs="仿宋_GB2312" w:hint="eastAsia"/>
          <w:sz w:val="32"/>
          <w:szCs w:val="32"/>
        </w:rPr>
        <w:t>确保私募资产管理业务与其他业务在</w:t>
      </w:r>
      <w:r>
        <w:rPr>
          <w:rFonts w:ascii="仿宋_GB2312" w:eastAsia="仿宋_GB2312" w:hAnsi="仿宋_GB2312" w:cs="仿宋_GB2312" w:hint="eastAsia"/>
          <w:sz w:val="32"/>
          <w:szCs w:val="32"/>
        </w:rPr>
        <w:t>场地、</w:t>
      </w:r>
      <w:r>
        <w:rPr>
          <w:rFonts w:ascii="仿宋_GB2312" w:eastAsia="仿宋_GB2312" w:hAnsi="仿宋_GB2312" w:cs="仿宋_GB2312" w:hint="eastAsia"/>
          <w:sz w:val="32"/>
          <w:szCs w:val="32"/>
        </w:rPr>
        <w:t>人员、账户、资金、信息等方面相分离，不同投资经理</w:t>
      </w:r>
      <w:r>
        <w:rPr>
          <w:rFonts w:ascii="仿宋_GB2312" w:eastAsia="仿宋_GB2312" w:hAnsi="仿宋_GB2312" w:cs="仿宋_GB2312" w:hint="eastAsia"/>
          <w:sz w:val="32"/>
          <w:szCs w:val="32"/>
        </w:rPr>
        <w:t>管理的资产管理计划</w:t>
      </w:r>
      <w:r>
        <w:rPr>
          <w:rFonts w:ascii="仿宋_GB2312" w:eastAsia="仿宋_GB2312" w:hAnsi="仿宋_GB2312" w:cs="仿宋_GB2312" w:hint="eastAsia"/>
          <w:sz w:val="32"/>
          <w:szCs w:val="32"/>
        </w:rPr>
        <w:t>的持仓和交易等重大非公开投资信息相隔离，控制敏</w:t>
      </w:r>
      <w:r>
        <w:rPr>
          <w:rFonts w:ascii="仿宋_GB2312" w:eastAsia="仿宋_GB2312" w:hAnsi="仿宋_GB2312" w:cs="仿宋_GB2312" w:hint="eastAsia"/>
          <w:sz w:val="32"/>
          <w:szCs w:val="32"/>
        </w:rPr>
        <w:t>感信息的不当流动和使用，切实防范内幕交易、利用未公开信息交易、利益冲突和利益输送。</w:t>
      </w:r>
    </w:p>
    <w:p w14:paraId="2277B05B"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第六十条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证券期货经营机构应当明确投资决策流程与授权管理制度，建立、维护投资对象与交易对手备选库，设定清晰的清算流程和资金划转路径，</w:t>
      </w:r>
      <w:r>
        <w:rPr>
          <w:rFonts w:ascii="仿宋_GB2312" w:eastAsia="仿宋_GB2312" w:hAnsi="仿宋_GB2312" w:cs="仿宋_GB2312" w:hint="eastAsia"/>
          <w:sz w:val="32"/>
          <w:szCs w:val="32"/>
        </w:rPr>
        <w:t>对资产管理计划账户日常交易情况进行风险识别、监测，严格执行风险控制措施和投资交易复核程序，</w:t>
      </w:r>
      <w:r>
        <w:rPr>
          <w:rFonts w:ascii="仿宋_GB2312" w:eastAsia="仿宋_GB2312" w:hAnsi="仿宋_GB2312" w:cs="仿宋_GB2312" w:hint="eastAsia"/>
          <w:sz w:val="32"/>
          <w:szCs w:val="32"/>
        </w:rPr>
        <w:t>保证投资决策按照法律</w:t>
      </w:r>
      <w:r>
        <w:rPr>
          <w:rFonts w:ascii="仿宋_GB2312" w:eastAsia="仿宋_GB2312" w:hAnsi="仿宋_GB2312" w:cs="仿宋_GB2312" w:hint="eastAsia"/>
          <w:sz w:val="32"/>
          <w:szCs w:val="32"/>
        </w:rPr>
        <w:t>、行政</w:t>
      </w:r>
      <w:r>
        <w:rPr>
          <w:rFonts w:ascii="仿宋_GB2312" w:eastAsia="仿宋_GB2312" w:hAnsi="仿宋_GB2312" w:cs="仿宋_GB2312" w:hint="eastAsia"/>
          <w:sz w:val="32"/>
          <w:szCs w:val="32"/>
        </w:rPr>
        <w:t>法规</w:t>
      </w:r>
      <w:r>
        <w:rPr>
          <w:rFonts w:ascii="仿宋_GB2312" w:eastAsia="仿宋_GB2312" w:hAnsi="仿宋_GB2312" w:cs="仿宋_GB2312" w:hint="eastAsia"/>
          <w:sz w:val="32"/>
          <w:szCs w:val="32"/>
        </w:rPr>
        <w:t>、中国证监会的</w:t>
      </w:r>
      <w:r>
        <w:rPr>
          <w:rFonts w:ascii="仿宋_GB2312" w:eastAsia="仿宋_GB2312" w:hAnsi="仿宋_GB2312" w:cs="仿宋_GB2312" w:hint="eastAsia"/>
          <w:sz w:val="32"/>
          <w:szCs w:val="32"/>
        </w:rPr>
        <w:t>规定</w:t>
      </w:r>
      <w:r>
        <w:rPr>
          <w:rFonts w:ascii="仿宋_GB2312" w:eastAsia="仿宋_GB2312" w:hAnsi="仿宋_GB2312" w:cs="仿宋_GB2312" w:hint="eastAsia"/>
          <w:sz w:val="32"/>
          <w:szCs w:val="32"/>
        </w:rPr>
        <w:t>以及</w:t>
      </w:r>
      <w:r>
        <w:rPr>
          <w:rFonts w:ascii="仿宋_GB2312" w:eastAsia="仿宋_GB2312" w:hAnsi="仿宋_GB2312" w:cs="仿宋_GB2312" w:hint="eastAsia"/>
          <w:sz w:val="32"/>
          <w:szCs w:val="32"/>
        </w:rPr>
        <w:lastRenderedPageBreak/>
        <w:t>合同约定执行</w:t>
      </w:r>
      <w:r>
        <w:rPr>
          <w:rFonts w:ascii="仿宋_GB2312" w:eastAsia="仿宋_GB2312" w:hAnsi="仿宋_GB2312" w:cs="仿宋_GB2312" w:hint="eastAsia"/>
          <w:sz w:val="32"/>
          <w:szCs w:val="32"/>
        </w:rPr>
        <w:t>。</w:t>
      </w:r>
    </w:p>
    <w:p w14:paraId="64B566C0" w14:textId="77777777" w:rsidR="00E12269" w:rsidRDefault="00414B7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投资经理应当在授权范围内独立、客观地履行职责，重要投资应当有详细的研究报告和风险分析支持。</w:t>
      </w:r>
    </w:p>
    <w:p w14:paraId="1E33CFD5" w14:textId="77777777" w:rsidR="00E12269" w:rsidRDefault="00414B76">
      <w:pPr>
        <w:tabs>
          <w:tab w:val="left" w:pos="2100"/>
        </w:tabs>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第六十一条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证券期货经营机构应当建立健全信用风险管理制度，对信用风险进行准确识别、审慎评估、动态监控、及时应对和全程管理。</w:t>
      </w:r>
    </w:p>
    <w:p w14:paraId="44B8F06D" w14:textId="77777777" w:rsidR="00E12269" w:rsidRDefault="00414B76">
      <w:pPr>
        <w:tabs>
          <w:tab w:val="left" w:pos="210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证券期货经营机构应当对</w:t>
      </w:r>
      <w:r>
        <w:rPr>
          <w:rFonts w:ascii="仿宋_GB2312" w:eastAsia="仿宋_GB2312" w:hAnsi="仿宋_GB2312" w:cs="仿宋_GB2312" w:hint="eastAsia"/>
          <w:sz w:val="32"/>
          <w:szCs w:val="32"/>
        </w:rPr>
        <w:t>投资对象、交易对手开展必要的尽职调查，实施严格的准入管理和交易额度管理，评估并持续关注证券发行人、融资主体和交易对手的资信状况，以及担保物状况、增信措施和其他保障措施的有效性。出现可能影响投资者权益的事项，证券期货经营机构应当及时采取申请追加担保、依法申请财产保全等风险控制措施。</w:t>
      </w:r>
    </w:p>
    <w:p w14:paraId="05EC5B78" w14:textId="77777777" w:rsidR="00E12269" w:rsidRDefault="00414B76">
      <w:pPr>
        <w:tabs>
          <w:tab w:val="left" w:pos="2100"/>
        </w:tabs>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第六十二条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资产管理计划投资</w:t>
      </w:r>
      <w:r>
        <w:rPr>
          <w:rFonts w:ascii="仿宋_GB2312" w:eastAsia="仿宋_GB2312" w:hAnsi="仿宋_GB2312" w:cs="仿宋_GB2312" w:hint="eastAsia"/>
          <w:sz w:val="32"/>
          <w:szCs w:val="32"/>
        </w:rPr>
        <w:t>于本办法第三十七</w:t>
      </w:r>
      <w:r>
        <w:rPr>
          <w:rFonts w:ascii="仿宋_GB2312" w:eastAsia="仿宋_GB2312" w:hAnsi="仿宋_GB2312" w:cs="仿宋_GB2312" w:hint="eastAsia"/>
          <w:sz w:val="32"/>
          <w:szCs w:val="32"/>
        </w:rPr>
        <w:t>条第</w:t>
      </w:r>
      <w:r>
        <w:rPr>
          <w:rFonts w:ascii="仿宋_GB2312" w:eastAsia="仿宋_GB2312" w:hAnsi="仿宋_GB2312" w:cs="仿宋_GB2312" w:hint="eastAsia"/>
          <w:sz w:val="32"/>
          <w:szCs w:val="32"/>
        </w:rPr>
        <w:t>（五）项规定资产的，证券期货经营机构</w:t>
      </w:r>
      <w:r>
        <w:rPr>
          <w:rFonts w:ascii="仿宋_GB2312" w:eastAsia="仿宋_GB2312" w:hAnsi="仿宋_GB2312" w:cs="仿宋_GB2312" w:hint="eastAsia"/>
          <w:sz w:val="32"/>
          <w:szCs w:val="32"/>
        </w:rPr>
        <w:t>应当</w:t>
      </w:r>
      <w:r>
        <w:rPr>
          <w:rFonts w:ascii="仿宋_GB2312" w:eastAsia="仿宋_GB2312" w:hAnsi="仿宋_GB2312" w:cs="仿宋_GB2312" w:hint="eastAsia"/>
          <w:sz w:val="32"/>
          <w:szCs w:val="32"/>
        </w:rPr>
        <w:t>建</w:t>
      </w:r>
      <w:r>
        <w:rPr>
          <w:rFonts w:ascii="仿宋_GB2312" w:eastAsia="仿宋_GB2312" w:hAnsi="仿宋_GB2312" w:cs="仿宋_GB2312" w:hint="eastAsia"/>
          <w:sz w:val="32"/>
          <w:szCs w:val="32"/>
        </w:rPr>
        <w:t>立专门的质量控制制度，进行充分</w:t>
      </w:r>
      <w:r>
        <w:rPr>
          <w:rFonts w:ascii="仿宋_GB2312" w:eastAsia="仿宋_GB2312" w:hAnsi="仿宋_GB2312" w:cs="仿宋_GB2312" w:hint="eastAsia"/>
          <w:kern w:val="0"/>
          <w:sz w:val="32"/>
          <w:szCs w:val="32"/>
        </w:rPr>
        <w:t>尽职调查并制作书面报告，</w:t>
      </w:r>
      <w:r>
        <w:rPr>
          <w:rFonts w:ascii="仿宋_GB2312" w:eastAsia="仿宋_GB2312" w:hAnsi="仿宋_GB2312" w:cs="仿宋_GB2312" w:hint="eastAsia"/>
          <w:kern w:val="0"/>
          <w:sz w:val="32"/>
          <w:szCs w:val="32"/>
        </w:rPr>
        <w:t>设置专岗</w:t>
      </w:r>
      <w:r>
        <w:rPr>
          <w:rFonts w:ascii="仿宋_GB2312" w:eastAsia="仿宋_GB2312" w:hAnsi="仿宋_GB2312" w:cs="仿宋_GB2312" w:hint="eastAsia"/>
          <w:kern w:val="0"/>
          <w:sz w:val="32"/>
          <w:szCs w:val="32"/>
        </w:rPr>
        <w:t>负责</w:t>
      </w:r>
      <w:r>
        <w:rPr>
          <w:rFonts w:ascii="仿宋_GB2312" w:eastAsia="仿宋_GB2312" w:hAnsi="仿宋_GB2312" w:cs="仿宋_GB2312" w:hint="eastAsia"/>
          <w:kern w:val="0"/>
          <w:sz w:val="32"/>
          <w:szCs w:val="32"/>
        </w:rPr>
        <w:t>投后管理</w:t>
      </w:r>
      <w:r>
        <w:rPr>
          <w:rFonts w:ascii="仿宋_GB2312" w:eastAsia="仿宋_GB2312" w:hAnsi="仿宋_GB2312" w:cs="仿宋_GB2312" w:hint="eastAsia"/>
          <w:kern w:val="0"/>
          <w:sz w:val="32"/>
          <w:szCs w:val="32"/>
        </w:rPr>
        <w:t>、信息披露等事宜</w:t>
      </w:r>
      <w:r>
        <w:rPr>
          <w:rFonts w:ascii="仿宋_GB2312" w:eastAsia="仿宋_GB2312" w:hAnsi="仿宋_GB2312" w:cs="仿宋_GB2312" w:hint="eastAsia"/>
          <w:kern w:val="0"/>
          <w:sz w:val="32"/>
          <w:szCs w:val="32"/>
        </w:rPr>
        <w:t>，</w:t>
      </w:r>
      <w:r>
        <w:rPr>
          <w:rFonts w:ascii="仿宋_GB2312" w:eastAsia="仿宋_GB2312" w:hAnsi="仿宋_GB2312" w:cs="仿宋_GB2312" w:hint="eastAsia"/>
          <w:kern w:val="0"/>
          <w:sz w:val="32"/>
          <w:szCs w:val="32"/>
        </w:rPr>
        <w:t>动态监测风险。</w:t>
      </w:r>
    </w:p>
    <w:p w14:paraId="577DC436"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第六十三条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证券期货经营机构</w:t>
      </w:r>
      <w:r>
        <w:rPr>
          <w:rFonts w:ascii="仿宋_GB2312" w:eastAsia="仿宋_GB2312" w:hAnsi="仿宋_GB2312" w:cs="仿宋_GB2312" w:hint="eastAsia"/>
          <w:sz w:val="32"/>
          <w:szCs w:val="32"/>
        </w:rPr>
        <w:t>应当</w:t>
      </w:r>
      <w:r>
        <w:rPr>
          <w:rFonts w:ascii="仿宋_GB2312" w:eastAsia="仿宋_GB2312" w:hAnsi="仿宋_GB2312" w:cs="仿宋_GB2312" w:hint="eastAsia"/>
          <w:sz w:val="32"/>
          <w:szCs w:val="32"/>
        </w:rPr>
        <w:t>建立健全流动性风险监测、预警与应急处置制度，将私募资产管理业务纳入常态</w:t>
      </w:r>
      <w:proofErr w:type="gramStart"/>
      <w:r>
        <w:rPr>
          <w:rFonts w:ascii="仿宋_GB2312" w:eastAsia="仿宋_GB2312" w:hAnsi="仿宋_GB2312" w:cs="仿宋_GB2312" w:hint="eastAsia"/>
          <w:sz w:val="32"/>
          <w:szCs w:val="32"/>
        </w:rPr>
        <w:t>化压力</w:t>
      </w:r>
      <w:proofErr w:type="gramEnd"/>
      <w:r>
        <w:rPr>
          <w:rFonts w:ascii="仿宋_GB2312" w:eastAsia="仿宋_GB2312" w:hAnsi="仿宋_GB2312" w:cs="仿宋_GB2312" w:hint="eastAsia"/>
          <w:sz w:val="32"/>
          <w:szCs w:val="32"/>
        </w:rPr>
        <w:t>测试机制，压力测试应当至少每季度进行一次。</w:t>
      </w:r>
    </w:p>
    <w:p w14:paraId="0EDD3F9C" w14:textId="77777777" w:rsidR="00E12269" w:rsidRDefault="00414B7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证券期货经营机构应当结合市场状况和自身管理能力制定并持续更新流动性风险应急预案，明确预案触发情景、应急程序与措施、应急资金来源、公司董事会、管理层及各部门职责与权限等。</w:t>
      </w:r>
    </w:p>
    <w:p w14:paraId="58DDFE0A"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第六十四条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证券期货经营机构</w:t>
      </w:r>
      <w:r>
        <w:rPr>
          <w:rFonts w:ascii="仿宋_GB2312" w:eastAsia="仿宋_GB2312" w:hAnsi="仿宋_GB2312" w:cs="仿宋_GB2312" w:hint="eastAsia"/>
          <w:sz w:val="32"/>
          <w:szCs w:val="32"/>
        </w:rPr>
        <w:t>应当建立公平交易</w:t>
      </w:r>
      <w:r>
        <w:rPr>
          <w:rFonts w:ascii="仿宋_GB2312" w:eastAsia="仿宋_GB2312" w:hAnsi="仿宋_GB2312" w:cs="仿宋_GB2312" w:hint="eastAsia"/>
          <w:sz w:val="32"/>
          <w:szCs w:val="32"/>
        </w:rPr>
        <w:t>制度及异常交易监控机制</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公平对待所管理的不同资产，对投资交易行为进行监控、分析、评估、核查，监督投资交易的过程和结果，保证公平交易原则的实现，不得开展</w:t>
      </w:r>
      <w:r>
        <w:rPr>
          <w:rFonts w:ascii="仿宋_GB2312" w:eastAsia="仿宋_GB2312" w:hAnsi="仿宋_GB2312" w:cs="仿宋_GB2312" w:hint="eastAsia"/>
          <w:sz w:val="32"/>
          <w:szCs w:val="32"/>
        </w:rPr>
        <w:t>可能导致不公平交易和利益输送的交易行为</w:t>
      </w:r>
      <w:r>
        <w:rPr>
          <w:rFonts w:ascii="仿宋_GB2312" w:eastAsia="仿宋_GB2312" w:hAnsi="仿宋_GB2312" w:cs="仿宋_GB2312" w:hint="eastAsia"/>
          <w:sz w:val="32"/>
          <w:szCs w:val="32"/>
        </w:rPr>
        <w:t>。</w:t>
      </w:r>
    </w:p>
    <w:p w14:paraId="5767B294" w14:textId="77777777" w:rsidR="00E12269" w:rsidRDefault="00414B76">
      <w:pPr>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证券期货经营机构应当对不同资产管理计划之间发生的同向交易和反向交易</w:t>
      </w:r>
      <w:r>
        <w:rPr>
          <w:rFonts w:ascii="仿宋_GB2312" w:eastAsia="仿宋_GB2312" w:hAnsi="仿宋_GB2312" w:cs="仿宋_GB2312" w:hint="eastAsia"/>
          <w:sz w:val="32"/>
          <w:szCs w:val="32"/>
        </w:rPr>
        <w:t>进行监控</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同一资产管理计划</w:t>
      </w:r>
      <w:r>
        <w:rPr>
          <w:rFonts w:ascii="仿宋_GB2312" w:eastAsia="仿宋_GB2312" w:hAnsi="仿宋_GB2312" w:cs="仿宋_GB2312" w:hint="eastAsia"/>
          <w:sz w:val="32"/>
          <w:szCs w:val="32"/>
        </w:rPr>
        <w:t>不得</w:t>
      </w:r>
      <w:r>
        <w:rPr>
          <w:rFonts w:ascii="仿宋_GB2312" w:eastAsia="仿宋_GB2312" w:hAnsi="仿宋_GB2312" w:cs="仿宋_GB2312" w:hint="eastAsia"/>
          <w:sz w:val="32"/>
          <w:szCs w:val="32"/>
        </w:rPr>
        <w:t>在同一交</w:t>
      </w:r>
      <w:r>
        <w:rPr>
          <w:rFonts w:ascii="仿宋_GB2312" w:eastAsia="仿宋_GB2312" w:hAnsi="仿宋_GB2312" w:cs="仿宋_GB2312" w:hint="eastAsia"/>
          <w:sz w:val="32"/>
          <w:szCs w:val="32"/>
        </w:rPr>
        <w:t>易日内进行反向交易。确因投资策略或流动性等需要发生同日反向交易</w:t>
      </w:r>
      <w:r>
        <w:rPr>
          <w:rFonts w:ascii="仿宋_GB2312" w:eastAsia="仿宋_GB2312" w:hAnsi="仿宋_GB2312" w:cs="仿宋_GB2312" w:hint="eastAsia"/>
          <w:sz w:val="32"/>
          <w:szCs w:val="32"/>
        </w:rPr>
        <w:t>的</w:t>
      </w:r>
      <w:r>
        <w:rPr>
          <w:rFonts w:ascii="仿宋_GB2312" w:eastAsia="仿宋_GB2312" w:hAnsi="仿宋_GB2312" w:cs="仿宋_GB2312" w:hint="eastAsia"/>
          <w:sz w:val="32"/>
          <w:szCs w:val="32"/>
        </w:rPr>
        <w:t>，应要求投资经理提供决策依据，并留存</w:t>
      </w:r>
      <w:r>
        <w:rPr>
          <w:rFonts w:ascii="仿宋_GB2312" w:eastAsia="仿宋_GB2312" w:hAnsi="仿宋_GB2312" w:cs="仿宋_GB2312" w:hint="eastAsia"/>
          <w:sz w:val="32"/>
          <w:szCs w:val="32"/>
        </w:rPr>
        <w:t>书面</w:t>
      </w:r>
      <w:r>
        <w:rPr>
          <w:rFonts w:ascii="仿宋_GB2312" w:eastAsia="仿宋_GB2312" w:hAnsi="仿宋_GB2312" w:cs="仿宋_GB2312" w:hint="eastAsia"/>
          <w:sz w:val="32"/>
          <w:szCs w:val="32"/>
        </w:rPr>
        <w:t>记录备查</w:t>
      </w:r>
      <w:r>
        <w:rPr>
          <w:rFonts w:ascii="仿宋_GB2312" w:eastAsia="仿宋_GB2312" w:hAnsi="仿宋_GB2312" w:cs="仿宋_GB2312" w:hint="eastAsia"/>
          <w:sz w:val="32"/>
          <w:szCs w:val="32"/>
        </w:rPr>
        <w:t>。</w:t>
      </w:r>
    </w:p>
    <w:p w14:paraId="403AB5A7" w14:textId="77777777" w:rsidR="00E12269" w:rsidRDefault="00414B76">
      <w:pPr>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资产管理计划依法投资于本办法第三十七条第（三）项规定资产的，在同一交易日内进行反向交易的，不受前款规定限制。</w:t>
      </w:r>
    </w:p>
    <w:p w14:paraId="27579200"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第六十五条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证券期货经营机构</w:t>
      </w:r>
      <w:r>
        <w:rPr>
          <w:rFonts w:ascii="仿宋_GB2312" w:eastAsia="仿宋_GB2312" w:hAnsi="仿宋_GB2312" w:cs="仿宋_GB2312" w:hint="eastAsia"/>
          <w:sz w:val="32"/>
          <w:szCs w:val="32"/>
        </w:rPr>
        <w:t>的自营账户、资产管理</w:t>
      </w:r>
      <w:r>
        <w:rPr>
          <w:rFonts w:ascii="仿宋_GB2312" w:eastAsia="仿宋_GB2312" w:hAnsi="仿宋_GB2312" w:cs="仿宋_GB2312" w:hint="eastAsia"/>
          <w:sz w:val="32"/>
          <w:szCs w:val="32"/>
        </w:rPr>
        <w:t>计划</w:t>
      </w:r>
      <w:r>
        <w:rPr>
          <w:rFonts w:ascii="仿宋_GB2312" w:eastAsia="仿宋_GB2312" w:hAnsi="仿宋_GB2312" w:cs="仿宋_GB2312" w:hint="eastAsia"/>
          <w:sz w:val="32"/>
          <w:szCs w:val="32"/>
        </w:rPr>
        <w:t>账户</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作为投资顾问</w:t>
      </w:r>
      <w:r>
        <w:rPr>
          <w:rFonts w:ascii="仿宋_GB2312" w:eastAsia="仿宋_GB2312" w:hAnsi="仿宋_GB2312" w:cs="仿宋_GB2312" w:hint="eastAsia"/>
          <w:sz w:val="32"/>
          <w:szCs w:val="32"/>
        </w:rPr>
        <w:t>管理</w:t>
      </w:r>
      <w:r>
        <w:rPr>
          <w:rFonts w:ascii="仿宋_GB2312" w:eastAsia="仿宋_GB2312" w:hAnsi="仿宋_GB2312" w:cs="仿宋_GB2312" w:hint="eastAsia"/>
          <w:sz w:val="32"/>
          <w:szCs w:val="32"/>
        </w:rPr>
        <w:t>的产品账户之间，</w:t>
      </w:r>
      <w:r>
        <w:rPr>
          <w:rFonts w:ascii="仿宋_GB2312" w:eastAsia="仿宋_GB2312" w:hAnsi="仿宋_GB2312" w:cs="仿宋_GB2312" w:hint="eastAsia"/>
          <w:sz w:val="32"/>
          <w:szCs w:val="32"/>
        </w:rPr>
        <w:t>以及不同资产管理计划账户之间，</w:t>
      </w:r>
      <w:r>
        <w:rPr>
          <w:rFonts w:ascii="仿宋_GB2312" w:eastAsia="仿宋_GB2312" w:hAnsi="仿宋_GB2312" w:cs="仿宋_GB2312" w:hint="eastAsia"/>
          <w:sz w:val="32"/>
          <w:szCs w:val="32"/>
        </w:rPr>
        <w:t>不得发生交易，有充分证据证明进行有效隔离并且价格公允的除外</w:t>
      </w:r>
      <w:r>
        <w:rPr>
          <w:rFonts w:ascii="仿宋_GB2312" w:eastAsia="仿宋_GB2312" w:hAnsi="仿宋_GB2312" w:cs="仿宋_GB2312" w:hint="eastAsia"/>
          <w:sz w:val="32"/>
          <w:szCs w:val="32"/>
        </w:rPr>
        <w:t>。</w:t>
      </w:r>
    </w:p>
    <w:p w14:paraId="6588C4AB" w14:textId="77777777" w:rsidR="00E12269" w:rsidRDefault="00414B76">
      <w:pPr>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子公司从事私募资产管理业务的，证券期货经营机构的自营账户、资产管理计划账户以及作为投资顾问管理的产品账户与子公司的资产管理计划账户之间的交易，适用本条规定。</w:t>
      </w:r>
    </w:p>
    <w:p w14:paraId="4AEDB694"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第六十六条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证券期货经营机构应当建立健全关联交易管理制度，对关联交易认定标准、交易定价方法、交易审批程序进行规范，</w:t>
      </w:r>
      <w:r>
        <w:rPr>
          <w:rFonts w:ascii="仿宋_GB2312" w:eastAsia="仿宋_GB2312" w:hAnsi="仿宋_GB2312" w:cs="仿宋_GB2312" w:hint="eastAsia"/>
          <w:sz w:val="32"/>
          <w:szCs w:val="32"/>
        </w:rPr>
        <w:t>不得以资产管理计划的</w:t>
      </w:r>
      <w:r>
        <w:rPr>
          <w:rFonts w:ascii="仿宋_GB2312" w:eastAsia="仿宋_GB2312" w:hAnsi="仿宋_GB2312" w:cs="仿宋_GB2312" w:hint="eastAsia"/>
          <w:sz w:val="32"/>
          <w:szCs w:val="32"/>
        </w:rPr>
        <w:t>资产</w:t>
      </w:r>
      <w:r>
        <w:rPr>
          <w:rFonts w:ascii="仿宋_GB2312" w:eastAsia="仿宋_GB2312" w:hAnsi="仿宋_GB2312" w:cs="仿宋_GB2312" w:hint="eastAsia"/>
          <w:sz w:val="32"/>
          <w:szCs w:val="32"/>
        </w:rPr>
        <w:t>与关联方进行不正当交易、利益输送、内幕交易和操纵市场。</w:t>
      </w:r>
    </w:p>
    <w:p w14:paraId="1C82192B" w14:textId="77777777" w:rsidR="00E12269" w:rsidRDefault="00414B76">
      <w:pPr>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证券期货经营机构以资产管理计划资产从事重大关联交易的，应当遵守法律、行政法规、中国证监会的规定和合同约定，事先取得投资者的同意，事后及时告知投资者和托管人，并</w:t>
      </w:r>
      <w:r>
        <w:rPr>
          <w:rFonts w:ascii="仿宋_GB2312" w:eastAsia="仿宋_GB2312" w:hAnsi="仿宋_GB2312" w:cs="仿宋_GB2312" w:hint="eastAsia"/>
          <w:sz w:val="32"/>
          <w:szCs w:val="32"/>
        </w:rPr>
        <w:t>向中国证监会相关派出机构和证券投资基金业协会报告，投资于证券期货的关联交易还应当向证券期货交易所报告。</w:t>
      </w:r>
    </w:p>
    <w:p w14:paraId="460C5273"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第六十七条</w:t>
      </w:r>
      <w:r>
        <w:rPr>
          <w:rFonts w:ascii="仿宋_GB2312" w:eastAsia="仿宋_GB2312" w:hAnsi="仿宋_GB2312" w:cs="仿宋_GB2312" w:hint="eastAsia"/>
          <w:kern w:val="0"/>
          <w:sz w:val="32"/>
          <w:szCs w:val="32"/>
        </w:rPr>
        <w:t xml:space="preserve">  </w:t>
      </w:r>
      <w:r>
        <w:rPr>
          <w:rFonts w:ascii="仿宋_GB2312" w:eastAsia="仿宋_GB2312" w:hAnsi="仿宋_GB2312" w:cs="仿宋_GB2312" w:hint="eastAsia"/>
          <w:sz w:val="32"/>
          <w:szCs w:val="32"/>
        </w:rPr>
        <w:t>证券期货经营机构</w:t>
      </w:r>
      <w:r>
        <w:rPr>
          <w:rFonts w:ascii="仿宋_GB2312" w:eastAsia="仿宋_GB2312" w:hAnsi="仿宋_GB2312" w:cs="仿宋_GB2312" w:hint="eastAsia"/>
          <w:sz w:val="32"/>
          <w:szCs w:val="32"/>
        </w:rPr>
        <w:t>应当建立健全信息披露</w:t>
      </w:r>
      <w:r>
        <w:rPr>
          <w:rFonts w:ascii="仿宋_GB2312" w:eastAsia="仿宋_GB2312" w:hAnsi="仿宋_GB2312" w:cs="仿宋_GB2312" w:hint="eastAsia"/>
          <w:sz w:val="32"/>
          <w:szCs w:val="32"/>
        </w:rPr>
        <w:t>管理</w:t>
      </w:r>
      <w:r>
        <w:rPr>
          <w:rFonts w:ascii="仿宋_GB2312" w:eastAsia="仿宋_GB2312" w:hAnsi="仿宋_GB2312" w:cs="仿宋_GB2312" w:hint="eastAsia"/>
          <w:sz w:val="32"/>
          <w:szCs w:val="32"/>
        </w:rPr>
        <w:t>制度</w:t>
      </w:r>
      <w:r>
        <w:rPr>
          <w:rFonts w:ascii="仿宋_GB2312" w:eastAsia="仿宋_GB2312" w:hAnsi="仿宋_GB2312" w:cs="仿宋_GB2312" w:hint="eastAsia"/>
          <w:sz w:val="32"/>
          <w:szCs w:val="32"/>
        </w:rPr>
        <w:t>，设置专门部门或者专岗</w:t>
      </w:r>
      <w:r>
        <w:rPr>
          <w:rFonts w:ascii="仿宋_GB2312" w:eastAsia="仿宋_GB2312" w:hAnsi="仿宋_GB2312" w:cs="仿宋_GB2312" w:hint="eastAsia"/>
          <w:sz w:val="32"/>
          <w:szCs w:val="32"/>
        </w:rPr>
        <w:t>负责信息披露工作，</w:t>
      </w:r>
      <w:r>
        <w:rPr>
          <w:rFonts w:ascii="仿宋_GB2312" w:eastAsia="仿宋_GB2312" w:hAnsi="仿宋_GB2312" w:cs="仿宋_GB2312" w:hint="eastAsia"/>
          <w:sz w:val="32"/>
          <w:szCs w:val="32"/>
        </w:rPr>
        <w:t>明确负责的高级管理人员，并建立复核机制，通过规范渠道向投资者披露有关信息，还应当定期</w:t>
      </w:r>
      <w:r>
        <w:rPr>
          <w:rFonts w:ascii="仿宋_GB2312" w:eastAsia="仿宋_GB2312" w:hAnsi="仿宋_GB2312" w:cs="仿宋_GB2312" w:hint="eastAsia"/>
          <w:sz w:val="32"/>
          <w:szCs w:val="32"/>
        </w:rPr>
        <w:t>对信息披露</w:t>
      </w:r>
      <w:r>
        <w:rPr>
          <w:rFonts w:ascii="仿宋_GB2312" w:eastAsia="仿宋_GB2312" w:hAnsi="仿宋_GB2312" w:cs="仿宋_GB2312" w:hint="eastAsia"/>
          <w:sz w:val="32"/>
          <w:szCs w:val="32"/>
        </w:rPr>
        <w:t>工作</w:t>
      </w:r>
      <w:r>
        <w:rPr>
          <w:rFonts w:ascii="仿宋_GB2312" w:eastAsia="仿宋_GB2312" w:hAnsi="仿宋_GB2312" w:cs="仿宋_GB2312" w:hint="eastAsia"/>
          <w:sz w:val="32"/>
          <w:szCs w:val="32"/>
        </w:rPr>
        <w:t>的</w:t>
      </w:r>
      <w:r>
        <w:rPr>
          <w:rFonts w:ascii="仿宋_GB2312" w:eastAsia="仿宋_GB2312" w:hAnsi="仿宋_GB2312" w:cs="仿宋_GB2312" w:hint="eastAsia"/>
          <w:sz w:val="32"/>
          <w:szCs w:val="32"/>
        </w:rPr>
        <w:t>真实性、准确性、完整性、及时性等进行评估。</w:t>
      </w:r>
    </w:p>
    <w:p w14:paraId="61C3D8B9"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第六十八条</w:t>
      </w:r>
      <w:r>
        <w:rPr>
          <w:rFonts w:ascii="仿宋_GB2312" w:eastAsia="仿宋_GB2312" w:hAnsi="仿宋_GB2312" w:cs="仿宋_GB2312" w:hint="eastAsia"/>
          <w:kern w:val="0"/>
          <w:sz w:val="32"/>
          <w:szCs w:val="32"/>
        </w:rPr>
        <w:t xml:space="preserve">  </w:t>
      </w:r>
      <w:r>
        <w:rPr>
          <w:rFonts w:ascii="仿宋_GB2312" w:eastAsia="仿宋_GB2312" w:hAnsi="仿宋_GB2312" w:cs="仿宋_GB2312" w:hint="eastAsia"/>
          <w:sz w:val="32"/>
          <w:szCs w:val="32"/>
        </w:rPr>
        <w:t>证券期货经营机构和托管人</w:t>
      </w:r>
      <w:r>
        <w:rPr>
          <w:rFonts w:ascii="仿宋_GB2312" w:eastAsia="仿宋_GB2312" w:hAnsi="仿宋_GB2312" w:cs="仿宋_GB2312" w:hint="eastAsia"/>
          <w:sz w:val="32"/>
          <w:szCs w:val="32"/>
        </w:rPr>
        <w:t>应当</w:t>
      </w:r>
      <w:r>
        <w:rPr>
          <w:rFonts w:ascii="仿宋_GB2312" w:eastAsia="仿宋_GB2312" w:hAnsi="仿宋_GB2312" w:cs="仿宋_GB2312" w:hint="eastAsia"/>
          <w:sz w:val="32"/>
          <w:szCs w:val="32"/>
        </w:rPr>
        <w:t>加强对私募</w:t>
      </w:r>
      <w:r>
        <w:rPr>
          <w:rFonts w:ascii="仿宋_GB2312" w:eastAsia="仿宋_GB2312" w:hAnsi="仿宋_GB2312" w:cs="仿宋_GB2312" w:hint="eastAsia"/>
          <w:sz w:val="32"/>
          <w:szCs w:val="32"/>
        </w:rPr>
        <w:t>资产管理业务</w:t>
      </w:r>
      <w:r>
        <w:rPr>
          <w:rFonts w:ascii="仿宋_GB2312" w:eastAsia="仿宋_GB2312" w:hAnsi="仿宋_GB2312" w:cs="仿宋_GB2312" w:hint="eastAsia"/>
          <w:sz w:val="32"/>
          <w:szCs w:val="32"/>
        </w:rPr>
        <w:t>从业</w:t>
      </w:r>
      <w:r>
        <w:rPr>
          <w:rFonts w:ascii="仿宋_GB2312" w:eastAsia="仿宋_GB2312" w:hAnsi="仿宋_GB2312" w:cs="仿宋_GB2312" w:hint="eastAsia"/>
          <w:sz w:val="32"/>
          <w:szCs w:val="32"/>
        </w:rPr>
        <w:t>人员</w:t>
      </w:r>
      <w:r>
        <w:rPr>
          <w:rFonts w:ascii="仿宋_GB2312" w:eastAsia="仿宋_GB2312" w:hAnsi="仿宋_GB2312" w:cs="仿宋_GB2312" w:hint="eastAsia"/>
          <w:sz w:val="32"/>
          <w:szCs w:val="32"/>
        </w:rPr>
        <w:t>的管理</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加强关键岗位的监督与制衡，投</w:t>
      </w:r>
      <w:r>
        <w:rPr>
          <w:rFonts w:ascii="仿宋_GB2312" w:eastAsia="仿宋_GB2312" w:hAnsi="仿宋_GB2312" w:cs="仿宋_GB2312" w:hint="eastAsia"/>
          <w:sz w:val="32"/>
          <w:szCs w:val="32"/>
        </w:rPr>
        <w:lastRenderedPageBreak/>
        <w:t>资经理、交易执行、风险控制等岗位不得相互兼任，并建立从业人员投资申报、登记、审查、处置等管理制度，防范与投资者发生利益冲突。</w:t>
      </w:r>
    </w:p>
    <w:p w14:paraId="315E0DF8" w14:textId="77777777" w:rsidR="00E12269" w:rsidRDefault="00414B7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证券期货经营机构应当完善长效激励约束机制，不得以人员挂靠、业务包干等方式从事私募资产管理业务。</w:t>
      </w:r>
    </w:p>
    <w:p w14:paraId="004AB7FE" w14:textId="77777777" w:rsidR="00E12269" w:rsidRDefault="00414B76">
      <w:pPr>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证券期货经营机构分管私募资产管理业务的高级管理人员、私募资产管理业务部门负责人以及投资经理离任的，证券期货经营机构应当立即对其进行离任审查，并自离任之日起三十个工作日</w:t>
      </w:r>
      <w:r>
        <w:rPr>
          <w:rFonts w:ascii="仿宋_GB2312" w:eastAsia="仿宋_GB2312" w:hAnsi="仿宋_GB2312" w:cs="仿宋_GB2312" w:hint="eastAsia"/>
          <w:sz w:val="32"/>
          <w:szCs w:val="32"/>
        </w:rPr>
        <w:t>内将审查报告报送中国证监会相关派出机构和证券投资基金业协会。</w:t>
      </w:r>
    </w:p>
    <w:p w14:paraId="4D813708"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第六十九条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证券期货经营机构应当建立资产管理计划的销售机构和投资顾问的授权管理体系，明确销售机构和投资顾问的准入标准和程序，对相关机构</w:t>
      </w:r>
      <w:r>
        <w:rPr>
          <w:rFonts w:ascii="仿宋_GB2312" w:eastAsia="仿宋_GB2312" w:hAnsi="仿宋_GB2312" w:cs="仿宋_GB2312" w:hint="eastAsia"/>
          <w:sz w:val="32"/>
          <w:szCs w:val="32"/>
        </w:rPr>
        <w:t>资质条件、专业服务能力和风险管理制度等进行尽职调查，</w:t>
      </w:r>
      <w:r>
        <w:rPr>
          <w:rFonts w:ascii="仿宋_GB2312" w:eastAsia="仿宋_GB2312" w:hAnsi="仿宋_GB2312" w:cs="仿宋_GB2312" w:hint="eastAsia"/>
          <w:sz w:val="32"/>
          <w:szCs w:val="32"/>
        </w:rPr>
        <w:t>确保其符合法规规定。证券期货经营机构应当以书面方式明确界定双方的权利与义务，明确相关风险的责任承担方式。</w:t>
      </w:r>
    </w:p>
    <w:p w14:paraId="71290ABE" w14:textId="77777777" w:rsidR="00E12269" w:rsidRDefault="00414B76">
      <w:pPr>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证券期货经营机构应当建立对销售机构和投资顾问履职情况的监督评估机制，发现违法违规行为的，应当及时更换并报告</w:t>
      </w:r>
      <w:r>
        <w:rPr>
          <w:rFonts w:ascii="仿宋_GB2312" w:eastAsia="仿宋_GB2312" w:hAnsi="仿宋_GB2312" w:cs="仿宋_GB2312" w:hint="eastAsia"/>
          <w:sz w:val="32"/>
          <w:szCs w:val="32"/>
        </w:rPr>
        <w:t>中国证监会相关派出机构和</w:t>
      </w:r>
      <w:r>
        <w:rPr>
          <w:rFonts w:ascii="仿宋_GB2312" w:eastAsia="仿宋_GB2312" w:hAnsi="仿宋_GB2312" w:cs="仿宋_GB2312" w:hint="eastAsia"/>
          <w:sz w:val="32"/>
          <w:szCs w:val="32"/>
        </w:rPr>
        <w:t>证券投资</w:t>
      </w:r>
      <w:r>
        <w:rPr>
          <w:rFonts w:ascii="仿宋_GB2312" w:eastAsia="仿宋_GB2312" w:hAnsi="仿宋_GB2312" w:cs="仿宋_GB2312" w:hint="eastAsia"/>
          <w:sz w:val="32"/>
          <w:szCs w:val="32"/>
        </w:rPr>
        <w:t>基金业协会。</w:t>
      </w:r>
    </w:p>
    <w:p w14:paraId="4E8E0545"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lastRenderedPageBreak/>
        <w:t>第七十条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证券期货经营机构应当每月从资产管理计划管理费中计</w:t>
      </w:r>
      <w:proofErr w:type="gramStart"/>
      <w:r>
        <w:rPr>
          <w:rFonts w:ascii="仿宋_GB2312" w:eastAsia="仿宋_GB2312" w:hAnsi="仿宋_GB2312" w:cs="仿宋_GB2312" w:hint="eastAsia"/>
          <w:sz w:val="32"/>
          <w:szCs w:val="32"/>
        </w:rPr>
        <w:t>提风险</w:t>
      </w:r>
      <w:proofErr w:type="gramEnd"/>
      <w:r>
        <w:rPr>
          <w:rFonts w:ascii="仿宋_GB2312" w:eastAsia="仿宋_GB2312" w:hAnsi="仿宋_GB2312" w:cs="仿宋_GB2312" w:hint="eastAsia"/>
          <w:sz w:val="32"/>
          <w:szCs w:val="32"/>
        </w:rPr>
        <w:t>准备金，</w:t>
      </w:r>
      <w:r>
        <w:rPr>
          <w:rFonts w:ascii="仿宋_GB2312" w:eastAsia="仿宋_GB2312" w:hAnsi="仿宋_GB2312" w:cs="仿宋_GB2312" w:hint="eastAsia"/>
          <w:sz w:val="32"/>
          <w:szCs w:val="32"/>
        </w:rPr>
        <w:t>或者按</w:t>
      </w:r>
      <w:r>
        <w:rPr>
          <w:rFonts w:ascii="仿宋_GB2312" w:eastAsia="仿宋_GB2312" w:hAnsi="仿宋_GB2312" w:cs="仿宋_GB2312" w:hint="eastAsia"/>
          <w:sz w:val="32"/>
          <w:szCs w:val="32"/>
        </w:rPr>
        <w:t>照法律、行政法规以及中国证监会的规定计算风险资本准备。</w:t>
      </w:r>
    </w:p>
    <w:p w14:paraId="396D17C9" w14:textId="77777777" w:rsidR="00E12269" w:rsidRDefault="00414B7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风险准备金主要用于弥补因证券期货经营机构违法违规、违反资产管理合同约定、操作错误或者技术故障等给资产管理计划资产或者投资者造成的损失。风险准备金计提比例不得低于管理费收入的</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，风险准备金余额达到上季末资产管理计划资产净值的</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时可以不再提取。</w:t>
      </w:r>
    </w:p>
    <w:p w14:paraId="29364D31" w14:textId="77777777" w:rsidR="00E12269" w:rsidRDefault="00414B7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计提风险准备金的证券期货经营机构，应当选定具有基金托管资格的商业银行开立专门的私募资产管理业务风险准备金账户，该账户不得与公</w:t>
      </w:r>
      <w:proofErr w:type="gramStart"/>
      <w:r>
        <w:rPr>
          <w:rFonts w:ascii="仿宋_GB2312" w:eastAsia="仿宋_GB2312" w:hAnsi="仿宋_GB2312" w:cs="仿宋_GB2312" w:hint="eastAsia"/>
          <w:sz w:val="32"/>
          <w:szCs w:val="32"/>
        </w:rPr>
        <w:t>募基金</w:t>
      </w:r>
      <w:proofErr w:type="gramEnd"/>
      <w:r>
        <w:rPr>
          <w:rFonts w:ascii="仿宋_GB2312" w:eastAsia="仿宋_GB2312" w:hAnsi="仿宋_GB2312" w:cs="仿宋_GB2312" w:hint="eastAsia"/>
          <w:sz w:val="32"/>
          <w:szCs w:val="32"/>
        </w:rPr>
        <w:t>风险准备金账户及其他类型账户混用，不得存放其他性质资金。风险准备金的投</w:t>
      </w:r>
      <w:r>
        <w:rPr>
          <w:rFonts w:ascii="仿宋_GB2312" w:eastAsia="仿宋_GB2312" w:hAnsi="仿宋_GB2312" w:cs="仿宋_GB2312" w:hint="eastAsia"/>
          <w:sz w:val="32"/>
          <w:szCs w:val="32"/>
        </w:rPr>
        <w:t>资管理和使用，应当参照公</w:t>
      </w:r>
      <w:proofErr w:type="gramStart"/>
      <w:r>
        <w:rPr>
          <w:rFonts w:ascii="仿宋_GB2312" w:eastAsia="仿宋_GB2312" w:hAnsi="仿宋_GB2312" w:cs="仿宋_GB2312" w:hint="eastAsia"/>
          <w:sz w:val="32"/>
          <w:szCs w:val="32"/>
        </w:rPr>
        <w:t>募基金</w:t>
      </w:r>
      <w:proofErr w:type="gramEnd"/>
      <w:r>
        <w:rPr>
          <w:rFonts w:ascii="仿宋_GB2312" w:eastAsia="仿宋_GB2312" w:hAnsi="仿宋_GB2312" w:cs="仿宋_GB2312" w:hint="eastAsia"/>
          <w:sz w:val="32"/>
          <w:szCs w:val="32"/>
        </w:rPr>
        <w:t>风险准备金监督管理有关规定执行。证券期货经营机构应当在私募资产管理业务管理年度报告中，对风险准备金的提取、投资管理、使用、年末结余等情况作专项说明。</w:t>
      </w:r>
    </w:p>
    <w:p w14:paraId="233C1C1B"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第七十一条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证券期货经营机构合</w:t>
      </w:r>
      <w:proofErr w:type="gramStart"/>
      <w:r>
        <w:rPr>
          <w:rFonts w:ascii="仿宋_GB2312" w:eastAsia="仿宋_GB2312" w:hAnsi="仿宋_GB2312" w:cs="仿宋_GB2312" w:hint="eastAsia"/>
          <w:sz w:val="32"/>
          <w:szCs w:val="32"/>
        </w:rPr>
        <w:t>规</w:t>
      </w:r>
      <w:proofErr w:type="gramEnd"/>
      <w:r>
        <w:rPr>
          <w:rFonts w:ascii="仿宋_GB2312" w:eastAsia="仿宋_GB2312" w:hAnsi="仿宋_GB2312" w:cs="仿宋_GB2312" w:hint="eastAsia"/>
          <w:sz w:val="32"/>
          <w:szCs w:val="32"/>
        </w:rPr>
        <w:t>管理和风险管理部门应当定期对私募资产管理业务制度及执行情况进行检查，发现违反法律、行政法规、中国证监会规定或者合同约定的，应当及时纠正处理，并向中国证监会及相关派出机构、证券投资基金业协</w:t>
      </w:r>
      <w:r>
        <w:rPr>
          <w:rFonts w:ascii="仿宋_GB2312" w:eastAsia="仿宋_GB2312" w:hAnsi="仿宋_GB2312" w:cs="仿宋_GB2312" w:hint="eastAsia"/>
          <w:sz w:val="32"/>
          <w:szCs w:val="32"/>
        </w:rPr>
        <w:lastRenderedPageBreak/>
        <w:t>会报告。</w:t>
      </w:r>
      <w:r>
        <w:rPr>
          <w:rFonts w:ascii="仿宋_GB2312" w:eastAsia="仿宋_GB2312" w:hAnsi="仿宋_GB2312" w:cs="仿宋_GB2312" w:hint="eastAsia"/>
          <w:sz w:val="32"/>
          <w:szCs w:val="32"/>
        </w:rPr>
        <w:t xml:space="preserve">  </w:t>
      </w:r>
    </w:p>
    <w:p w14:paraId="540F0057"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七十二条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证券期货经营机构</w:t>
      </w:r>
      <w:r>
        <w:rPr>
          <w:rFonts w:ascii="仿宋_GB2312" w:eastAsia="仿宋_GB2312" w:hAnsi="仿宋_GB2312" w:cs="仿宋_GB2312" w:hint="eastAsia"/>
          <w:sz w:val="32"/>
          <w:szCs w:val="32"/>
        </w:rPr>
        <w:t>应当建立健全应急处理机制，对</w:t>
      </w:r>
      <w:r>
        <w:rPr>
          <w:rFonts w:ascii="仿宋_GB2312" w:eastAsia="仿宋_GB2312" w:hAnsi="仿宋_GB2312" w:cs="仿宋_GB2312" w:hint="eastAsia"/>
          <w:sz w:val="32"/>
          <w:szCs w:val="32"/>
        </w:rPr>
        <w:t>发生延期兑付、负面舆论、群体性事件等风险事件的</w:t>
      </w:r>
      <w:r>
        <w:rPr>
          <w:rFonts w:ascii="仿宋_GB2312" w:eastAsia="仿宋_GB2312" w:hAnsi="仿宋_GB2312" w:cs="仿宋_GB2312" w:hint="eastAsia"/>
          <w:sz w:val="32"/>
          <w:szCs w:val="32"/>
        </w:rPr>
        <w:t>处理原则、方案等</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明确规定</w:t>
      </w:r>
      <w:r>
        <w:rPr>
          <w:rFonts w:ascii="仿宋_GB2312" w:eastAsia="仿宋_GB2312" w:hAnsi="仿宋_GB2312" w:cs="仿宋_GB2312" w:hint="eastAsia"/>
          <w:sz w:val="32"/>
          <w:szCs w:val="32"/>
        </w:rPr>
        <w:t>，并指定高级管理人员负责</w:t>
      </w:r>
      <w:r>
        <w:rPr>
          <w:rFonts w:ascii="仿宋_GB2312" w:eastAsia="仿宋_GB2312" w:hAnsi="仿宋_GB2312" w:cs="仿宋_GB2312" w:hint="eastAsia"/>
          <w:sz w:val="32"/>
          <w:szCs w:val="32"/>
        </w:rPr>
        <w:t>实施</w:t>
      </w:r>
      <w:r>
        <w:rPr>
          <w:rFonts w:ascii="仿宋_GB2312" w:eastAsia="仿宋_GB2312" w:hAnsi="仿宋_GB2312" w:cs="仿宋_GB2312" w:hint="eastAsia"/>
          <w:sz w:val="32"/>
          <w:szCs w:val="32"/>
        </w:rPr>
        <w:t>。出现重大风险事件的，应当及时向中国证监会及相关派出机构、证券投资基金业协会报告。</w:t>
      </w:r>
    </w:p>
    <w:p w14:paraId="5E8CDCD9" w14:textId="77777777" w:rsidR="00E12269" w:rsidRDefault="00E12269">
      <w:pPr>
        <w:rPr>
          <w:rFonts w:ascii="仿宋_GB2312" w:eastAsia="仿宋_GB2312" w:hAnsi="仿宋_GB2312" w:cs="仿宋_GB2312"/>
          <w:kern w:val="0"/>
          <w:sz w:val="32"/>
          <w:szCs w:val="32"/>
        </w:rPr>
      </w:pPr>
    </w:p>
    <w:p w14:paraId="5D016977" w14:textId="77777777" w:rsidR="00E12269" w:rsidRDefault="00414B76">
      <w:pPr>
        <w:numPr>
          <w:ilvl w:val="0"/>
          <w:numId w:val="13"/>
        </w:numPr>
        <w:jc w:val="center"/>
        <w:rPr>
          <w:rFonts w:ascii="黑体" w:eastAsia="黑体" w:hAnsi="黑体" w:cs="黑体"/>
          <w:sz w:val="32"/>
          <w:szCs w:val="32"/>
        </w:rPr>
      </w:pPr>
      <w:r>
        <w:rPr>
          <w:rFonts w:ascii="黑体" w:eastAsia="黑体" w:hAnsi="黑体" w:cs="黑体" w:hint="eastAsia"/>
          <w:sz w:val="32"/>
          <w:szCs w:val="32"/>
        </w:rPr>
        <w:t>监督管理与法律责任</w:t>
      </w:r>
    </w:p>
    <w:p w14:paraId="1A37E502" w14:textId="77777777" w:rsidR="00E12269" w:rsidRDefault="00E12269">
      <w:pPr>
        <w:rPr>
          <w:rFonts w:ascii="仿宋_GB2312" w:eastAsia="仿宋_GB2312" w:hAnsi="仿宋_GB2312" w:cs="仿宋_GB2312"/>
          <w:sz w:val="32"/>
          <w:szCs w:val="32"/>
        </w:rPr>
      </w:pPr>
    </w:p>
    <w:p w14:paraId="6D592AFB"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第七十三条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证券期货经营机构应当于每月</w:t>
      </w:r>
      <w:r>
        <w:rPr>
          <w:rFonts w:ascii="仿宋_GB2312" w:eastAsia="仿宋_GB2312" w:hAnsi="仿宋_GB2312" w:cs="仿宋_GB2312" w:hint="eastAsia"/>
          <w:sz w:val="32"/>
          <w:szCs w:val="32"/>
        </w:rPr>
        <w:t>十日前</w:t>
      </w:r>
      <w:r>
        <w:rPr>
          <w:rFonts w:ascii="仿宋_GB2312" w:eastAsia="仿宋_GB2312" w:hAnsi="仿宋_GB2312" w:cs="仿宋_GB2312" w:hint="eastAsia"/>
          <w:sz w:val="32"/>
          <w:szCs w:val="32"/>
        </w:rPr>
        <w:t>向中国证监会及相关派出机构、证券投资基金业协会报送资产管理计划的持续募集情况、投资运作情况、资产最终投向等信息。</w:t>
      </w:r>
    </w:p>
    <w:p w14:paraId="10D2D44D" w14:textId="77777777" w:rsidR="00E12269" w:rsidRDefault="00414B7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证券期货经营机构应当在每季度结束之日起一个月内，编制私募资产管理业务管理季度报告，并报中国证监会相关派出机构和证券投资基金业协会备案。</w:t>
      </w:r>
      <w:r>
        <w:rPr>
          <w:rFonts w:ascii="仿宋_GB2312" w:eastAsia="仿宋_GB2312" w:hAnsi="仿宋_GB2312" w:cs="仿宋_GB2312" w:hint="eastAsia"/>
          <w:sz w:val="32"/>
          <w:szCs w:val="32"/>
        </w:rPr>
        <w:t>证券期货经营机构、托管人应当在每年度结束之日起四个月内，分别编制私募资产管理业务管理年度报告和托管年度报告，并报中国证监会相关派出机构和证券投资基金业协会备案。</w:t>
      </w:r>
    </w:p>
    <w:p w14:paraId="03273DDB" w14:textId="77777777" w:rsidR="00E12269" w:rsidRDefault="00414B76">
      <w:pPr>
        <w:widowControl/>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证券期货经营机构应当在私募资产管理业务管理季度报告和管理年度报告中，就</w:t>
      </w:r>
      <w:r>
        <w:rPr>
          <w:rFonts w:ascii="仿宋_GB2312" w:eastAsia="仿宋_GB2312" w:hAnsi="仿宋_GB2312" w:cs="仿宋_GB2312" w:hint="eastAsia"/>
          <w:sz w:val="32"/>
          <w:szCs w:val="32"/>
        </w:rPr>
        <w:t>本办法所规定的风险管理与内部控制制度在报告期内的</w:t>
      </w:r>
      <w:r>
        <w:rPr>
          <w:rFonts w:ascii="仿宋_GB2312" w:eastAsia="仿宋_GB2312" w:hAnsi="仿宋_GB2312" w:cs="仿宋_GB2312" w:hint="eastAsia"/>
          <w:sz w:val="32"/>
          <w:szCs w:val="32"/>
        </w:rPr>
        <w:t>执行情况等进行分析，并由</w:t>
      </w:r>
      <w:r>
        <w:rPr>
          <w:rFonts w:ascii="仿宋_GB2312" w:eastAsia="仿宋_GB2312" w:hAnsi="仿宋_GB2312" w:cs="仿宋_GB2312" w:hint="eastAsia"/>
          <w:sz w:val="32"/>
          <w:szCs w:val="32"/>
        </w:rPr>
        <w:t>合</w:t>
      </w:r>
      <w:proofErr w:type="gramStart"/>
      <w:r>
        <w:rPr>
          <w:rFonts w:ascii="仿宋_GB2312" w:eastAsia="仿宋_GB2312" w:hAnsi="仿宋_GB2312" w:cs="仿宋_GB2312" w:hint="eastAsia"/>
          <w:sz w:val="32"/>
          <w:szCs w:val="32"/>
        </w:rPr>
        <w:t>规</w:t>
      </w:r>
      <w:proofErr w:type="gramEnd"/>
      <w:r>
        <w:rPr>
          <w:rFonts w:ascii="仿宋_GB2312" w:eastAsia="仿宋_GB2312" w:hAnsi="仿宋_GB2312" w:cs="仿宋_GB2312" w:hint="eastAsia"/>
          <w:sz w:val="32"/>
          <w:szCs w:val="32"/>
        </w:rPr>
        <w:t>负责人、</w:t>
      </w:r>
      <w:proofErr w:type="gramStart"/>
      <w:r>
        <w:rPr>
          <w:rFonts w:ascii="仿宋_GB2312" w:eastAsia="仿宋_GB2312" w:hAnsi="仿宋_GB2312" w:cs="仿宋_GB2312" w:hint="eastAsia"/>
          <w:sz w:val="32"/>
          <w:szCs w:val="32"/>
        </w:rPr>
        <w:t>风控负责人</w:t>
      </w:r>
      <w:proofErr w:type="gramEnd"/>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总经理分别签署。</w:t>
      </w:r>
    </w:p>
    <w:p w14:paraId="137CB0A9"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第七十四条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证券期货经营机构进行年度审计，应当同时对私募资产管理业务的内部控制情况进行审计。</w:t>
      </w:r>
    </w:p>
    <w:p w14:paraId="3191FC6B" w14:textId="77777777" w:rsidR="00E12269" w:rsidRDefault="00414B76">
      <w:pPr>
        <w:widowControl/>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证券期货经营机构应当</w:t>
      </w:r>
      <w:r>
        <w:rPr>
          <w:rFonts w:ascii="仿宋_GB2312" w:eastAsia="仿宋_GB2312" w:hAnsi="仿宋_GB2312" w:cs="仿宋_GB2312" w:hint="eastAsia"/>
          <w:sz w:val="32"/>
          <w:szCs w:val="32"/>
        </w:rPr>
        <w:t>在每年度结束之日起四</w:t>
      </w:r>
      <w:r>
        <w:rPr>
          <w:rFonts w:ascii="仿宋_GB2312" w:eastAsia="仿宋_GB2312" w:hAnsi="仿宋_GB2312" w:cs="仿宋_GB2312" w:hint="eastAsia"/>
          <w:sz w:val="32"/>
          <w:szCs w:val="32"/>
        </w:rPr>
        <w:t>个月内</w:t>
      </w:r>
      <w:r>
        <w:rPr>
          <w:rFonts w:ascii="仿宋_GB2312" w:eastAsia="仿宋_GB2312" w:hAnsi="仿宋_GB2312" w:cs="仿宋_GB2312" w:hint="eastAsia"/>
          <w:sz w:val="32"/>
          <w:szCs w:val="32"/>
        </w:rPr>
        <w:t>将前述审计结果报送中国证监会及相关派出机构、证券投资基金业协会。</w:t>
      </w:r>
    </w:p>
    <w:p w14:paraId="488D681E"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第七十五条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交易场所、期货交易所、中国期货市场监控中心（以下简称期货市场监控中心）应当对证券期货经营机构资产管理计划交易行为进行监控。发现存在重大风险、重大异常交易或者涉嫌违法违规事项的，应当及时报告中国证监会及相关派出机构。</w:t>
      </w:r>
    </w:p>
    <w:p w14:paraId="73E0192B" w14:textId="77777777" w:rsidR="00E12269" w:rsidRDefault="00414B7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证券投资基金业协会应当按照法律、行政法规和中国证监会规定对证券期货经营机构资产管理计</w:t>
      </w:r>
      <w:r>
        <w:rPr>
          <w:rFonts w:ascii="仿宋_GB2312" w:eastAsia="仿宋_GB2312" w:hAnsi="仿宋_GB2312" w:cs="仿宋_GB2312" w:hint="eastAsia"/>
          <w:sz w:val="32"/>
          <w:szCs w:val="32"/>
        </w:rPr>
        <w:t>划实施备案管理和监测监控。</w:t>
      </w:r>
      <w:r>
        <w:rPr>
          <w:rFonts w:ascii="仿宋_GB2312" w:eastAsia="仿宋_GB2312" w:hAnsi="仿宋_GB2312" w:cs="仿宋_GB2312" w:hint="eastAsia"/>
          <w:sz w:val="32"/>
          <w:szCs w:val="32"/>
        </w:rPr>
        <w:t>发现提交备案的资产管理计划不符合法律、行政法规和中国证监会规定的，不得予以备案，并报告中国证监会及相关派出机构；</w:t>
      </w:r>
      <w:r>
        <w:rPr>
          <w:rFonts w:ascii="仿宋_GB2312" w:eastAsia="仿宋_GB2312" w:hAnsi="仿宋_GB2312" w:cs="仿宋_GB2312" w:hint="eastAsia"/>
          <w:sz w:val="32"/>
          <w:szCs w:val="32"/>
        </w:rPr>
        <w:t>发现已备案的资产管理计划存在重大风险或者违规事项的，</w:t>
      </w:r>
      <w:r>
        <w:rPr>
          <w:rFonts w:ascii="仿宋_GB2312" w:eastAsia="仿宋_GB2312" w:hAnsi="仿宋_GB2312" w:cs="仿宋_GB2312" w:hint="eastAsia"/>
          <w:sz w:val="32"/>
          <w:szCs w:val="32"/>
        </w:rPr>
        <w:lastRenderedPageBreak/>
        <w:t>应当及时报告中国证监会及相关派出机构。</w:t>
      </w:r>
    </w:p>
    <w:p w14:paraId="77327164"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第七十六条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中国证监会及其派出机构对证券期货经营机构、托管人、销售机构和投资顾问等服务机构从事私募资产管理及相关业务的情况，进行定期或者不定期的现场和非现场检查，相关机构应当予以配合。</w:t>
      </w:r>
    </w:p>
    <w:p w14:paraId="65350362" w14:textId="77777777" w:rsidR="00E12269" w:rsidRDefault="00414B76">
      <w:pPr>
        <w:widowControl/>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中国证监会相关派出机构应当定期对辖区证券期货经营机构私募资产管理业务开展情况进行总结分析，纳入</w:t>
      </w:r>
      <w:r>
        <w:rPr>
          <w:rFonts w:ascii="仿宋_GB2312" w:eastAsia="仿宋_GB2312" w:hAnsi="仿宋_GB2312" w:cs="仿宋_GB2312" w:hint="eastAsia"/>
          <w:sz w:val="32"/>
          <w:szCs w:val="32"/>
        </w:rPr>
        <w:t>监管季度报告和年度报告，发现存在重大风险或者违规事项的，应当及时报告中国证监会。</w:t>
      </w:r>
    </w:p>
    <w:p w14:paraId="3DCFC2C2"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第七十七条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中国证监会与中国人民银行、中国银行保险监督管理委员会建立监督管理信息共享机制，加强资产管理业务的统计信息共享。</w:t>
      </w:r>
    </w:p>
    <w:p w14:paraId="666F657D" w14:textId="77777777" w:rsidR="00E12269" w:rsidRDefault="00414B76">
      <w:pP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中国证监会及其派出机构、</w:t>
      </w:r>
      <w:r>
        <w:rPr>
          <w:rFonts w:ascii="仿宋_GB2312" w:eastAsia="仿宋_GB2312" w:hAnsi="仿宋_GB2312" w:cs="仿宋_GB2312" w:hint="eastAsia"/>
          <w:sz w:val="32"/>
          <w:szCs w:val="32"/>
        </w:rPr>
        <w:t>证券交易场所、期货交易所、证券登记结算机构、</w:t>
      </w:r>
      <w:r>
        <w:rPr>
          <w:rFonts w:ascii="仿宋_GB2312" w:eastAsia="仿宋_GB2312" w:hAnsi="仿宋_GB2312" w:cs="仿宋_GB2312" w:hint="eastAsia"/>
          <w:sz w:val="32"/>
          <w:szCs w:val="32"/>
        </w:rPr>
        <w:t>期货市场监控中心、</w:t>
      </w:r>
      <w:r>
        <w:rPr>
          <w:rFonts w:ascii="仿宋_GB2312" w:eastAsia="仿宋_GB2312" w:hAnsi="仿宋_GB2312" w:cs="仿宋_GB2312" w:hint="eastAsia"/>
          <w:sz w:val="32"/>
          <w:szCs w:val="32"/>
        </w:rPr>
        <w:t>证券业协会、</w:t>
      </w:r>
      <w:r>
        <w:rPr>
          <w:rFonts w:ascii="仿宋_GB2312" w:eastAsia="仿宋_GB2312" w:hAnsi="仿宋_GB2312" w:cs="仿宋_GB2312" w:hint="eastAsia"/>
          <w:sz w:val="32"/>
          <w:szCs w:val="32"/>
        </w:rPr>
        <w:t>期货业协会、证券投资</w:t>
      </w:r>
      <w:r>
        <w:rPr>
          <w:rFonts w:ascii="仿宋_GB2312" w:eastAsia="仿宋_GB2312" w:hAnsi="仿宋_GB2312" w:cs="仿宋_GB2312" w:hint="eastAsia"/>
          <w:sz w:val="32"/>
          <w:szCs w:val="32"/>
        </w:rPr>
        <w:t>基金业协会</w:t>
      </w:r>
      <w:r>
        <w:rPr>
          <w:rFonts w:ascii="仿宋_GB2312" w:eastAsia="仿宋_GB2312" w:hAnsi="仿宋_GB2312" w:cs="仿宋_GB2312" w:hint="eastAsia"/>
          <w:sz w:val="32"/>
          <w:szCs w:val="32"/>
        </w:rPr>
        <w:t>应当加强证券期货经营机构私募资产管理业务数据信息共享。</w:t>
      </w:r>
    </w:p>
    <w:p w14:paraId="5A956485" w14:textId="77777777" w:rsidR="00E12269" w:rsidRDefault="00414B76">
      <w:pPr>
        <w:widowControl/>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证券交易场所、期货交易所、证券登记结算</w:t>
      </w:r>
      <w:r>
        <w:rPr>
          <w:rFonts w:ascii="仿宋_GB2312" w:eastAsia="仿宋_GB2312" w:hAnsi="仿宋_GB2312" w:cs="仿宋_GB2312" w:hint="eastAsia"/>
          <w:sz w:val="32"/>
          <w:szCs w:val="32"/>
        </w:rPr>
        <w:t>机构</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期货市场监控中心、证券业协会、期货业协会、证券投资</w:t>
      </w:r>
      <w:r>
        <w:rPr>
          <w:rFonts w:ascii="仿宋_GB2312" w:eastAsia="仿宋_GB2312" w:hAnsi="仿宋_GB2312" w:cs="仿宋_GB2312" w:hint="eastAsia"/>
          <w:sz w:val="32"/>
          <w:szCs w:val="32"/>
        </w:rPr>
        <w:t>基金业协会</w:t>
      </w:r>
      <w:r>
        <w:rPr>
          <w:rFonts w:ascii="仿宋_GB2312" w:eastAsia="仿宋_GB2312" w:hAnsi="仿宋_GB2312" w:cs="仿宋_GB2312" w:hint="eastAsia"/>
          <w:sz w:val="32"/>
          <w:szCs w:val="32"/>
        </w:rPr>
        <w:t>应当</w:t>
      </w:r>
      <w:r>
        <w:rPr>
          <w:rFonts w:ascii="仿宋_GB2312" w:eastAsia="仿宋_GB2312" w:hAnsi="仿宋_GB2312" w:cs="仿宋_GB2312" w:hint="eastAsia"/>
          <w:sz w:val="32"/>
          <w:szCs w:val="32"/>
        </w:rPr>
        <w:lastRenderedPageBreak/>
        <w:t>按照中国证监会的要求，定期或者不定期提供证券期货经营机构私募资产管理业务专项统计、分析等数据信息。</w:t>
      </w:r>
    </w:p>
    <w:p w14:paraId="303E22AD" w14:textId="77777777" w:rsidR="00E12269" w:rsidRDefault="00414B76">
      <w:pPr>
        <w:widowControl/>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中国证监会相关派出机构应当每月对证券期货经营机构资产管理计划备案信息和业务数据进行分析汇总，</w:t>
      </w:r>
      <w:r>
        <w:rPr>
          <w:rFonts w:ascii="仿宋_GB2312" w:eastAsia="仿宋_GB2312" w:hAnsi="仿宋_GB2312" w:cs="仿宋_GB2312" w:hint="eastAsia"/>
          <w:sz w:val="32"/>
          <w:szCs w:val="32"/>
        </w:rPr>
        <w:t>并按照本办法第七十六条的规定报告</w:t>
      </w:r>
      <w:r>
        <w:rPr>
          <w:rFonts w:ascii="仿宋_GB2312" w:eastAsia="仿宋_GB2312" w:hAnsi="仿宋_GB2312" w:cs="仿宋_GB2312" w:hint="eastAsia"/>
          <w:sz w:val="32"/>
          <w:szCs w:val="32"/>
        </w:rPr>
        <w:t>。</w:t>
      </w:r>
    </w:p>
    <w:p w14:paraId="5AC510F3" w14:textId="77777777" w:rsidR="00E12269" w:rsidRDefault="00414B76">
      <w:pPr>
        <w:widowControl/>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第七十八条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证券期货经营机构、托管人、销售机构和投资顾问等服务机构违反法律、行政法规、本办法及中国证监会其他规定的，中国证监会及相关派出机构可以对其采取</w:t>
      </w:r>
      <w:r>
        <w:rPr>
          <w:rFonts w:ascii="仿宋_GB2312" w:eastAsia="仿宋_GB2312" w:hAnsi="仿宋_GB2312" w:cs="仿宋_GB2312" w:hint="eastAsia"/>
          <w:sz w:val="32"/>
          <w:szCs w:val="32"/>
        </w:rPr>
        <w:t>责令改正</w:t>
      </w:r>
      <w:r>
        <w:rPr>
          <w:rFonts w:ascii="仿宋_GB2312" w:eastAsia="仿宋_GB2312" w:hAnsi="仿宋_GB2312" w:cs="仿宋_GB2312" w:hint="eastAsia"/>
          <w:sz w:val="32"/>
          <w:szCs w:val="32"/>
        </w:rPr>
        <w:t>、监管谈话、</w:t>
      </w:r>
      <w:r>
        <w:rPr>
          <w:rFonts w:ascii="仿宋_GB2312" w:eastAsia="仿宋_GB2312" w:hAnsi="仿宋_GB2312" w:cs="仿宋_GB2312" w:hint="eastAsia"/>
          <w:sz w:val="32"/>
          <w:szCs w:val="32"/>
        </w:rPr>
        <w:t>出具警示函</w:t>
      </w:r>
      <w:r>
        <w:rPr>
          <w:rFonts w:ascii="仿宋_GB2312" w:eastAsia="仿宋_GB2312" w:hAnsi="仿宋_GB2312" w:cs="仿宋_GB2312" w:hint="eastAsia"/>
          <w:sz w:val="32"/>
          <w:szCs w:val="32"/>
        </w:rPr>
        <w:t>、责令定期报告、暂不受理与行政许可有</w:t>
      </w:r>
      <w:r>
        <w:rPr>
          <w:rFonts w:ascii="仿宋_GB2312" w:eastAsia="仿宋_GB2312" w:hAnsi="仿宋_GB2312" w:cs="仿宋_GB2312" w:hint="eastAsia"/>
          <w:sz w:val="32"/>
          <w:szCs w:val="32"/>
        </w:rPr>
        <w:t>关的文件等行政监管措施；对直接负责的主管人员和其他直接责任人员，采取</w:t>
      </w:r>
      <w:r>
        <w:rPr>
          <w:rFonts w:ascii="仿宋_GB2312" w:eastAsia="仿宋_GB2312" w:hAnsi="仿宋_GB2312" w:cs="仿宋_GB2312" w:hint="eastAsia"/>
          <w:sz w:val="32"/>
          <w:szCs w:val="32"/>
        </w:rPr>
        <w:t>监管谈话</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出具警示函</w:t>
      </w:r>
      <w:r>
        <w:rPr>
          <w:rFonts w:ascii="仿宋_GB2312" w:eastAsia="仿宋_GB2312" w:hAnsi="仿宋_GB2312" w:cs="仿宋_GB2312" w:hint="eastAsia"/>
          <w:sz w:val="32"/>
          <w:szCs w:val="32"/>
        </w:rPr>
        <w:t>、责令参加培训、认定为不适当人选等行政监管措施。</w:t>
      </w:r>
    </w:p>
    <w:p w14:paraId="55282CC4" w14:textId="77777777" w:rsidR="00E12269" w:rsidRDefault="00414B76">
      <w:pPr>
        <w:ind w:firstLineChars="200" w:firstLine="640"/>
        <w:rPr>
          <w:rFonts w:ascii="仿宋_GB2312" w:eastAsia="仿宋_GB2312" w:hAnsi="仿宋_GB2312" w:cs="仿宋_GB2312"/>
          <w:color w:val="333333"/>
          <w:sz w:val="32"/>
          <w:szCs w:val="32"/>
        </w:rPr>
      </w:pPr>
      <w:r>
        <w:rPr>
          <w:rFonts w:ascii="黑体" w:eastAsia="黑体" w:hAnsi="黑体" w:cs="黑体" w:hint="eastAsia"/>
          <w:sz w:val="32"/>
          <w:szCs w:val="32"/>
        </w:rPr>
        <w:t>第七十九条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color w:val="333333"/>
          <w:sz w:val="32"/>
          <w:szCs w:val="32"/>
        </w:rPr>
        <w:t>证券公司及其子公司、基金管理公司及其子公司违反本办法规定构成公司治理结构不健全、内部控制不完善等情形的，对证券公司、基金管理公司及其直接负责的董事、监事、高级管理人员和其他直接责任人员，依照《证券投资基金法》第二十四条、《证券公司监督管理条例》第七十条采取行政监管措施。</w:t>
      </w:r>
    </w:p>
    <w:p w14:paraId="014A4A07" w14:textId="77777777" w:rsidR="00E12269" w:rsidRDefault="00414B76">
      <w:pPr>
        <w:rPr>
          <w:rFonts w:ascii="仿宋_GB2312" w:eastAsia="仿宋_GB2312" w:hAnsi="仿宋_GB2312" w:cs="仿宋_GB2312"/>
          <w:color w:val="333333"/>
          <w:sz w:val="32"/>
          <w:szCs w:val="32"/>
        </w:rPr>
      </w:pPr>
      <w:r>
        <w:rPr>
          <w:rFonts w:ascii="仿宋_GB2312" w:eastAsia="仿宋_GB2312" w:hAnsi="仿宋_GB2312" w:cs="仿宋_GB2312" w:hint="eastAsia"/>
          <w:color w:val="333333"/>
          <w:kern w:val="0"/>
          <w:sz w:val="32"/>
          <w:szCs w:val="32"/>
        </w:rPr>
        <w:t xml:space="preserve">    </w:t>
      </w:r>
      <w:r>
        <w:rPr>
          <w:rFonts w:ascii="仿宋_GB2312" w:eastAsia="仿宋_GB2312" w:hAnsi="仿宋_GB2312" w:cs="仿宋_GB2312" w:hint="eastAsia"/>
          <w:color w:val="333333"/>
          <w:kern w:val="0"/>
          <w:sz w:val="32"/>
          <w:szCs w:val="32"/>
        </w:rPr>
        <w:t>期货公司及其子公司违反本办法规定被责令改正且逾期未</w:t>
      </w:r>
      <w:r>
        <w:rPr>
          <w:rFonts w:ascii="仿宋_GB2312" w:eastAsia="仿宋_GB2312" w:hAnsi="仿宋_GB2312" w:cs="仿宋_GB2312" w:hint="eastAsia"/>
          <w:color w:val="333333"/>
          <w:kern w:val="0"/>
          <w:sz w:val="32"/>
          <w:szCs w:val="32"/>
        </w:rPr>
        <w:lastRenderedPageBreak/>
        <w:t>改正，其行为严重危及期货公司的稳健运行，损害客户合法权益，或者涉嫌严重违法违规正在被中国证监会及其派出机构调查的，依照《期货交易管理条例》第五十五条采取行政监管措施。</w:t>
      </w:r>
    </w:p>
    <w:p w14:paraId="1A069476" w14:textId="77777777" w:rsidR="00E12269" w:rsidRDefault="00414B7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证券期货经营机构未尽合</w:t>
      </w:r>
      <w:proofErr w:type="gramStart"/>
      <w:r>
        <w:rPr>
          <w:rFonts w:ascii="仿宋_GB2312" w:eastAsia="仿宋_GB2312" w:hAnsi="仿宋_GB2312" w:cs="仿宋_GB2312" w:hint="eastAsia"/>
          <w:sz w:val="32"/>
          <w:szCs w:val="32"/>
        </w:rPr>
        <w:t>规</w:t>
      </w:r>
      <w:proofErr w:type="gramEnd"/>
      <w:r>
        <w:rPr>
          <w:rFonts w:ascii="仿宋_GB2312" w:eastAsia="仿宋_GB2312" w:hAnsi="仿宋_GB2312" w:cs="仿宋_GB2312" w:hint="eastAsia"/>
          <w:sz w:val="32"/>
          <w:szCs w:val="32"/>
        </w:rPr>
        <w:t>审查义务，提交备案的资产管理计划明显或者频繁不符合</w:t>
      </w:r>
      <w:r>
        <w:rPr>
          <w:rFonts w:ascii="仿宋_GB2312" w:eastAsia="仿宋_GB2312" w:hAnsi="仿宋_GB2312" w:cs="仿宋_GB2312" w:hint="eastAsia"/>
          <w:sz w:val="32"/>
          <w:szCs w:val="32"/>
        </w:rPr>
        <w:t>法律、行政法规和中国证监会规定的，依照本条第一款、第二款规定，采取责令暂停私募资产管理业务三个月的行政监管措施；情节严重的，采取责令暂停私募资产管理业务六个月以上的行政监管措施。</w:t>
      </w:r>
    </w:p>
    <w:p w14:paraId="097A22E7"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第八十条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证券期货经营机构</w:t>
      </w:r>
      <w:r>
        <w:rPr>
          <w:rFonts w:ascii="仿宋_GB2312" w:eastAsia="仿宋_GB2312" w:hAnsi="仿宋_GB2312" w:cs="仿宋_GB2312" w:hint="eastAsia"/>
          <w:sz w:val="32"/>
          <w:szCs w:val="32"/>
        </w:rPr>
        <w:t>、托管人、销</w:t>
      </w:r>
      <w:r>
        <w:rPr>
          <w:rFonts w:ascii="仿宋_GB2312" w:eastAsia="仿宋_GB2312" w:hAnsi="仿宋_GB2312" w:cs="仿宋_GB2312" w:hint="eastAsia"/>
          <w:sz w:val="32"/>
          <w:szCs w:val="32"/>
        </w:rPr>
        <w:t>售机构和投资顾问等服务机构有下列情形之一且情节严重的，除法律、行政法规另有规定外，给予警告，并处三万元以下罚款，对直接负责的主管人员和其他直接责任人员，给予警告，并处三万元以下罚款：</w:t>
      </w:r>
    </w:p>
    <w:p w14:paraId="2D99A118" w14:textId="77777777" w:rsidR="00E12269" w:rsidRDefault="00414B7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（一）违反本办法第三条至第六条规定的基本原则；</w:t>
      </w:r>
    </w:p>
    <w:p w14:paraId="79C5D524" w14:textId="77777777" w:rsidR="00E12269" w:rsidRDefault="00414B7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违反本办法第十一条、第十三条的规定，未按规定履行管理人和托管人职责，或者从事第十七条所列举的禁止行为；</w:t>
      </w:r>
    </w:p>
    <w:p w14:paraId="358ED036" w14:textId="77777777" w:rsidR="00E12269" w:rsidRDefault="00414B76">
      <w:pPr>
        <w:widowControl/>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（三）违反本办法第十四条、第十六条的规定，聘请不符合条件的销售机构、投资顾问；</w:t>
      </w:r>
    </w:p>
    <w:p w14:paraId="42D668BB" w14:textId="77777777" w:rsidR="00E12269" w:rsidRDefault="00414B76">
      <w:pPr>
        <w:widowControl/>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（四）违反本办法第二十二条关于产品分级的规定；</w:t>
      </w:r>
    </w:p>
    <w:p w14:paraId="367CA1DB" w14:textId="77777777" w:rsidR="00E12269" w:rsidRDefault="00414B76">
      <w:pPr>
        <w:widowControl/>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（五）违反本办法第二十五条、第二十六条、第</w:t>
      </w:r>
      <w:r>
        <w:rPr>
          <w:rFonts w:ascii="仿宋_GB2312" w:eastAsia="仿宋_GB2312" w:hAnsi="仿宋_GB2312" w:cs="仿宋_GB2312" w:hint="eastAsia"/>
          <w:sz w:val="32"/>
          <w:szCs w:val="32"/>
        </w:rPr>
        <w:t>二十七条、第二十八条、第二十九条、第三十条、第三十一条、第三十二条、第三十四条、第三十五条关于非公开募集的规定；</w:t>
      </w:r>
    </w:p>
    <w:p w14:paraId="665A12D1" w14:textId="77777777" w:rsidR="00E12269" w:rsidRDefault="00414B76">
      <w:pPr>
        <w:widowControl/>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（六）违反本办法第五章关于投资运作的规定；</w:t>
      </w:r>
    </w:p>
    <w:p w14:paraId="2890C7F9" w14:textId="77777777" w:rsidR="00E12269" w:rsidRDefault="00414B76">
      <w:pPr>
        <w:widowControl/>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（七）违反本办法第四十七条、第四十八条、第五十条、第五十一条，未按照规定向投资者披露资产管理计划信息；</w:t>
      </w:r>
    </w:p>
    <w:p w14:paraId="55547273" w14:textId="77777777" w:rsidR="00E12269" w:rsidRDefault="00414B76">
      <w:pPr>
        <w:widowControl/>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（八）未按照本办法第八章的规定建立健全和有效执行资产管理业务相关制度，内部控制或者风险管理不完善，引发较大风险事件或者存在重大风险隐患；</w:t>
      </w:r>
    </w:p>
    <w:p w14:paraId="23B77B33" w14:textId="77777777" w:rsidR="00E12269" w:rsidRDefault="00414B76">
      <w:pPr>
        <w:widowControl/>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（九）违反本法第四十八条、第七十三条，未按照规定履行备案或者报告义务，导致风险扩散。</w:t>
      </w:r>
    </w:p>
    <w:p w14:paraId="50FE09B3"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第八十一条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证券期货经营机构、托管人、销售机构和投资顾问等服务机构的相关从业人员违反法律、行政法规和本办法规定，情节严重的，中国证监会可以依法采取市场禁入措施。</w:t>
      </w:r>
    </w:p>
    <w:p w14:paraId="3CC6FE61" w14:textId="77777777" w:rsidR="00E12269" w:rsidRDefault="00E12269">
      <w:pPr>
        <w:rPr>
          <w:rFonts w:ascii="仿宋_GB2312" w:eastAsia="仿宋_GB2312" w:hAnsi="仿宋_GB2312" w:cs="仿宋_GB2312"/>
          <w:sz w:val="32"/>
          <w:szCs w:val="32"/>
        </w:rPr>
      </w:pPr>
    </w:p>
    <w:p w14:paraId="3919ADB9" w14:textId="77777777" w:rsidR="00E12269" w:rsidRDefault="00414B76">
      <w:pPr>
        <w:numPr>
          <w:ilvl w:val="0"/>
          <w:numId w:val="14"/>
        </w:numPr>
        <w:jc w:val="center"/>
        <w:rPr>
          <w:rFonts w:ascii="黑体" w:eastAsia="黑体" w:hAnsi="黑体" w:cs="黑体"/>
          <w:sz w:val="32"/>
          <w:szCs w:val="32"/>
        </w:rPr>
      </w:pPr>
      <w:r>
        <w:rPr>
          <w:rFonts w:ascii="黑体" w:eastAsia="黑体" w:hAnsi="黑体" w:cs="黑体" w:hint="eastAsia"/>
          <w:sz w:val="32"/>
          <w:szCs w:val="32"/>
        </w:rPr>
        <w:t>附</w:t>
      </w:r>
      <w:r>
        <w:rPr>
          <w:rFonts w:ascii="黑体" w:eastAsia="黑体" w:hAnsi="黑体" w:cs="黑体" w:hint="eastAsia"/>
          <w:sz w:val="32"/>
          <w:szCs w:val="32"/>
        </w:rPr>
        <w:t xml:space="preserve">  </w:t>
      </w:r>
      <w:r>
        <w:rPr>
          <w:rFonts w:ascii="黑体" w:eastAsia="黑体" w:hAnsi="黑体" w:cs="黑体" w:hint="eastAsia"/>
          <w:sz w:val="32"/>
          <w:szCs w:val="32"/>
        </w:rPr>
        <w:t>则</w:t>
      </w:r>
    </w:p>
    <w:p w14:paraId="292A6DEC" w14:textId="77777777" w:rsidR="00E12269" w:rsidRDefault="00E12269">
      <w:pPr>
        <w:rPr>
          <w:rFonts w:ascii="仿宋_GB2312" w:eastAsia="仿宋_GB2312" w:hAnsi="仿宋_GB2312" w:cs="仿宋_GB2312"/>
          <w:sz w:val="32"/>
          <w:szCs w:val="32"/>
        </w:rPr>
      </w:pPr>
    </w:p>
    <w:p w14:paraId="5BC7B6CC"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第八十二条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过渡期自本办法实施之日起至</w:t>
      </w:r>
      <w:r>
        <w:rPr>
          <w:rFonts w:ascii="仿宋_GB2312" w:eastAsia="仿宋_GB2312" w:hAnsi="仿宋_GB2312" w:cs="仿宋_GB2312" w:hint="eastAsia"/>
          <w:sz w:val="32"/>
          <w:szCs w:val="32"/>
        </w:rPr>
        <w:t>2020</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12</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31</w:t>
      </w:r>
      <w:r>
        <w:rPr>
          <w:rFonts w:ascii="仿宋_GB2312" w:eastAsia="仿宋_GB2312" w:hAnsi="仿宋_GB2312" w:cs="仿宋_GB2312" w:hint="eastAsia"/>
          <w:sz w:val="32"/>
          <w:szCs w:val="32"/>
        </w:rPr>
        <w:t>日。</w:t>
      </w:r>
    </w:p>
    <w:p w14:paraId="17BC9591" w14:textId="77777777" w:rsidR="00E12269" w:rsidRDefault="00414B7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过渡期内，证券期货经营机构应当自行制定整改计划，有序压缩不符合本办法规定的资产管理计划规模；对于不符合本办法规定的存量资产管理计划，其持有资产未到期的，证券期货经营机构可以设立老产品对接，或者予以展期。过渡期结束后，证券期货经营机构不得发行或者存续违反本办法规定的资产管理计划。</w:t>
      </w:r>
    </w:p>
    <w:p w14:paraId="38C28CE8" w14:textId="77777777" w:rsidR="00E12269" w:rsidRDefault="00414B7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依据《证券公司客户资产管理业务管理办法》（证监会令第</w:t>
      </w:r>
      <w:r>
        <w:rPr>
          <w:rFonts w:ascii="仿宋_GB2312" w:eastAsia="仿宋_GB2312" w:hAnsi="仿宋_GB2312" w:cs="仿宋_GB2312" w:hint="eastAsia"/>
          <w:sz w:val="32"/>
          <w:szCs w:val="32"/>
        </w:rPr>
        <w:t>93</w:t>
      </w:r>
      <w:r>
        <w:rPr>
          <w:rFonts w:ascii="仿宋_GB2312" w:eastAsia="仿宋_GB2312" w:hAnsi="仿宋_GB2312" w:cs="仿宋_GB2312" w:hint="eastAsia"/>
          <w:sz w:val="32"/>
          <w:szCs w:val="32"/>
        </w:rPr>
        <w:t>号）、《证券公司定向资产管理业务实施细则》（证监会公告〔</w:t>
      </w:r>
      <w:r>
        <w:rPr>
          <w:rFonts w:ascii="仿宋_GB2312" w:eastAsia="仿宋_GB2312" w:hAnsi="仿宋_GB2312" w:cs="仿宋_GB2312" w:hint="eastAsia"/>
          <w:sz w:val="32"/>
          <w:szCs w:val="32"/>
        </w:rPr>
        <w:t>2012</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30</w:t>
      </w:r>
      <w:r>
        <w:rPr>
          <w:rFonts w:ascii="仿宋_GB2312" w:eastAsia="仿宋_GB2312" w:hAnsi="仿宋_GB2312" w:cs="仿宋_GB2312" w:hint="eastAsia"/>
          <w:sz w:val="32"/>
          <w:szCs w:val="32"/>
        </w:rPr>
        <w:t>号）设立的存量定向资产管理计划投资于上市公司股票、挂牌公司股票的，其所持证券的所有权归属、权利行使、信息披</w:t>
      </w:r>
      <w:r>
        <w:rPr>
          <w:rFonts w:ascii="仿宋_GB2312" w:eastAsia="仿宋_GB2312" w:hAnsi="仿宋_GB2312" w:cs="仿宋_GB2312" w:hint="eastAsia"/>
          <w:sz w:val="32"/>
          <w:szCs w:val="32"/>
        </w:rPr>
        <w:t>露以及证券账户名称等不符合本办法规定的，不受前述过渡期期限的限制，但最晚应当在</w:t>
      </w:r>
      <w:r>
        <w:rPr>
          <w:rFonts w:ascii="仿宋_GB2312" w:eastAsia="仿宋_GB2312" w:hAnsi="仿宋_GB2312" w:cs="仿宋_GB2312" w:hint="eastAsia"/>
          <w:sz w:val="32"/>
          <w:szCs w:val="32"/>
        </w:rPr>
        <w:t>2023</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12</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31</w:t>
      </w:r>
      <w:r>
        <w:rPr>
          <w:rFonts w:ascii="仿宋_GB2312" w:eastAsia="仿宋_GB2312" w:hAnsi="仿宋_GB2312" w:cs="仿宋_GB2312" w:hint="eastAsia"/>
          <w:sz w:val="32"/>
          <w:szCs w:val="32"/>
        </w:rPr>
        <w:t>日前完成规范。</w:t>
      </w:r>
    </w:p>
    <w:p w14:paraId="1AA460B9"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第八十三条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鼓励证券公司设立子公司从事私募资产管理业务，加强风险法人隔离。专门从事资产管理业务的证券公司除外。</w:t>
      </w:r>
    </w:p>
    <w:p w14:paraId="2F1F54C7" w14:textId="77777777" w:rsidR="00E12269" w:rsidRDefault="00414B7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鼓励证券公司设立子公司专门从事投资于本办法第三十七条第（五）项规定资产的私募资产管理业务。</w:t>
      </w:r>
    </w:p>
    <w:p w14:paraId="60041947" w14:textId="77777777" w:rsidR="00E12269" w:rsidRDefault="00414B76">
      <w:pPr>
        <w:widowControl/>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中国证监会依据审慎监管原则，对依照本条第一款、第二款规定设立子公司的证券公司，在分类评价、风险资本准备计算等方面实施差异化安排。</w:t>
      </w:r>
    </w:p>
    <w:p w14:paraId="184AA178" w14:textId="77777777" w:rsidR="00E12269" w:rsidRDefault="00414B76">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第八十四条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证券期货经营机构设立特定目的</w:t>
      </w:r>
      <w:r>
        <w:rPr>
          <w:rFonts w:ascii="仿宋_GB2312" w:eastAsia="仿宋_GB2312" w:hAnsi="仿宋_GB2312" w:cs="仿宋_GB2312" w:hint="eastAsia"/>
          <w:sz w:val="32"/>
          <w:szCs w:val="32"/>
        </w:rPr>
        <w:t>公司或者合伙企业</w:t>
      </w:r>
      <w:r>
        <w:rPr>
          <w:rFonts w:ascii="仿宋_GB2312" w:eastAsia="仿宋_GB2312" w:hAnsi="仿宋_GB2312" w:cs="仿宋_GB2312" w:hint="eastAsia"/>
          <w:sz w:val="32"/>
          <w:szCs w:val="32"/>
        </w:rPr>
        <w:t>从事私募资产管理业务的</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参照适用</w:t>
      </w:r>
      <w:r>
        <w:rPr>
          <w:rFonts w:ascii="仿宋_GB2312" w:eastAsia="仿宋_GB2312" w:hAnsi="仿宋_GB2312" w:cs="仿宋_GB2312" w:hint="eastAsia"/>
          <w:sz w:val="32"/>
          <w:szCs w:val="32"/>
        </w:rPr>
        <w:t>本办法。</w:t>
      </w:r>
    </w:p>
    <w:p w14:paraId="022148EC" w14:textId="77777777" w:rsidR="00E12269" w:rsidRDefault="00414B76">
      <w:pPr>
        <w:rPr>
          <w:rFonts w:ascii="仿宋_GB2312" w:eastAsia="仿宋_GB2312" w:hAnsi="仿宋_GB2312" w:cs="仿宋_GB2312"/>
          <w:sz w:val="32"/>
          <w:szCs w:val="32"/>
        </w:rPr>
      </w:pPr>
      <w:r>
        <w:rPr>
          <w:rFonts w:ascii="仿宋_GB2312" w:eastAsia="仿宋_GB2312" w:hAnsi="仿宋_GB2312" w:cs="仿宋_GB2312" w:hint="eastAsia"/>
          <w:b/>
          <w:bCs/>
          <w:sz w:val="32"/>
          <w:szCs w:val="32"/>
        </w:rPr>
        <w:t xml:space="preserve">  </w:t>
      </w:r>
      <w:r>
        <w:rPr>
          <w:rFonts w:ascii="黑体" w:eastAsia="黑体" w:hAnsi="黑体" w:cs="黑体" w:hint="eastAsia"/>
          <w:sz w:val="32"/>
          <w:szCs w:val="32"/>
        </w:rPr>
        <w:t xml:space="preserve">  </w:t>
      </w:r>
      <w:r>
        <w:rPr>
          <w:rFonts w:ascii="黑体" w:eastAsia="黑体" w:hAnsi="黑体" w:cs="黑体" w:hint="eastAsia"/>
          <w:sz w:val="32"/>
          <w:szCs w:val="32"/>
        </w:rPr>
        <w:t>第八十五条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本办法自</w:t>
      </w:r>
      <w:r>
        <w:rPr>
          <w:rFonts w:ascii="仿宋_GB2312" w:eastAsia="仿宋_GB2312" w:hAnsi="仿宋_GB2312" w:cs="仿宋_GB2312" w:hint="eastAsia"/>
          <w:sz w:val="32"/>
          <w:szCs w:val="32"/>
        </w:rPr>
        <w:t>2018</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22</w:t>
      </w:r>
      <w:r>
        <w:rPr>
          <w:rFonts w:ascii="仿宋_GB2312" w:eastAsia="仿宋_GB2312" w:hAnsi="仿宋_GB2312" w:cs="仿宋_GB2312" w:hint="eastAsia"/>
          <w:sz w:val="32"/>
          <w:szCs w:val="32"/>
        </w:rPr>
        <w:t>日起施行。《证券公司客户资产管理业务管理办法》（证监会令第</w:t>
      </w:r>
      <w:r>
        <w:rPr>
          <w:rFonts w:ascii="仿宋_GB2312" w:eastAsia="仿宋_GB2312" w:hAnsi="仿宋_GB2312" w:cs="仿宋_GB2312" w:hint="eastAsia"/>
          <w:sz w:val="32"/>
          <w:szCs w:val="32"/>
        </w:rPr>
        <w:t>93</w:t>
      </w:r>
      <w:r>
        <w:rPr>
          <w:rFonts w:ascii="仿宋_GB2312" w:eastAsia="仿宋_GB2312" w:hAnsi="仿宋_GB2312" w:cs="仿宋_GB2312" w:hint="eastAsia"/>
          <w:sz w:val="32"/>
          <w:szCs w:val="32"/>
        </w:rPr>
        <w:t>号）、《基金管理公司特定客户资产管理业务试点办法》（证监会令第</w:t>
      </w:r>
      <w:r>
        <w:rPr>
          <w:rFonts w:ascii="仿宋_GB2312" w:eastAsia="仿宋_GB2312" w:hAnsi="仿宋_GB2312" w:cs="仿宋_GB2312" w:hint="eastAsia"/>
          <w:sz w:val="32"/>
          <w:szCs w:val="32"/>
        </w:rPr>
        <w:t>83</w:t>
      </w:r>
      <w:r>
        <w:rPr>
          <w:rFonts w:ascii="仿宋_GB2312" w:eastAsia="仿宋_GB2312" w:hAnsi="仿宋_GB2312" w:cs="仿宋_GB2312" w:hint="eastAsia"/>
          <w:sz w:val="32"/>
          <w:szCs w:val="32"/>
        </w:rPr>
        <w:t>号）、《期货公司资产管理业务试点办法》（证监会令第</w:t>
      </w:r>
      <w:r>
        <w:rPr>
          <w:rFonts w:ascii="仿宋_GB2312" w:eastAsia="仿宋_GB2312" w:hAnsi="仿宋_GB2312" w:cs="仿宋_GB2312" w:hint="eastAsia"/>
          <w:sz w:val="32"/>
          <w:szCs w:val="32"/>
        </w:rPr>
        <w:t>81</w:t>
      </w:r>
      <w:r>
        <w:rPr>
          <w:rFonts w:ascii="仿宋_GB2312" w:eastAsia="仿宋_GB2312" w:hAnsi="仿宋_GB2312" w:cs="仿宋_GB2312" w:hint="eastAsia"/>
          <w:sz w:val="32"/>
          <w:szCs w:val="32"/>
        </w:rPr>
        <w:t>号</w:t>
      </w:r>
      <w:r>
        <w:rPr>
          <w:rFonts w:ascii="仿宋_GB2312" w:eastAsia="仿宋_GB2312" w:hAnsi="仿宋_GB2312" w:cs="仿宋_GB2312" w:hint="eastAsia"/>
          <w:sz w:val="32"/>
          <w:szCs w:val="32"/>
        </w:rPr>
        <w:t>）、《证券公司集合资产管理业务实施细则》（证监会公告〔</w:t>
      </w:r>
      <w:r>
        <w:rPr>
          <w:rFonts w:ascii="仿宋_GB2312" w:eastAsia="仿宋_GB2312" w:hAnsi="仿宋_GB2312" w:cs="仿宋_GB2312" w:hint="eastAsia"/>
          <w:sz w:val="32"/>
          <w:szCs w:val="32"/>
        </w:rPr>
        <w:t>2013</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28</w:t>
      </w:r>
      <w:r>
        <w:rPr>
          <w:rFonts w:ascii="仿宋_GB2312" w:eastAsia="仿宋_GB2312" w:hAnsi="仿宋_GB2312" w:cs="仿宋_GB2312" w:hint="eastAsia"/>
          <w:sz w:val="32"/>
          <w:szCs w:val="32"/>
        </w:rPr>
        <w:t>号）、《证券公司定向资产管理业务实施细则》（证监会公告〔</w:t>
      </w:r>
      <w:r>
        <w:rPr>
          <w:rFonts w:ascii="仿宋_GB2312" w:eastAsia="仿宋_GB2312" w:hAnsi="仿宋_GB2312" w:cs="仿宋_GB2312" w:hint="eastAsia"/>
          <w:sz w:val="32"/>
          <w:szCs w:val="32"/>
        </w:rPr>
        <w:t>2012</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30</w:t>
      </w:r>
      <w:r>
        <w:rPr>
          <w:rFonts w:ascii="仿宋_GB2312" w:eastAsia="仿宋_GB2312" w:hAnsi="仿宋_GB2312" w:cs="仿宋_GB2312" w:hint="eastAsia"/>
          <w:sz w:val="32"/>
          <w:szCs w:val="32"/>
        </w:rPr>
        <w:t>号）、《关于实施</w:t>
      </w:r>
      <w:r>
        <w:rPr>
          <w:rFonts w:ascii="仿宋_GB2312" w:eastAsia="仿宋_GB2312" w:hAnsi="仿宋_GB2312" w:cs="仿宋_GB2312" w:hint="eastAsia"/>
          <w:sz w:val="32"/>
          <w:szCs w:val="32"/>
        </w:rPr>
        <w:t>&lt;</w:t>
      </w:r>
      <w:r>
        <w:rPr>
          <w:rFonts w:ascii="仿宋_GB2312" w:eastAsia="仿宋_GB2312" w:hAnsi="仿宋_GB2312" w:cs="仿宋_GB2312" w:hint="eastAsia"/>
          <w:sz w:val="32"/>
          <w:szCs w:val="32"/>
        </w:rPr>
        <w:t>基金管理公司特定客户资产管理业务试点办法</w:t>
      </w:r>
      <w:r>
        <w:rPr>
          <w:rFonts w:ascii="仿宋_GB2312" w:eastAsia="仿宋_GB2312" w:hAnsi="仿宋_GB2312" w:cs="仿宋_GB2312" w:hint="eastAsia"/>
          <w:sz w:val="32"/>
          <w:szCs w:val="32"/>
        </w:rPr>
        <w:t>&gt;</w:t>
      </w:r>
      <w:r>
        <w:rPr>
          <w:rFonts w:ascii="仿宋_GB2312" w:eastAsia="仿宋_GB2312" w:hAnsi="仿宋_GB2312" w:cs="仿宋_GB2312" w:hint="eastAsia"/>
          <w:sz w:val="32"/>
          <w:szCs w:val="32"/>
        </w:rPr>
        <w:t>有关问题的规定》（证监会公告〔</w:t>
      </w:r>
      <w:r>
        <w:rPr>
          <w:rFonts w:ascii="仿宋_GB2312" w:eastAsia="仿宋_GB2312" w:hAnsi="仿宋_GB2312" w:cs="仿宋_GB2312" w:hint="eastAsia"/>
          <w:sz w:val="32"/>
          <w:szCs w:val="32"/>
        </w:rPr>
        <w:t>2012</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23</w:t>
      </w:r>
      <w:r>
        <w:rPr>
          <w:rFonts w:ascii="仿宋_GB2312" w:eastAsia="仿宋_GB2312" w:hAnsi="仿宋_GB2312" w:cs="仿宋_GB2312" w:hint="eastAsia"/>
          <w:sz w:val="32"/>
          <w:szCs w:val="32"/>
        </w:rPr>
        <w:t>号）、《基金管理公司单一客户资产管理合同内容与格式准则》（证监会公告〔</w:t>
      </w:r>
      <w:r>
        <w:rPr>
          <w:rFonts w:ascii="仿宋_GB2312" w:eastAsia="仿宋_GB2312" w:hAnsi="仿宋_GB2312" w:cs="仿宋_GB2312" w:hint="eastAsia"/>
          <w:sz w:val="32"/>
          <w:szCs w:val="32"/>
        </w:rPr>
        <w:t>2012</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24</w:t>
      </w:r>
      <w:r>
        <w:rPr>
          <w:rFonts w:ascii="仿宋_GB2312" w:eastAsia="仿宋_GB2312" w:hAnsi="仿宋_GB2312" w:cs="仿宋_GB2312" w:hint="eastAsia"/>
          <w:sz w:val="32"/>
          <w:szCs w:val="32"/>
        </w:rPr>
        <w:t>号）、《基金管理公司特定多个客户资产管理合同内容与格式准则》（证监会公告〔</w:t>
      </w:r>
      <w:r>
        <w:rPr>
          <w:rFonts w:ascii="仿宋_GB2312" w:eastAsia="仿宋_GB2312" w:hAnsi="仿宋_GB2312" w:cs="仿宋_GB2312" w:hint="eastAsia"/>
          <w:sz w:val="32"/>
          <w:szCs w:val="32"/>
        </w:rPr>
        <w:t>2012</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25</w:t>
      </w:r>
      <w:r>
        <w:rPr>
          <w:rFonts w:ascii="仿宋_GB2312" w:eastAsia="仿宋_GB2312" w:hAnsi="仿宋_GB2312" w:cs="仿宋_GB2312" w:hint="eastAsia"/>
          <w:sz w:val="32"/>
          <w:szCs w:val="32"/>
        </w:rPr>
        <w:t>号）同时废止。</w:t>
      </w:r>
    </w:p>
    <w:p w14:paraId="51F72E6B" w14:textId="77777777" w:rsidR="00E12269" w:rsidRDefault="00E12269">
      <w:pPr>
        <w:rPr>
          <w:rFonts w:ascii="仿宋_GB2312" w:eastAsia="仿宋_GB2312" w:hAnsi="仿宋_GB2312" w:cs="仿宋_GB2312"/>
          <w:sz w:val="32"/>
          <w:szCs w:val="32"/>
        </w:rPr>
      </w:pPr>
    </w:p>
    <w:p w14:paraId="12BCB0EB" w14:textId="77777777" w:rsidR="00E12269" w:rsidRDefault="00E12269">
      <w:pPr>
        <w:ind w:firstLineChars="200" w:firstLine="640"/>
        <w:rPr>
          <w:rFonts w:ascii="仿宋_GB2312" w:eastAsia="仿宋_GB2312" w:hAnsi="仿宋_GB2312" w:cs="仿宋_GB2312"/>
          <w:color w:val="333333"/>
          <w:sz w:val="32"/>
          <w:szCs w:val="32"/>
          <w:shd w:val="clear" w:color="auto" w:fill="FFFFFF"/>
        </w:rPr>
      </w:pPr>
    </w:p>
    <w:sectPr w:rsidR="00E12269">
      <w:headerReference w:type="default" r:id="rId8"/>
      <w:footerReference w:type="default" r:id="rId9"/>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CEE0ED" w14:textId="77777777" w:rsidR="00414B76" w:rsidRDefault="00414B76">
      <w:r>
        <w:separator/>
      </w:r>
    </w:p>
  </w:endnote>
  <w:endnote w:type="continuationSeparator" w:id="0">
    <w:p w14:paraId="2CC87635" w14:textId="77777777" w:rsidR="00414B76" w:rsidRDefault="00414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小标宋简体">
    <w:altName w:val="微软雅黑"/>
    <w:charset w:val="86"/>
    <w:family w:val="auto"/>
    <w:pitch w:val="default"/>
    <w:sig w:usb0="00000000" w:usb1="00000000" w:usb2="00000012" w:usb3="00000000" w:csb0="00040001" w:csb1="00000000"/>
  </w:font>
  <w:font w:name="楷体_GB2312">
    <w:altName w:val="楷体"/>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auto"/>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3A13E" w14:textId="77777777" w:rsidR="00E12269" w:rsidRDefault="00414B76">
    <w:pPr>
      <w:pStyle w:val="a5"/>
      <w:ind w:leftChars="2280" w:left="4788" w:firstLineChars="2000" w:firstLine="6400"/>
      <w:rPr>
        <w:rFonts w:eastAsia="仿宋"/>
        <w:sz w:val="32"/>
        <w:szCs w:val="48"/>
      </w:rPr>
    </w:pPr>
    <w:r>
      <w:rPr>
        <w:noProof/>
        <w:sz w:val="32"/>
      </w:rPr>
      <mc:AlternateContent>
        <mc:Choice Requires="wps">
          <w:drawing>
            <wp:anchor distT="0" distB="0" distL="114300" distR="114300" simplePos="0" relativeHeight="251662336" behindDoc="0" locked="0" layoutInCell="1" allowOverlap="1" wp14:anchorId="2CE7643C" wp14:editId="43FD154F">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3FD959" w14:textId="77777777" w:rsidR="00E12269" w:rsidRDefault="00414B76">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CE7643C" id="_x0000_t202" coordsize="21600,21600" o:spt="202" path="m,l,21600r21600,l21600,xe">
              <v:stroke joinstyle="miter"/>
              <v:path gradientshapeok="t" o:connecttype="rect"/>
            </v:shapetype>
            <v:shape id="文本框 8" o:spid="_x0000_s1027" type="#_x0000_t202" style="position:absolute;left:0;text-align:left;margin-left:92.8pt;margin-top:0;width:2in;height:2in;z-index:25166233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4E3FD959" w14:textId="77777777" w:rsidR="00E12269" w:rsidRDefault="00414B76">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- 1 -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 xml:space="preserve">  </w:t>
    </w:r>
  </w:p>
  <w:p w14:paraId="70ED8F87" w14:textId="77777777" w:rsidR="00E12269" w:rsidRDefault="00414B76">
    <w:pPr>
      <w:pStyle w:val="a5"/>
      <w:wordWrap w:val="0"/>
      <w:ind w:leftChars="2280" w:left="4788" w:firstLineChars="2000" w:firstLine="6400"/>
      <w:jc w:val="right"/>
      <w:rPr>
        <w:rFonts w:ascii="宋体" w:eastAsia="宋体" w:hAnsi="宋体" w:cs="宋体"/>
        <w:b/>
        <w:bCs/>
        <w:color w:val="005192"/>
        <w:sz w:val="28"/>
        <w:szCs w:val="44"/>
      </w:rPr>
    </w:pPr>
    <w:r>
      <w:rPr>
        <w:noProof/>
        <w:color w:val="FAFAFA"/>
        <w:sz w:val="32"/>
      </w:rPr>
      <mc:AlternateContent>
        <mc:Choice Requires="wps">
          <w:drawing>
            <wp:anchor distT="0" distB="0" distL="114300" distR="114300" simplePos="0" relativeHeight="251661312" behindDoc="0" locked="0" layoutInCell="1" allowOverlap="1" wp14:anchorId="5F27446D" wp14:editId="0078E37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EAB5852" id="直接连接符 5"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0,5.85pt" to="442.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pkNwQEAAOIDAAAOAAAAZHJzL2Uyb0RvYy54bWysU8tu2zAQvAfoPxC815IMyG0EyzkkSC9B&#10;GrTJB9DU0iLAF0jWkv++S0qWjaZA0aI6UBR3Z3ZnuNrejVqRI/ggrWlptSopAcNtJ82hpW+vjx8/&#10;UxIiMx1T1kBLTxDo3e7DzXZwDaxtb1UHniCJCc3gWtrH6JqiCLwHzcLKOjAYFNZrFvHTH4rOswHZ&#10;tSrWZbkpBus75y2HEPD0YQrSXeYXAnj8KkSASFRLsbeYV5/XfVqL3ZY1B89cL/ncBvuHLjSTBosu&#10;VA8sMvLDy3dUWnJvgxVxxa0urBCSQ9aAaqryFzXfe+Yga0FzgltsCv+Plj8f782LRxsGF5rgXnxS&#10;MQqv0xv7I2M267SYBWMkHA/rTbWpP9WUcIxVt2WdvCwuWOdD/AJWk7RpqZImSWENOz6FOKWeU9Kx&#10;MmRo6RqfOqcFq2T3KJVKweAP+3vlyZGlayzr6nY9V7tKw9rKYAsXIXkXTwqmAt9AENlh69VUIc0Y&#10;LLSMczCxmnmVwewEE9jCAiz/DJzzExTy/P0NeEHkytbEBaylsf531eN4bllM+WcHJt3Jgr3tTvmK&#10;szU4SPme5qFPk3r9neGXX3P3EwAA//8DAFBLAwQUAAYACAAAACEAjI2YpNoAAAAGAQAADwAAAGRy&#10;cy9kb3ducmV2LnhtbEyPzU7DMBCE70i8g7VI3KjT8BeFOBVE4gQc2sLdjd04qr22bDcJb89yguPM&#10;rGa+bTaLs2zSMY0eBaxXBTCNvVcjDgI+9683FbCUJSppPWoB3zrBpr28aGSt/IxbPe3ywKgEUy0F&#10;mJxDzXnqjXYyrXzQSNnRRyczyThwFeVM5c7ysigeuJMj0oKRQXdG96fd2Qno3kLZmY/9HMuX9D5M&#10;tzYcT19CXF8tz0/Asl7y3zH84hM6tMR08GdUiVkB9Egmd/0IjNKqursHdiCjLIC3Df+P3/4AAAD/&#10;/wMAUEsBAi0AFAAGAAgAAAAhALaDOJL+AAAA4QEAABMAAAAAAAAAAAAAAAAAAAAAAFtDb250ZW50&#10;X1R5cGVzXS54bWxQSwECLQAUAAYACAAAACEAOP0h/9YAAACUAQAACwAAAAAAAAAAAAAAAAAvAQAA&#10;X3JlbHMvLnJlbHNQSwECLQAUAAYACAAAACEAmWKZDcEBAADiAwAADgAAAAAAAAAAAAAAAAAuAgAA&#10;ZHJzL2Uyb0RvYy54bWxQSwECLQAUAAYACAAAACEAjI2YpNoAAAAGAQAADwAAAAAAAAAAAAAAAAAb&#10;BAAAZHJzL2Rvd25yZXYueG1sUEsFBgAAAAAEAAQA8wAAACIFAAAAAA==&#10;" strokecolor="#005192" strokeweight="1.75pt">
              <v:stroke joinstyle="miter"/>
            </v:line>
          </w:pict>
        </mc:Fallback>
      </mc:AlternateContent>
    </w:r>
    <w:r>
      <w:rPr>
        <w:rFonts w:eastAsia="仿宋" w:hint="eastAsia"/>
        <w:color w:val="FAFAFA"/>
        <w:sz w:val="32"/>
        <w:szCs w:val="48"/>
      </w:rPr>
      <w:t>X</w:t>
    </w:r>
    <w:r>
      <w:rPr>
        <w:rFonts w:ascii="宋体" w:eastAsia="宋体" w:hAnsi="宋体" w:cs="宋体" w:hint="eastAsia"/>
        <w:b/>
        <w:bCs/>
        <w:color w:val="005192"/>
        <w:sz w:val="28"/>
        <w:szCs w:val="44"/>
      </w:rPr>
      <w:t>证监会发布</w:t>
    </w:r>
    <w:r>
      <w:rPr>
        <w:rFonts w:ascii="宋体" w:eastAsia="宋体" w:hAnsi="宋体" w:cs="宋体" w:hint="eastAsia"/>
        <w:b/>
        <w:bCs/>
        <w:color w:val="005192"/>
        <w:sz w:val="28"/>
        <w:szCs w:val="44"/>
      </w:rPr>
      <w:t xml:space="preserve">     </w:t>
    </w:r>
  </w:p>
  <w:p w14:paraId="64A81D3C" w14:textId="77777777" w:rsidR="00E12269" w:rsidRDefault="00E12269">
    <w:pPr>
      <w:pStyle w:val="a5"/>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32EE88" w14:textId="77777777" w:rsidR="00414B76" w:rsidRDefault="00414B76">
      <w:r>
        <w:separator/>
      </w:r>
    </w:p>
  </w:footnote>
  <w:footnote w:type="continuationSeparator" w:id="0">
    <w:p w14:paraId="0D022B09" w14:textId="77777777" w:rsidR="00414B76" w:rsidRDefault="00414B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2881C" w14:textId="77777777" w:rsidR="00E12269" w:rsidRDefault="00414B76">
    <w:pPr>
      <w:pStyle w:val="a5"/>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60288" behindDoc="0" locked="0" layoutInCell="1" allowOverlap="1" wp14:anchorId="56D93CCD" wp14:editId="66FE707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0A7A6D1" id="直接连接符 4"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3pt,54.35pt" to="442.2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1g/zAEAAOoDAAAOAAAAZHJzL2Uyb0RvYy54bWysU8tu2zAQvBfoPxC813okdh3Bcg4J0kvR&#10;Bn18AE0tLQJ8gWQt+e+7pGQ5aAsUDaoDJXJnZneHq939qBU5gQ/SmpZWq5ISMNx20hxb+v3b07st&#10;JSEy0zFlDbT0DIHe79++2Q2ugdr2VnXgCYqY0AyupX2MrimKwHvQLKysA4NBYb1mEbf+WHSeDaiu&#10;VVGX5aYYrO+ctxxCwNPHKUj3WV8I4PGzEAEiUS3F2mJefV4PaS32O9YcPXO95HMZ7BVVaCYNJl2k&#10;Hllk5IeXv0lpyb0NVsQVt7qwQkgOuQfspip/6eZrzxzkXtCc4Babwv+T5Z9OD+bZow2DC01wzz51&#10;MQqv0xvrI2NLb6ubm+0a7Tu3dLu53b6ffYMxEo7x9aYuEUAJR0COFVcN50P8AFaT9NFSJU1qiTXs&#10;9DFEzIvQCyQdK0OGltb4rDMsWCW7J6lUCgZ/PDwoT04sXWe5ru7qdIMo8QKGO2Xw8NpQ/opnBVOC&#10;LyCI7LDuasqQZg0WWcY5mFjNusogOtEElrAQy78TZ3yiQp7DfyEvjJzZmriQtTTW/yl7HC8liwl/&#10;cWDqO1lwsN05X3W2BgcqOzcPf5rYl/tMv/6i+58AAAD//wMAUEsDBBQABgAIAAAAIQD16O6+3AAA&#10;AAkBAAAPAAAAZHJzL2Rvd25yZXYueG1sTI/BTsMwEETvSPyDtUjcWqcBSpTGqSASJ+BAC3c3duOo&#10;8dqy3ST8PYuERI87M5p9U21nO7BRh9g7FLBaZsA0tk712An43L8sCmAxSVRycKgFfOsI2/r6qpKl&#10;chN+6HGXOkYlGEspwKTkS85ja7SVcem8RvKOLliZ6AwdV0FOVG4HnmfZmlvZI30w0uvG6Pa0O1sB&#10;zavPG/O+n0L+HN+68W7wx9OXELc389MGWNJz+g/DLz6hQ01MB3dGFdkgYLGmIMlZ8QiM/KK4fwB2&#10;+FN4XfHLBfUPAAAA//8DAFBLAQItABQABgAIAAAAIQC2gziS/gAAAOEBAAATAAAAAAAAAAAAAAAA&#10;AAAAAABbQ29udGVudF9UeXBlc10ueG1sUEsBAi0AFAAGAAgAAAAhADj9If/WAAAAlAEAAAsAAAAA&#10;AAAAAAAAAAAALwEAAF9yZWxzLy5yZWxzUEsBAi0AFAAGAAgAAAAhAN1LWD/MAQAA6gMAAA4AAAAA&#10;AAAAAAAAAAAALgIAAGRycy9lMm9Eb2MueG1sUEsBAi0AFAAGAAgAAAAhAPXo7r7cAAAACQEAAA8A&#10;AAAAAAAAAAAAAAAAJgQAAGRycy9kb3ducmV2LnhtbFBLBQYAAAAABAAEAPMAAAAvBQAAAAA=&#10;" strokecolor="#005192" strokeweight="1.75pt">
              <v:stroke joinstyle="miter"/>
            </v:line>
          </w:pict>
        </mc:Fallback>
      </mc:AlternateContent>
    </w:r>
  </w:p>
  <w:p w14:paraId="546C6B18" w14:textId="77777777" w:rsidR="00E12269" w:rsidRDefault="00414B76">
    <w:pPr>
      <w:pStyle w:val="a5"/>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14:anchorId="4A2C9570" wp14:editId="2B6DC33A">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rPr>
      <w:t>证监会</w:t>
    </w:r>
    <w:r>
      <w:rPr>
        <w:rFonts w:ascii="宋体" w:eastAsia="宋体" w:hAnsi="宋体" w:cs="宋体" w:hint="eastAsia"/>
        <w:b/>
        <w:bCs/>
        <w:color w:val="005192"/>
        <w:sz w:val="32"/>
        <w:szCs w:val="32"/>
      </w:rPr>
      <w:t>规章</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A"/>
    <w:multiLevelType w:val="singleLevel"/>
    <w:tmpl w:val="0000000A"/>
    <w:lvl w:ilvl="0">
      <w:start w:val="3"/>
      <w:numFmt w:val="chineseCounting"/>
      <w:suff w:val="nothing"/>
      <w:lvlText w:val="（%1）"/>
      <w:lvlJc w:val="left"/>
    </w:lvl>
  </w:abstractNum>
  <w:abstractNum w:abstractNumId="1" w15:restartNumberingAfterBreak="0">
    <w:nsid w:val="0000000B"/>
    <w:multiLevelType w:val="singleLevel"/>
    <w:tmpl w:val="0000000B"/>
    <w:lvl w:ilvl="0">
      <w:start w:val="4"/>
      <w:numFmt w:val="chineseCounting"/>
      <w:suff w:val="nothing"/>
      <w:lvlText w:val="（%1）"/>
      <w:lvlJc w:val="left"/>
    </w:lvl>
  </w:abstractNum>
  <w:abstractNum w:abstractNumId="2" w15:restartNumberingAfterBreak="0">
    <w:nsid w:val="0000000C"/>
    <w:multiLevelType w:val="singleLevel"/>
    <w:tmpl w:val="0000000C"/>
    <w:lvl w:ilvl="0">
      <w:start w:val="1"/>
      <w:numFmt w:val="chineseCounting"/>
      <w:suff w:val="nothing"/>
      <w:lvlText w:val="（%1）"/>
      <w:lvlJc w:val="left"/>
    </w:lvl>
  </w:abstractNum>
  <w:abstractNum w:abstractNumId="3" w15:restartNumberingAfterBreak="0">
    <w:nsid w:val="0000000E"/>
    <w:multiLevelType w:val="singleLevel"/>
    <w:tmpl w:val="0000000E"/>
    <w:lvl w:ilvl="0">
      <w:start w:val="2"/>
      <w:numFmt w:val="chineseCounting"/>
      <w:suff w:val="space"/>
      <w:lvlText w:val="第%1章"/>
      <w:lvlJc w:val="left"/>
    </w:lvl>
  </w:abstractNum>
  <w:abstractNum w:abstractNumId="4" w15:restartNumberingAfterBreak="0">
    <w:nsid w:val="0000000F"/>
    <w:multiLevelType w:val="singleLevel"/>
    <w:tmpl w:val="0000000F"/>
    <w:lvl w:ilvl="0">
      <w:start w:val="1"/>
      <w:numFmt w:val="chineseCounting"/>
      <w:suff w:val="nothing"/>
      <w:lvlText w:val="（%1）"/>
      <w:lvlJc w:val="left"/>
    </w:lvl>
  </w:abstractNum>
  <w:abstractNum w:abstractNumId="5" w15:restartNumberingAfterBreak="0">
    <w:nsid w:val="00000010"/>
    <w:multiLevelType w:val="singleLevel"/>
    <w:tmpl w:val="00000010"/>
    <w:lvl w:ilvl="0">
      <w:start w:val="1"/>
      <w:numFmt w:val="chineseCounting"/>
      <w:suff w:val="nothing"/>
      <w:lvlText w:val="（%1）"/>
      <w:lvlJc w:val="left"/>
    </w:lvl>
  </w:abstractNum>
  <w:abstractNum w:abstractNumId="6" w15:restartNumberingAfterBreak="0">
    <w:nsid w:val="00000011"/>
    <w:multiLevelType w:val="singleLevel"/>
    <w:tmpl w:val="00000011"/>
    <w:lvl w:ilvl="0">
      <w:start w:val="8"/>
      <w:numFmt w:val="chineseCounting"/>
      <w:suff w:val="nothing"/>
      <w:lvlText w:val="（%1）"/>
      <w:lvlJc w:val="left"/>
    </w:lvl>
  </w:abstractNum>
  <w:abstractNum w:abstractNumId="7" w15:restartNumberingAfterBreak="0">
    <w:nsid w:val="00000013"/>
    <w:multiLevelType w:val="singleLevel"/>
    <w:tmpl w:val="00000013"/>
    <w:lvl w:ilvl="0">
      <w:start w:val="1"/>
      <w:numFmt w:val="chineseCounting"/>
      <w:suff w:val="nothing"/>
      <w:lvlText w:val="（%1）"/>
      <w:lvlJc w:val="left"/>
    </w:lvl>
  </w:abstractNum>
  <w:abstractNum w:abstractNumId="8" w15:restartNumberingAfterBreak="0">
    <w:nsid w:val="00000014"/>
    <w:multiLevelType w:val="singleLevel"/>
    <w:tmpl w:val="00000014"/>
    <w:lvl w:ilvl="0">
      <w:start w:val="6"/>
      <w:numFmt w:val="chineseCounting"/>
      <w:suff w:val="space"/>
      <w:lvlText w:val="第%1章"/>
      <w:lvlJc w:val="left"/>
    </w:lvl>
  </w:abstractNum>
  <w:abstractNum w:abstractNumId="9" w15:restartNumberingAfterBreak="0">
    <w:nsid w:val="00000015"/>
    <w:multiLevelType w:val="singleLevel"/>
    <w:tmpl w:val="00000015"/>
    <w:lvl w:ilvl="0">
      <w:start w:val="6"/>
      <w:numFmt w:val="chineseCounting"/>
      <w:suff w:val="nothing"/>
      <w:lvlText w:val="（%1）"/>
      <w:lvlJc w:val="left"/>
    </w:lvl>
  </w:abstractNum>
  <w:abstractNum w:abstractNumId="10" w15:restartNumberingAfterBreak="0">
    <w:nsid w:val="00000016"/>
    <w:multiLevelType w:val="singleLevel"/>
    <w:tmpl w:val="00000016"/>
    <w:lvl w:ilvl="0">
      <w:start w:val="1"/>
      <w:numFmt w:val="chineseCounting"/>
      <w:suff w:val="nothing"/>
      <w:lvlText w:val="（%1）"/>
      <w:lvlJc w:val="left"/>
    </w:lvl>
  </w:abstractNum>
  <w:abstractNum w:abstractNumId="11" w15:restartNumberingAfterBreak="0">
    <w:nsid w:val="00000017"/>
    <w:multiLevelType w:val="singleLevel"/>
    <w:tmpl w:val="00000017"/>
    <w:lvl w:ilvl="0">
      <w:start w:val="9"/>
      <w:numFmt w:val="chineseCounting"/>
      <w:suff w:val="space"/>
      <w:lvlText w:val="第%1章"/>
      <w:lvlJc w:val="left"/>
    </w:lvl>
  </w:abstractNum>
  <w:abstractNum w:abstractNumId="12" w15:restartNumberingAfterBreak="0">
    <w:nsid w:val="00000018"/>
    <w:multiLevelType w:val="singleLevel"/>
    <w:tmpl w:val="00000018"/>
    <w:lvl w:ilvl="0">
      <w:start w:val="1"/>
      <w:numFmt w:val="chineseCounting"/>
      <w:suff w:val="nothing"/>
      <w:lvlText w:val="（%1）"/>
      <w:lvlJc w:val="left"/>
    </w:lvl>
  </w:abstractNum>
  <w:abstractNum w:abstractNumId="13" w15:restartNumberingAfterBreak="0">
    <w:nsid w:val="00000019"/>
    <w:multiLevelType w:val="singleLevel"/>
    <w:tmpl w:val="00000019"/>
    <w:lvl w:ilvl="0">
      <w:start w:val="10"/>
      <w:numFmt w:val="chineseCounting"/>
      <w:suff w:val="space"/>
      <w:lvlText w:val="第%1章"/>
      <w:lvlJc w:val="left"/>
    </w:lvl>
  </w:abstractNum>
  <w:num w:numId="1">
    <w:abstractNumId w:val="3"/>
  </w:num>
  <w:num w:numId="2">
    <w:abstractNumId w:val="6"/>
  </w:num>
  <w:num w:numId="3">
    <w:abstractNumId w:val="12"/>
  </w:num>
  <w:num w:numId="4">
    <w:abstractNumId w:val="4"/>
  </w:num>
  <w:num w:numId="5">
    <w:abstractNumId w:val="0"/>
  </w:num>
  <w:num w:numId="6">
    <w:abstractNumId w:val="1"/>
  </w:num>
  <w:num w:numId="7">
    <w:abstractNumId w:val="5"/>
  </w:num>
  <w:num w:numId="8">
    <w:abstractNumId w:val="2"/>
  </w:num>
  <w:num w:numId="9">
    <w:abstractNumId w:val="8"/>
  </w:num>
  <w:num w:numId="10">
    <w:abstractNumId w:val="7"/>
  </w:num>
  <w:num w:numId="11">
    <w:abstractNumId w:val="10"/>
  </w:num>
  <w:num w:numId="12">
    <w:abstractNumId w:val="9"/>
  </w:num>
  <w:num w:numId="13">
    <w:abstractNumId w:val="1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DDCD6867"/>
    <w:rsid w:val="00172A27"/>
    <w:rsid w:val="00346F48"/>
    <w:rsid w:val="00414B76"/>
    <w:rsid w:val="00E12269"/>
    <w:rsid w:val="019E71BD"/>
    <w:rsid w:val="04B679C3"/>
    <w:rsid w:val="080F63D8"/>
    <w:rsid w:val="09341458"/>
    <w:rsid w:val="0B0912D7"/>
    <w:rsid w:val="152D2DCA"/>
    <w:rsid w:val="1DEC284C"/>
    <w:rsid w:val="1E6523AC"/>
    <w:rsid w:val="22440422"/>
    <w:rsid w:val="285D33A9"/>
    <w:rsid w:val="31A15F24"/>
    <w:rsid w:val="395347B5"/>
    <w:rsid w:val="39A232A0"/>
    <w:rsid w:val="39E745AA"/>
    <w:rsid w:val="3B5A6BBB"/>
    <w:rsid w:val="3EDA13A6"/>
    <w:rsid w:val="42F058B7"/>
    <w:rsid w:val="436109F6"/>
    <w:rsid w:val="441A38D4"/>
    <w:rsid w:val="4BC77339"/>
    <w:rsid w:val="4C9236C5"/>
    <w:rsid w:val="505C172E"/>
    <w:rsid w:val="52F46F0B"/>
    <w:rsid w:val="53D8014D"/>
    <w:rsid w:val="55E064E0"/>
    <w:rsid w:val="572C6D10"/>
    <w:rsid w:val="58C14A7E"/>
    <w:rsid w:val="5DC34279"/>
    <w:rsid w:val="5F6C124D"/>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106618D"/>
  <w15:docId w15:val="{A309BB8B-F592-4ED1-AEF4-584C4F2DE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annotation reference"/>
    <w:qFormat/>
    <w:rPr>
      <w:sz w:val="21"/>
      <w:szCs w:val="21"/>
    </w:rPr>
  </w:style>
  <w:style w:type="paragraph" w:styleId="a7">
    <w:name w:val="List Paragraph"/>
    <w:basedOn w:val="a"/>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2583</Words>
  <Characters>14726</Characters>
  <Application>Microsoft Office Word</Application>
  <DocSecurity>0</DocSecurity>
  <Lines>122</Lines>
  <Paragraphs>34</Paragraphs>
  <ScaleCrop>false</ScaleCrop>
  <Company/>
  <LinksUpToDate>false</LinksUpToDate>
  <CharactersWithSpaces>17275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dc:creator>
  <cp:lastModifiedBy>SS SS</cp:lastModifiedBy>
  <cp:revision>2</cp:revision>
  <cp:lastPrinted>2021-10-26T11:30:00Z</cp:lastPrinted>
  <dcterms:created xsi:type="dcterms:W3CDTF">2021-12-16T07:09:00Z</dcterms:created>
  <dcterms:modified xsi:type="dcterms:W3CDTF">2021-12-16T07:09:00Z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2052-10.8.2.7090</vt:lpwstr>
  </property>
  <property fmtid="{D5CDD505-2E9C-101B-9397-08002B2CF9AE}" pid="3" name="ICV">
    <vt:lpwstr>48C61CB29D3F4D9384F5922CF0F7FFB4</vt:lpwstr>
  </property>
</Properties>
</file>