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BF55F" w14:textId="77777777" w:rsidR="00A06053" w:rsidRDefault="00D96E30">
      <w:pPr>
        <w:jc w:val="center"/>
        <w:rPr>
          <w:rFonts w:asciiTheme="minorEastAsia" w:hAnsiTheme="minorEastAsia" w:cstheme="minorEastAsia"/>
          <w:sz w:val="44"/>
          <w:szCs w:val="44"/>
        </w:rPr>
      </w:pPr>
      <w:r>
        <w:rPr>
          <w:noProof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523EB" wp14:editId="52CFD22D">
                <wp:simplePos x="0" y="0"/>
                <wp:positionH relativeFrom="column">
                  <wp:posOffset>-422275</wp:posOffset>
                </wp:positionH>
                <wp:positionV relativeFrom="paragraph">
                  <wp:posOffset>-1139825</wp:posOffset>
                </wp:positionV>
                <wp:extent cx="1161415" cy="493395"/>
                <wp:effectExtent l="0" t="0" r="635" b="190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7475" y="97155"/>
                          <a:ext cx="1161415" cy="493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E3B034" w14:textId="77777777" w:rsidR="00A06053" w:rsidRDefault="00A06053">
                            <w:pPr>
                              <w:jc w:val="center"/>
                              <w:rPr>
                                <w:rFonts w:ascii="方正小标宋简体" w:eastAsia="方正小标宋简体" w:hAnsi="方正小标宋简体" w:cs="方正小标宋简体"/>
                                <w:color w:val="000000" w:themeColor="text1"/>
                                <w:sz w:val="28"/>
                                <w:szCs w:val="28"/>
                                <w14:textOutline w14:w="0" w14:cap="flat" w14:cmpd="dbl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D523EB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-33.25pt;margin-top:-89.75pt;width:91.45pt;height:38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" fillcolor="white [3201]" stroked="f" strokeweight="1pt">
                <v:textbox>
                  <w:txbxContent>
                    <w:p w14:paraId="38E3B034" w14:textId="77777777" w:rsidR="00A06053" w:rsidRDefault="00A06053">
                      <w:pPr>
                        <w:jc w:val="center"/>
                        <w:rPr>
                          <w:rFonts w:ascii="方正小标宋简体" w:eastAsia="方正小标宋简体" w:hAnsi="方正小标宋简体" w:cs="方正小标宋简体"/>
                          <w:color w:val="000000" w:themeColor="text1"/>
                          <w:sz w:val="28"/>
                          <w:szCs w:val="28"/>
                          <w14:textOutline w14:w="0" w14:cap="flat" w14:cmpd="dbl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1E0F2B6" w14:textId="77777777" w:rsidR="00A06053" w:rsidRDefault="00A06053">
      <w:pPr>
        <w:rPr>
          <w:rFonts w:asciiTheme="minorEastAsia" w:hAnsiTheme="minorEastAsia" w:cstheme="minorEastAsia"/>
          <w:sz w:val="44"/>
          <w:szCs w:val="44"/>
        </w:rPr>
      </w:pPr>
    </w:p>
    <w:p w14:paraId="1DCC089C" w14:textId="77777777" w:rsidR="00A06053" w:rsidRDefault="00D96E30">
      <w:pPr>
        <w:jc w:val="center"/>
        <w:rPr>
          <w:rFonts w:asciiTheme="minorEastAsia" w:hAnsiTheme="minorEastAsia" w:cstheme="minorEastAsia"/>
          <w:sz w:val="44"/>
          <w:szCs w:val="44"/>
        </w:rPr>
      </w:pPr>
      <w:r>
        <w:rPr>
          <w:rFonts w:asciiTheme="minorEastAsia" w:hAnsiTheme="minorEastAsia" w:cstheme="minorEastAsia" w:hint="eastAsia"/>
          <w:sz w:val="44"/>
          <w:szCs w:val="44"/>
        </w:rPr>
        <w:t>关于《期货交易管理条例》第七十条第五项“其他操纵期货交易价格行为”的规定</w:t>
      </w:r>
    </w:p>
    <w:p w14:paraId="37731001" w14:textId="77777777" w:rsidR="00A06053" w:rsidRDefault="00D96E30">
      <w:pPr>
        <w:ind w:firstLineChars="200" w:firstLine="640"/>
        <w:rPr>
          <w:rFonts w:ascii="楷体_GB2312" w:eastAsia="楷体_GB2312" w:hAnsi="楷体_GB2312" w:cs="楷体_GB2312"/>
          <w:color w:val="333333"/>
          <w:sz w:val="32"/>
          <w:szCs w:val="32"/>
          <w:shd w:val="clear" w:color="auto" w:fill="FFFFFF"/>
        </w:rPr>
      </w:pPr>
      <w:r>
        <w:rPr>
          <w:rFonts w:ascii="楷体_GB2312" w:eastAsia="楷体_GB2312" w:hAnsi="楷体_GB2312" w:cs="楷体_GB2312"/>
          <w:color w:val="333333"/>
          <w:sz w:val="32"/>
          <w:szCs w:val="32"/>
          <w:shd w:val="clear" w:color="auto" w:fill="FFFFFF"/>
        </w:rPr>
        <w:t>（</w:t>
      </w:r>
      <w:r>
        <w:rPr>
          <w:rFonts w:ascii="楷体_GB2312" w:eastAsia="楷体_GB2312" w:hAnsi="楷体_GB2312" w:cs="楷体_GB2312"/>
          <w:color w:val="333333"/>
          <w:sz w:val="32"/>
          <w:szCs w:val="32"/>
          <w:shd w:val="clear" w:color="auto" w:fill="FFFFFF"/>
        </w:rPr>
        <w:t>2019</w:t>
      </w:r>
      <w:r>
        <w:rPr>
          <w:rFonts w:ascii="楷体_GB2312" w:eastAsia="楷体_GB2312" w:hAnsi="楷体_GB2312" w:cs="楷体_GB2312"/>
          <w:color w:val="333333"/>
          <w:sz w:val="32"/>
          <w:szCs w:val="32"/>
          <w:shd w:val="clear" w:color="auto" w:fill="FFFFFF"/>
        </w:rPr>
        <w:t>年</w:t>
      </w:r>
      <w:r>
        <w:rPr>
          <w:rFonts w:ascii="楷体_GB2312" w:eastAsia="楷体_GB2312" w:hAnsi="楷体_GB2312" w:cs="楷体_GB2312"/>
          <w:color w:val="333333"/>
          <w:sz w:val="32"/>
          <w:szCs w:val="32"/>
          <w:shd w:val="clear" w:color="auto" w:fill="FFFFFF"/>
        </w:rPr>
        <w:t>11</w:t>
      </w:r>
      <w:r>
        <w:rPr>
          <w:rFonts w:ascii="楷体_GB2312" w:eastAsia="楷体_GB2312" w:hAnsi="楷体_GB2312" w:cs="楷体_GB2312"/>
          <w:color w:val="333333"/>
          <w:sz w:val="32"/>
          <w:szCs w:val="32"/>
          <w:shd w:val="clear" w:color="auto" w:fill="FFFFFF"/>
        </w:rPr>
        <w:t>月</w:t>
      </w:r>
      <w:r>
        <w:rPr>
          <w:rFonts w:ascii="楷体_GB2312" w:eastAsia="楷体_GB2312" w:hAnsi="楷体_GB2312" w:cs="楷体_GB2312"/>
          <w:color w:val="333333"/>
          <w:sz w:val="32"/>
          <w:szCs w:val="32"/>
          <w:shd w:val="clear" w:color="auto" w:fill="FFFFFF"/>
        </w:rPr>
        <w:t>18</w:t>
      </w:r>
      <w:r>
        <w:rPr>
          <w:rFonts w:ascii="楷体_GB2312" w:eastAsia="楷体_GB2312" w:hAnsi="楷体_GB2312" w:cs="楷体_GB2312"/>
          <w:color w:val="333333"/>
          <w:sz w:val="32"/>
          <w:szCs w:val="32"/>
          <w:shd w:val="clear" w:color="auto" w:fill="FFFFFF"/>
        </w:rPr>
        <w:t>日证监会令第</w:t>
      </w:r>
      <w:r>
        <w:rPr>
          <w:rFonts w:ascii="楷体_GB2312" w:eastAsia="楷体_GB2312" w:hAnsi="楷体_GB2312" w:cs="楷体_GB2312"/>
          <w:color w:val="333333"/>
          <w:sz w:val="32"/>
          <w:szCs w:val="32"/>
          <w:shd w:val="clear" w:color="auto" w:fill="FFFFFF"/>
        </w:rPr>
        <w:t>160</w:t>
      </w:r>
      <w:r>
        <w:rPr>
          <w:rFonts w:ascii="楷体_GB2312" w:eastAsia="楷体_GB2312" w:hAnsi="楷体_GB2312" w:cs="楷体_GB2312"/>
          <w:color w:val="333333"/>
          <w:sz w:val="32"/>
          <w:szCs w:val="32"/>
          <w:shd w:val="clear" w:color="auto" w:fill="FFFFFF"/>
        </w:rPr>
        <w:t>号公布</w:t>
      </w:r>
      <w:r>
        <w:rPr>
          <w:rFonts w:ascii="楷体_GB2312" w:eastAsia="楷体_GB2312" w:hAnsi="楷体_GB2312" w:cs="楷体_GB2312" w:hint="eastAsia"/>
          <w:color w:val="333333"/>
          <w:sz w:val="32"/>
          <w:szCs w:val="32"/>
          <w:shd w:val="clear" w:color="auto" w:fill="FFFFFF"/>
        </w:rPr>
        <w:t xml:space="preserve">  </w:t>
      </w:r>
      <w:r>
        <w:rPr>
          <w:rFonts w:ascii="楷体_GB2312" w:eastAsia="楷体_GB2312" w:hAnsi="楷体_GB2312" w:cs="楷体_GB2312"/>
          <w:color w:val="333333"/>
          <w:sz w:val="32"/>
          <w:szCs w:val="32"/>
          <w:shd w:val="clear" w:color="auto" w:fill="FFFFFF"/>
        </w:rPr>
        <w:t>自</w:t>
      </w:r>
      <w:r>
        <w:rPr>
          <w:rFonts w:ascii="楷体_GB2312" w:eastAsia="楷体_GB2312" w:hAnsi="楷体_GB2312" w:cs="楷体_GB2312"/>
          <w:color w:val="333333"/>
          <w:sz w:val="32"/>
          <w:szCs w:val="32"/>
          <w:shd w:val="clear" w:color="auto" w:fill="FFFFFF"/>
        </w:rPr>
        <w:t>2019</w:t>
      </w:r>
      <w:r>
        <w:rPr>
          <w:rFonts w:ascii="楷体_GB2312" w:eastAsia="楷体_GB2312" w:hAnsi="楷体_GB2312" w:cs="楷体_GB2312"/>
          <w:color w:val="333333"/>
          <w:sz w:val="32"/>
          <w:szCs w:val="32"/>
          <w:shd w:val="clear" w:color="auto" w:fill="FFFFFF"/>
        </w:rPr>
        <w:t>年</w:t>
      </w:r>
      <w:r>
        <w:rPr>
          <w:rFonts w:ascii="楷体_GB2312" w:eastAsia="楷体_GB2312" w:hAnsi="楷体_GB2312" w:cs="楷体_GB2312"/>
          <w:color w:val="333333"/>
          <w:sz w:val="32"/>
          <w:szCs w:val="32"/>
          <w:shd w:val="clear" w:color="auto" w:fill="FFFFFF"/>
        </w:rPr>
        <w:t>11</w:t>
      </w:r>
      <w:r>
        <w:rPr>
          <w:rFonts w:ascii="楷体_GB2312" w:eastAsia="楷体_GB2312" w:hAnsi="楷体_GB2312" w:cs="楷体_GB2312"/>
          <w:color w:val="333333"/>
          <w:sz w:val="32"/>
          <w:szCs w:val="32"/>
          <w:shd w:val="clear" w:color="auto" w:fill="FFFFFF"/>
        </w:rPr>
        <w:t>月</w:t>
      </w:r>
      <w:r>
        <w:rPr>
          <w:rFonts w:ascii="楷体_GB2312" w:eastAsia="楷体_GB2312" w:hAnsi="楷体_GB2312" w:cs="楷体_GB2312"/>
          <w:color w:val="333333"/>
          <w:sz w:val="32"/>
          <w:szCs w:val="32"/>
          <w:shd w:val="clear" w:color="auto" w:fill="FFFFFF"/>
        </w:rPr>
        <w:t>18</w:t>
      </w:r>
      <w:r>
        <w:rPr>
          <w:rFonts w:ascii="楷体_GB2312" w:eastAsia="楷体_GB2312" w:hAnsi="楷体_GB2312" w:cs="楷体_GB2312"/>
          <w:color w:val="333333"/>
          <w:sz w:val="32"/>
          <w:szCs w:val="32"/>
          <w:shd w:val="clear" w:color="auto" w:fill="FFFFFF"/>
        </w:rPr>
        <w:t>日起施行）</w:t>
      </w:r>
    </w:p>
    <w:p w14:paraId="5439CD34" w14:textId="77777777" w:rsidR="00A06053" w:rsidRDefault="00A06053">
      <w:pPr>
        <w:rPr>
          <w:rFonts w:ascii="宋体" w:eastAsia="宋体" w:hAnsi="宋体" w:cs="宋体"/>
          <w:color w:val="333333"/>
          <w:sz w:val="36"/>
          <w:szCs w:val="36"/>
          <w:shd w:val="clear" w:color="auto" w:fill="FFFFFF"/>
        </w:rPr>
      </w:pPr>
    </w:p>
    <w:p w14:paraId="488231BC" w14:textId="77777777" w:rsidR="00A06053" w:rsidRDefault="00D96E30">
      <w:pPr>
        <w:ind w:firstLineChars="200" w:firstLine="640"/>
        <w:jc w:val="left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bCs/>
          <w:color w:val="000000"/>
          <w:sz w:val="32"/>
          <w:szCs w:val="32"/>
        </w:rPr>
        <w:t>第一条</w:t>
      </w:r>
      <w:r>
        <w:rPr>
          <w:rFonts w:ascii="黑体" w:eastAsia="黑体" w:hAnsi="黑体" w:cs="黑体" w:hint="eastAsia"/>
          <w:bCs/>
          <w:color w:val="000000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b/>
          <w:color w:val="000000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  <w:u w:color="218FC4"/>
        </w:rPr>
        <w:t>为防范和打击操纵期货交易价格违法行为，依据《</w:t>
      </w:r>
      <w:hyperlink r:id="rId7" w:history="1">
        <w:r>
          <w:rPr>
            <w:rFonts w:ascii="仿宋_GB2312" w:eastAsia="仿宋_GB2312" w:hAnsi="仿宋_GB2312" w:cs="仿宋_GB2312" w:hint="eastAsia"/>
            <w:color w:val="000000"/>
            <w:sz w:val="32"/>
            <w:szCs w:val="32"/>
            <w:u w:color="218FC4"/>
          </w:rPr>
          <w:t>期货交易管理条例</w:t>
        </w:r>
      </w:hyperlink>
      <w:r>
        <w:rPr>
          <w:rFonts w:ascii="仿宋_GB2312" w:eastAsia="仿宋_GB2312" w:hAnsi="仿宋_GB2312" w:cs="仿宋_GB2312" w:hint="eastAsia"/>
          <w:color w:val="000000"/>
          <w:sz w:val="32"/>
          <w:szCs w:val="32"/>
          <w:u w:color="218FC4"/>
        </w:rPr>
        <w:t>》第</w:t>
      </w:r>
      <w:hyperlink r:id="rId8" w:anchor="46" w:history="1">
        <w:r>
          <w:rPr>
            <w:rFonts w:ascii="仿宋_GB2312" w:eastAsia="仿宋_GB2312" w:hAnsi="仿宋_GB2312" w:cs="仿宋_GB2312" w:hint="eastAsia"/>
            <w:color w:val="000000"/>
            <w:sz w:val="32"/>
            <w:szCs w:val="32"/>
            <w:u w:color="218FC4"/>
          </w:rPr>
          <w:t>四十六条</w:t>
        </w:r>
      </w:hyperlink>
      <w:r>
        <w:rPr>
          <w:rFonts w:ascii="仿宋_GB2312" w:eastAsia="仿宋_GB2312" w:hAnsi="仿宋_GB2312" w:cs="仿宋_GB2312" w:hint="eastAsia"/>
          <w:color w:val="000000"/>
          <w:sz w:val="32"/>
          <w:szCs w:val="32"/>
          <w:u w:color="218FC4"/>
        </w:rPr>
        <w:t>和第</w:t>
      </w:r>
      <w:hyperlink r:id="rId9" w:anchor="70" w:history="1">
        <w:r>
          <w:rPr>
            <w:rFonts w:ascii="仿宋_GB2312" w:eastAsia="仿宋_GB2312" w:hAnsi="仿宋_GB2312" w:cs="仿宋_GB2312" w:hint="eastAsia"/>
            <w:color w:val="000000"/>
            <w:sz w:val="32"/>
            <w:szCs w:val="32"/>
            <w:u w:color="218FC4"/>
          </w:rPr>
          <w:t>七十条</w:t>
        </w:r>
      </w:hyperlink>
      <w:r>
        <w:rPr>
          <w:rFonts w:ascii="仿宋_GB2312" w:eastAsia="仿宋_GB2312" w:hAnsi="仿宋_GB2312" w:cs="仿宋_GB2312" w:hint="eastAsia"/>
          <w:color w:val="000000"/>
          <w:sz w:val="32"/>
          <w:szCs w:val="32"/>
          <w:u w:color="218FC4"/>
        </w:rPr>
        <w:t>，制定本规定。</w:t>
      </w:r>
    </w:p>
    <w:p w14:paraId="45BADE13" w14:textId="77777777" w:rsidR="00A06053" w:rsidRDefault="00D96E30">
      <w:pPr>
        <w:ind w:firstLineChars="200" w:firstLine="640"/>
        <w:jc w:val="left"/>
        <w:rPr>
          <w:rFonts w:ascii="仿宋_GB2312" w:eastAsia="仿宋_GB2312" w:hAnsi="仿宋_GB2312" w:cs="仿宋_GB2312"/>
          <w:color w:val="000000"/>
          <w:sz w:val="32"/>
          <w:szCs w:val="32"/>
          <w:u w:color="218FC4"/>
        </w:rPr>
      </w:pPr>
      <w:r>
        <w:rPr>
          <w:rFonts w:ascii="黑体" w:eastAsia="黑体" w:hAnsi="黑体" w:cs="黑体" w:hint="eastAsia"/>
          <w:bCs/>
          <w:color w:val="000000"/>
          <w:sz w:val="32"/>
          <w:szCs w:val="32"/>
        </w:rPr>
        <w:t>第二条</w:t>
      </w:r>
      <w:r>
        <w:rPr>
          <w:rFonts w:ascii="仿宋_GB2312" w:eastAsia="仿宋_GB2312" w:hAnsi="仿宋_GB2312" w:cs="仿宋_GB2312" w:hint="eastAsia"/>
          <w:b/>
          <w:color w:val="000000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b/>
          <w:color w:val="000000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  <w:u w:color="218FC4"/>
        </w:rPr>
        <w:t>不以成交为目的，频繁申报、撤单或者大额申报、撤单，影响期货交易价格或者期货交易量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  <w:u w:color="218FC4"/>
        </w:rPr>
        <w:t>，并进行与申报方向相反的交易或者谋取相关利益的，构成操纵。</w:t>
      </w:r>
    </w:p>
    <w:p w14:paraId="2CE66482" w14:textId="77777777" w:rsidR="00A06053" w:rsidRDefault="00D96E30">
      <w:pPr>
        <w:ind w:firstLineChars="200" w:firstLine="640"/>
        <w:jc w:val="left"/>
        <w:rPr>
          <w:rFonts w:ascii="仿宋_GB2312" w:eastAsia="仿宋_GB2312" w:hAnsi="仿宋_GB2312" w:cs="仿宋_GB2312"/>
          <w:color w:val="000000"/>
          <w:sz w:val="32"/>
          <w:szCs w:val="32"/>
          <w:u w:color="218FC4"/>
        </w:rPr>
      </w:pPr>
      <w:r>
        <w:rPr>
          <w:rFonts w:ascii="黑体" w:eastAsia="黑体" w:hAnsi="黑体" w:cs="黑体" w:hint="eastAsia"/>
          <w:bCs/>
          <w:color w:val="000000"/>
          <w:sz w:val="32"/>
          <w:szCs w:val="32"/>
        </w:rPr>
        <w:t>第三条</w:t>
      </w:r>
      <w:r>
        <w:rPr>
          <w:rFonts w:ascii="仿宋_GB2312" w:eastAsia="仿宋_GB2312" w:hAnsi="仿宋_GB2312" w:cs="仿宋_GB2312" w:hint="eastAsia"/>
          <w:b/>
          <w:color w:val="000000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b/>
          <w:color w:val="000000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  <w:u w:color="218FC4"/>
        </w:rPr>
        <w:t>编造、传播虚假信息或者误导性信息，影响期货交易价格或者期货交易量，并进行相关交易或者谋取相关利益的，构成操纵。</w:t>
      </w:r>
    </w:p>
    <w:p w14:paraId="1DAA8E65" w14:textId="77777777" w:rsidR="00A06053" w:rsidRDefault="00D96E30">
      <w:pPr>
        <w:ind w:firstLineChars="200" w:firstLine="640"/>
        <w:jc w:val="left"/>
        <w:rPr>
          <w:rFonts w:ascii="仿宋_GB2312" w:eastAsia="仿宋_GB2312" w:hAnsi="仿宋_GB2312" w:cs="仿宋_GB2312"/>
          <w:color w:val="000000"/>
          <w:sz w:val="32"/>
          <w:szCs w:val="32"/>
          <w:u w:color="218FC4"/>
        </w:rPr>
      </w:pPr>
      <w:r>
        <w:rPr>
          <w:rFonts w:ascii="黑体" w:eastAsia="黑体" w:hAnsi="黑体" w:cs="黑体" w:hint="eastAsia"/>
          <w:bCs/>
          <w:color w:val="000000"/>
          <w:sz w:val="32"/>
          <w:szCs w:val="32"/>
        </w:rPr>
        <w:t>第四条</w:t>
      </w:r>
      <w:r>
        <w:rPr>
          <w:rFonts w:ascii="黑体" w:eastAsia="黑体" w:hAnsi="黑体" w:cs="黑体" w:hint="eastAsia"/>
          <w:bCs/>
          <w:color w:val="000000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b/>
          <w:color w:val="000000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  <w:u w:color="218FC4"/>
        </w:rPr>
        <w:t>对合约或合约标的物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  <w:u w:color="218FC4"/>
        </w:rPr>
        <w:t>作出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  <w:u w:color="218FC4"/>
        </w:rPr>
        <w:t>公开评价、预测或者投资建议，影响期货交易价格或者期货交易量，并进行与其评价、预测或者投资建议方向相反的期货交易的，构成操纵。</w:t>
      </w:r>
    </w:p>
    <w:p w14:paraId="332570E4" w14:textId="77777777" w:rsidR="00A06053" w:rsidRDefault="00D96E30">
      <w:pPr>
        <w:ind w:firstLineChars="200" w:firstLine="640"/>
        <w:jc w:val="left"/>
        <w:rPr>
          <w:rFonts w:ascii="仿宋_GB2312" w:eastAsia="仿宋_GB2312" w:hAnsi="仿宋_GB2312" w:cs="仿宋_GB2312"/>
          <w:color w:val="000000"/>
          <w:sz w:val="32"/>
          <w:szCs w:val="32"/>
          <w:u w:color="218FC4"/>
        </w:rPr>
      </w:pPr>
      <w:r>
        <w:rPr>
          <w:rFonts w:ascii="黑体" w:eastAsia="黑体" w:hAnsi="黑体" w:cs="黑体" w:hint="eastAsia"/>
          <w:bCs/>
          <w:color w:val="000000"/>
          <w:sz w:val="32"/>
          <w:szCs w:val="32"/>
        </w:rPr>
        <w:t>第五条</w:t>
      </w:r>
      <w:r>
        <w:rPr>
          <w:rFonts w:ascii="仿宋_GB2312" w:eastAsia="仿宋_GB2312" w:hAnsi="仿宋_GB2312" w:cs="仿宋_GB2312" w:hint="eastAsia"/>
          <w:b/>
          <w:color w:val="000000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b/>
          <w:color w:val="000000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  <w:u w:color="218FC4"/>
        </w:rPr>
        <w:t>在临近交割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  <w:u w:color="218FC4"/>
        </w:rPr>
        <w:t>月或者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  <w:u w:color="218FC4"/>
        </w:rPr>
        <w:t>交割月，利用不正当手段规避持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  <w:u w:color="218FC4"/>
        </w:rPr>
        <w:lastRenderedPageBreak/>
        <w:t>仓限制，形成持仓优势，影响期货交易价格的，构成操纵。</w:t>
      </w:r>
    </w:p>
    <w:p w14:paraId="3E689725" w14:textId="77777777" w:rsidR="00A06053" w:rsidRDefault="00D96E30">
      <w:pPr>
        <w:ind w:firstLineChars="200" w:firstLine="640"/>
        <w:jc w:val="left"/>
        <w:rPr>
          <w:rFonts w:ascii="仿宋_GB2312" w:eastAsia="仿宋_GB2312" w:hAnsi="仿宋_GB2312" w:cs="仿宋_GB2312"/>
          <w:color w:val="000000"/>
          <w:sz w:val="32"/>
          <w:szCs w:val="32"/>
          <w:u w:color="218FC4"/>
        </w:rPr>
      </w:pPr>
      <w:r>
        <w:rPr>
          <w:rFonts w:ascii="黑体" w:eastAsia="黑体" w:hAnsi="黑体" w:cs="黑体" w:hint="eastAsia"/>
          <w:bCs/>
          <w:color w:val="000000"/>
          <w:sz w:val="32"/>
          <w:szCs w:val="32"/>
        </w:rPr>
        <w:t>第六条</w:t>
      </w:r>
      <w:r>
        <w:rPr>
          <w:rFonts w:ascii="仿宋_GB2312" w:eastAsia="仿宋_GB2312" w:hAnsi="仿宋_GB2312" w:cs="仿宋_GB2312" w:hint="eastAsia"/>
          <w:b/>
          <w:color w:val="000000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b/>
          <w:color w:val="000000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  <w:u w:color="218FC4"/>
        </w:rPr>
        <w:t>任何单位或者个人不得以其他方式操纵期货交易价格。</w:t>
      </w:r>
    </w:p>
    <w:p w14:paraId="4D7B48BF" w14:textId="77777777" w:rsidR="00A06053" w:rsidRDefault="00D96E30">
      <w:pPr>
        <w:ind w:firstLineChars="200" w:firstLine="640"/>
        <w:jc w:val="left"/>
        <w:rPr>
          <w:rFonts w:ascii="仿宋_GB2312" w:eastAsia="仿宋_GB2312" w:hAnsi="仿宋_GB2312" w:cs="仿宋_GB2312"/>
          <w:color w:val="000000"/>
          <w:sz w:val="32"/>
          <w:szCs w:val="32"/>
          <w:u w:color="218FC4"/>
        </w:rPr>
      </w:pPr>
      <w:r>
        <w:rPr>
          <w:rFonts w:ascii="黑体" w:eastAsia="黑体" w:hAnsi="黑体" w:cs="黑体" w:hint="eastAsia"/>
          <w:bCs/>
          <w:color w:val="000000"/>
          <w:sz w:val="32"/>
          <w:szCs w:val="32"/>
        </w:rPr>
        <w:t>第七条</w:t>
      </w:r>
      <w:r>
        <w:rPr>
          <w:rFonts w:ascii="仿宋_GB2312" w:eastAsia="仿宋_GB2312" w:hAnsi="仿宋_GB2312" w:cs="仿宋_GB2312" w:hint="eastAsia"/>
          <w:b/>
          <w:color w:val="000000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b/>
          <w:color w:val="000000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  <w:u w:color="218FC4"/>
        </w:rPr>
        <w:t>任何单位或者个人有本规定行为的，依照《</w:t>
      </w:r>
      <w:hyperlink r:id="rId10" w:history="1">
        <w:r>
          <w:rPr>
            <w:rFonts w:ascii="仿宋_GB2312" w:eastAsia="仿宋_GB2312" w:hAnsi="仿宋_GB2312" w:cs="仿宋_GB2312" w:hint="eastAsia"/>
            <w:color w:val="000000"/>
            <w:sz w:val="32"/>
            <w:szCs w:val="32"/>
            <w:u w:color="218FC4"/>
          </w:rPr>
          <w:t>期货交易管理条例</w:t>
        </w:r>
      </w:hyperlink>
      <w:r>
        <w:rPr>
          <w:rFonts w:ascii="仿宋_GB2312" w:eastAsia="仿宋_GB2312" w:hAnsi="仿宋_GB2312" w:cs="仿宋_GB2312" w:hint="eastAsia"/>
          <w:color w:val="000000"/>
          <w:sz w:val="32"/>
          <w:szCs w:val="32"/>
          <w:u w:color="218FC4"/>
        </w:rPr>
        <w:t>》第</w:t>
      </w:r>
      <w:hyperlink r:id="rId11" w:anchor="70" w:history="1">
        <w:r>
          <w:rPr>
            <w:rFonts w:ascii="仿宋_GB2312" w:eastAsia="仿宋_GB2312" w:hAnsi="仿宋_GB2312" w:cs="仿宋_GB2312" w:hint="eastAsia"/>
            <w:color w:val="000000"/>
            <w:sz w:val="32"/>
            <w:szCs w:val="32"/>
            <w:u w:color="218FC4"/>
          </w:rPr>
          <w:t>七十条</w:t>
        </w:r>
      </w:hyperlink>
      <w:r>
        <w:rPr>
          <w:rFonts w:ascii="仿宋_GB2312" w:eastAsia="仿宋_GB2312" w:hAnsi="仿宋_GB2312" w:cs="仿宋_GB2312" w:hint="eastAsia"/>
          <w:color w:val="000000"/>
          <w:sz w:val="32"/>
          <w:szCs w:val="32"/>
          <w:u w:color="218FC4"/>
        </w:rPr>
        <w:t>的规定处理。</w:t>
      </w:r>
    </w:p>
    <w:p w14:paraId="0DA2AD38" w14:textId="77777777" w:rsidR="00A06053" w:rsidRDefault="00D96E30">
      <w:pPr>
        <w:ind w:firstLineChars="200" w:firstLine="640"/>
        <w:jc w:val="left"/>
        <w:rPr>
          <w:rFonts w:ascii="仿宋_GB2312" w:eastAsia="仿宋_GB2312" w:hAnsi="仿宋_GB2312" w:cs="仿宋_GB2312"/>
          <w:color w:val="000000"/>
          <w:sz w:val="32"/>
          <w:szCs w:val="32"/>
          <w:u w:color="218FC4"/>
        </w:rPr>
      </w:pPr>
      <w:r>
        <w:rPr>
          <w:rFonts w:ascii="黑体" w:eastAsia="黑体" w:hAnsi="黑体" w:cs="黑体" w:hint="eastAsia"/>
          <w:bCs/>
          <w:color w:val="000000"/>
          <w:sz w:val="32"/>
          <w:szCs w:val="32"/>
        </w:rPr>
        <w:t>第八条</w:t>
      </w:r>
      <w:r>
        <w:rPr>
          <w:rFonts w:ascii="仿宋_GB2312" w:eastAsia="仿宋_GB2312" w:hAnsi="仿宋_GB2312" w:cs="仿宋_GB2312" w:hint="eastAsia"/>
          <w:b/>
          <w:color w:val="000000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b/>
          <w:color w:val="000000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  <w:u w:color="218FC4"/>
        </w:rPr>
        <w:t>本规定自公布之日起施行。</w:t>
      </w:r>
    </w:p>
    <w:p w14:paraId="34DBEB0D" w14:textId="77777777" w:rsidR="00A06053" w:rsidRDefault="00A06053">
      <w:pPr>
        <w:ind w:firstLineChars="200" w:firstLine="640"/>
        <w:rPr>
          <w:rFonts w:ascii="仿宋_GB2312" w:eastAsia="仿宋_GB2312" w:hAnsi="仿宋_GB2312" w:cs="仿宋_GB2312"/>
          <w:color w:val="333333"/>
          <w:sz w:val="32"/>
          <w:szCs w:val="32"/>
          <w:shd w:val="clear" w:color="auto" w:fill="FFFFFF"/>
        </w:rPr>
      </w:pPr>
    </w:p>
    <w:sectPr w:rsidR="00A06053">
      <w:headerReference w:type="default" r:id="rId12"/>
      <w:footerReference w:type="default" r:id="rId13"/>
      <w:pgSz w:w="11906" w:h="16838"/>
      <w:pgMar w:top="1962" w:right="1474" w:bottom="1848" w:left="1587" w:header="851" w:footer="992" w:gutter="0"/>
      <w:pgNumType w:fmt="numberInDash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06824" w14:textId="77777777" w:rsidR="00D96E30" w:rsidRDefault="00D96E30">
      <w:r>
        <w:separator/>
      </w:r>
    </w:p>
  </w:endnote>
  <w:endnote w:type="continuationSeparator" w:id="0">
    <w:p w14:paraId="0C905A39" w14:textId="77777777" w:rsidR="00D96E30" w:rsidRDefault="00D96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0" w:usb1="00000000" w:usb2="00000012" w:usb3="00000000" w:csb0="00040001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B2C4A" w14:textId="77777777" w:rsidR="00A06053" w:rsidRDefault="00D96E30">
    <w:pPr>
      <w:pStyle w:val="a5"/>
      <w:ind w:leftChars="2280" w:left="4788" w:firstLineChars="2000" w:firstLine="6400"/>
      <w:rPr>
        <w:rFonts w:eastAsia="仿宋"/>
        <w:sz w:val="32"/>
        <w:szCs w:val="48"/>
      </w:rPr>
    </w:pPr>
    <w:r>
      <w:rPr>
        <w:noProof/>
        <w:sz w:val="32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B03272F" wp14:editId="530305F2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1E4B71" w14:textId="77777777" w:rsidR="00A06053" w:rsidRDefault="00D96E30">
                          <w:pPr>
                            <w:pStyle w:val="a4"/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03272F"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27" type="#_x0000_t202" style="position:absolute;left:0;text-align:left;margin-left:92.8pt;margin-top:0;width:2in;height:2in;z-index:251662336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7D1E4B71" w14:textId="77777777" w:rsidR="00A06053" w:rsidRDefault="00D96E30">
                    <w:pPr>
                      <w:pStyle w:val="a4"/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eastAsia="仿宋" w:hint="eastAsia"/>
        <w:sz w:val="32"/>
        <w:szCs w:val="48"/>
      </w:rPr>
      <w:t xml:space="preserve">  </w:t>
    </w:r>
  </w:p>
  <w:p w14:paraId="745EF2B7" w14:textId="77777777" w:rsidR="00A06053" w:rsidRDefault="00D96E30">
    <w:pPr>
      <w:pStyle w:val="a5"/>
      <w:wordWrap w:val="0"/>
      <w:ind w:leftChars="2280" w:left="4788" w:firstLineChars="2000" w:firstLine="6400"/>
      <w:jc w:val="right"/>
      <w:rPr>
        <w:rFonts w:ascii="宋体" w:eastAsia="宋体" w:hAnsi="宋体" w:cs="宋体"/>
        <w:b/>
        <w:bCs/>
        <w:color w:val="005192"/>
        <w:sz w:val="28"/>
        <w:szCs w:val="44"/>
      </w:rPr>
    </w:pPr>
    <w:r>
      <w:rPr>
        <w:noProof/>
        <w:color w:val="FAFAFA"/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60806E2" wp14:editId="6CFCCA24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3175" b="15875"/>
              <wp:wrapNone/>
              <wp:docPr id="5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93C6CC0" id="直接连接符 5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85pt" to="442.2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" strokecolor="#005192" strokeweight="1.75pt">
              <v:stroke joinstyle="miter"/>
            </v:line>
          </w:pict>
        </mc:Fallback>
      </mc:AlternateContent>
    </w:r>
    <w:r>
      <w:rPr>
        <w:rFonts w:eastAsia="仿宋" w:hint="eastAsia"/>
        <w:color w:val="FAFAFA"/>
        <w:sz w:val="32"/>
        <w:szCs w:val="48"/>
      </w:rPr>
      <w:t>X</w:t>
    </w:r>
    <w:r>
      <w:rPr>
        <w:rFonts w:ascii="宋体" w:eastAsia="宋体" w:hAnsi="宋体" w:cs="宋体" w:hint="eastAsia"/>
        <w:b/>
        <w:bCs/>
        <w:color w:val="005192"/>
        <w:sz w:val="28"/>
        <w:szCs w:val="44"/>
      </w:rPr>
      <w:t>证监会发布</w:t>
    </w:r>
    <w:r>
      <w:rPr>
        <w:rFonts w:ascii="宋体" w:eastAsia="宋体" w:hAnsi="宋体" w:cs="宋体" w:hint="eastAsia"/>
        <w:b/>
        <w:bCs/>
        <w:color w:val="005192"/>
        <w:sz w:val="28"/>
        <w:szCs w:val="44"/>
      </w:rPr>
      <w:t xml:space="preserve">     </w:t>
    </w:r>
  </w:p>
  <w:p w14:paraId="79923C88" w14:textId="77777777" w:rsidR="00A06053" w:rsidRDefault="00A06053">
    <w:pPr>
      <w:pStyle w:val="a5"/>
      <w:wordWrap w:val="0"/>
      <w:ind w:leftChars="2280" w:left="4788" w:firstLineChars="2000" w:firstLine="5622"/>
      <w:jc w:val="right"/>
      <w:rPr>
        <w:rFonts w:ascii="宋体" w:eastAsia="宋体" w:hAnsi="宋体" w:cs="宋体"/>
        <w:b/>
        <w:bCs/>
        <w:color w:val="005192"/>
        <w:sz w:val="28"/>
        <w:szCs w:val="4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E5D15" w14:textId="77777777" w:rsidR="00D96E30" w:rsidRDefault="00D96E30">
      <w:r>
        <w:separator/>
      </w:r>
    </w:p>
  </w:footnote>
  <w:footnote w:type="continuationSeparator" w:id="0">
    <w:p w14:paraId="34C5AC1A" w14:textId="77777777" w:rsidR="00D96E30" w:rsidRDefault="00D96E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CB0AF" w14:textId="77777777" w:rsidR="00A06053" w:rsidRDefault="00D96E30">
    <w:pPr>
      <w:pStyle w:val="a5"/>
      <w:textAlignment w:val="center"/>
      <w:rPr>
        <w:rFonts w:ascii="宋体" w:eastAsia="宋体" w:hAnsi="宋体" w:cs="宋体"/>
        <w:b/>
        <w:bCs/>
        <w:color w:val="005192"/>
        <w:sz w:val="32"/>
      </w:rPr>
    </w:pPr>
    <w:r>
      <w:rPr>
        <w:rFonts w:ascii="宋体" w:eastAsia="宋体" w:hAnsi="宋体" w:cs="宋体" w:hint="eastAsia"/>
        <w:b/>
        <w:bCs/>
        <w:noProof/>
        <w:color w:val="005192"/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8501FC" wp14:editId="42A9CAF5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0"/>
              <wp:effectExtent l="0" t="12700" r="18415" b="15875"/>
              <wp:wrapNone/>
              <wp:docPr id="4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133850" y="864870"/>
                        <a:ext cx="5620385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E329995" id="直接连接符 4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54.35pt" to="442.25pt,5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" strokecolor="#005192" strokeweight="1.75pt">
              <v:stroke joinstyle="miter"/>
            </v:line>
          </w:pict>
        </mc:Fallback>
      </mc:AlternateContent>
    </w:r>
  </w:p>
  <w:p w14:paraId="6372E51A" w14:textId="77777777" w:rsidR="00A06053" w:rsidRDefault="00D96E30">
    <w:pPr>
      <w:pStyle w:val="a5"/>
      <w:textAlignment w:val="center"/>
      <w:rPr>
        <w:rFonts w:ascii="宋体" w:eastAsia="宋体" w:hAnsi="宋体" w:cs="宋体"/>
        <w:b/>
        <w:bCs/>
        <w:color w:val="005192"/>
        <w:sz w:val="32"/>
        <w:szCs w:val="32"/>
      </w:rPr>
    </w:pPr>
    <w:r>
      <w:rPr>
        <w:rFonts w:ascii="宋体" w:eastAsia="宋体" w:hAnsi="宋体" w:cs="宋体" w:hint="eastAsia"/>
        <w:b/>
        <w:bCs/>
        <w:noProof/>
        <w:color w:val="005192"/>
        <w:sz w:val="32"/>
      </w:rPr>
      <w:drawing>
        <wp:inline distT="0" distB="0" distL="114300" distR="114300" wp14:anchorId="06DBEB81" wp14:editId="3DE666D1">
          <wp:extent cx="308610" cy="308610"/>
          <wp:effectExtent l="0" t="0" r="11430" b="11430"/>
          <wp:docPr id="6" name="图片 6" descr="国徽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国徽10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8610" cy="308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宋体" w:eastAsia="宋体" w:hAnsi="宋体" w:cs="宋体" w:hint="eastAsia"/>
        <w:b/>
        <w:bCs/>
        <w:color w:val="005192"/>
        <w:sz w:val="32"/>
      </w:rPr>
      <w:t>证监会</w:t>
    </w:r>
    <w:r>
      <w:rPr>
        <w:rFonts w:ascii="宋体" w:eastAsia="宋体" w:hAnsi="宋体" w:cs="宋体" w:hint="eastAsia"/>
        <w:b/>
        <w:bCs/>
        <w:color w:val="005192"/>
        <w:sz w:val="32"/>
        <w:szCs w:val="32"/>
      </w:rPr>
      <w:t>规章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DDCD6867"/>
    <w:rsid w:val="00172A27"/>
    <w:rsid w:val="00A06053"/>
    <w:rsid w:val="00D96E30"/>
    <w:rsid w:val="00FE12EE"/>
    <w:rsid w:val="019E71BD"/>
    <w:rsid w:val="04B679C3"/>
    <w:rsid w:val="076F68A8"/>
    <w:rsid w:val="080F63D8"/>
    <w:rsid w:val="09341458"/>
    <w:rsid w:val="0B0912D7"/>
    <w:rsid w:val="152D2DCA"/>
    <w:rsid w:val="1DEC284C"/>
    <w:rsid w:val="1E6523AC"/>
    <w:rsid w:val="22440422"/>
    <w:rsid w:val="31A15F24"/>
    <w:rsid w:val="395347B5"/>
    <w:rsid w:val="39A232A0"/>
    <w:rsid w:val="39E745AA"/>
    <w:rsid w:val="3B5A6BBB"/>
    <w:rsid w:val="3EDA13A6"/>
    <w:rsid w:val="42F058B7"/>
    <w:rsid w:val="436109F6"/>
    <w:rsid w:val="441A38D4"/>
    <w:rsid w:val="4BC77339"/>
    <w:rsid w:val="4C9236C5"/>
    <w:rsid w:val="505C172E"/>
    <w:rsid w:val="52F46F0B"/>
    <w:rsid w:val="53D8014D"/>
    <w:rsid w:val="55E064E0"/>
    <w:rsid w:val="572C6D10"/>
    <w:rsid w:val="58C14A7E"/>
    <w:rsid w:val="5DC34279"/>
    <w:rsid w:val="608816D1"/>
    <w:rsid w:val="60EF4E7F"/>
    <w:rsid w:val="665233C1"/>
    <w:rsid w:val="6AD9688B"/>
    <w:rsid w:val="6D0E3F22"/>
    <w:rsid w:val="7C9011D9"/>
    <w:rsid w:val="7DC651C5"/>
    <w:rsid w:val="7FCC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757724D"/>
  <w15:docId w15:val="{81B76566-8A8A-447C-A32C-45C932572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aw.pkulaw.com/bugui/293183.htm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law.pkulaw.com/bugui/293183.htm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law.pkulaw.com/bugui/293183.htm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law.pkulaw.com/bugui/293183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aw.pkulaw.com/bugui/293183.htm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</dc:creator>
  <cp:lastModifiedBy>SS SS</cp:lastModifiedBy>
  <cp:revision>2</cp:revision>
  <cp:lastPrinted>2021-10-26T11:30:00Z</cp:lastPrinted>
  <dcterms:created xsi:type="dcterms:W3CDTF">2021-12-16T07:13:00Z</dcterms:created>
  <dcterms:modified xsi:type="dcterms:W3CDTF">2021-12-16T07:13:00Z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  <property fmtid="{D5CDD505-2E9C-101B-9397-08002B2CF9AE}" pid="3" name="ICV">
    <vt:lpwstr>48C61CB29D3F4D9384F5922CF0F7FFB4</vt:lpwstr>
  </property>
</Properties>
</file>