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23A714" w14:textId="77777777" w:rsidR="00D61260" w:rsidRDefault="007021BF">
      <w:pPr>
        <w:jc w:val="center"/>
        <w:rPr>
          <w:rFonts w:asciiTheme="minorEastAsia" w:hAnsiTheme="minorEastAsia" w:cstheme="minorEastAsia"/>
          <w:sz w:val="44"/>
          <w:szCs w:val="44"/>
        </w:rPr>
      </w:pPr>
      <w:r>
        <w:rPr>
          <w:noProof/>
          <w:sz w:val="44"/>
        </w:rPr>
        <mc:AlternateContent>
          <mc:Choice Requires="wps">
            <w:drawing>
              <wp:anchor distT="0" distB="0" distL="114300" distR="114300" simplePos="0" relativeHeight="251659264" behindDoc="0" locked="0" layoutInCell="1" allowOverlap="1" wp14:anchorId="0C5E985A" wp14:editId="24075E95">
                <wp:simplePos x="0" y="0"/>
                <wp:positionH relativeFrom="column">
                  <wp:posOffset>-422275</wp:posOffset>
                </wp:positionH>
                <wp:positionV relativeFrom="paragraph">
                  <wp:posOffset>-1139825</wp:posOffset>
                </wp:positionV>
                <wp:extent cx="1161415" cy="493395"/>
                <wp:effectExtent l="0" t="0" r="635" b="1905"/>
                <wp:wrapNone/>
                <wp:docPr id="1" name="文本框 1"/>
                <wp:cNvGraphicFramePr/>
                <a:graphic xmlns:a="http://schemas.openxmlformats.org/drawingml/2006/main">
                  <a:graphicData uri="http://schemas.microsoft.com/office/word/2010/wordprocessingShape">
                    <wps:wsp>
                      <wps:cNvSpPr txBox="1"/>
                      <wps:spPr>
                        <a:xfrm>
                          <a:off x="117475" y="97155"/>
                          <a:ext cx="1161415" cy="493395"/>
                        </a:xfrm>
                        <a:prstGeom prst="rect">
                          <a:avLst/>
                        </a:prstGeom>
                        <a:solidFill>
                          <a:schemeClr val="lt1"/>
                        </a:solidFill>
                        <a:ln w="12700">
                          <a:noFill/>
                        </a:ln>
                      </wps:spPr>
                      <wps:style>
                        <a:lnRef idx="0">
                          <a:schemeClr val="accent1"/>
                        </a:lnRef>
                        <a:fillRef idx="0">
                          <a:schemeClr val="accent1"/>
                        </a:fillRef>
                        <a:effectRef idx="0">
                          <a:schemeClr val="accent1"/>
                        </a:effectRef>
                        <a:fontRef idx="minor">
                          <a:schemeClr val="dk1"/>
                        </a:fontRef>
                      </wps:style>
                      <wps:txbx>
                        <w:txbxContent>
                          <w:p w14:paraId="63DCBF28" w14:textId="77777777" w:rsidR="00D61260" w:rsidRDefault="00D61260">
                            <w:pPr>
                              <w:jc w:val="center"/>
                              <w:rPr>
                                <w:rFonts w:ascii="方正小标宋简体" w:eastAsia="方正小标宋简体" w:hAnsi="方正小标宋简体" w:cs="方正小标宋简体"/>
                                <w:color w:val="000000" w:themeColor="text1"/>
                                <w:sz w:val="28"/>
                                <w:szCs w:val="28"/>
                                <w14:textOutline w14:w="0" w14:cap="flat" w14:cmpd="dbl" w14:algn="ctr">
                                  <w14:solidFill>
                                    <w14:schemeClr w14:val="tx1"/>
                                  </w14:solid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0C5E985A" id="_x0000_t202" coordsize="21600,21600" o:spt="202" path="m,l,21600r21600,l21600,xe">
                <v:stroke joinstyle="miter"/>
                <v:path gradientshapeok="t" o:connecttype="rect"/>
              </v:shapetype>
              <v:shape id="文本框 1" o:spid="_x0000_s1026" type="#_x0000_t202" style="position:absolute;left:0;text-align:left;margin-left:-33.25pt;margin-top:-89.75pt;width:91.45pt;height:38.8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" fillcolor="white [3201]" stroked="f" strokeweight="1pt">
                <v:textbox>
                  <w:txbxContent>
                    <w:p w14:paraId="63DCBF28" w14:textId="77777777" w:rsidR="00D61260" w:rsidRDefault="00D61260">
                      <w:pPr>
                        <w:jc w:val="center"/>
                        <w:rPr>
                          <w:rFonts w:ascii="方正小标宋简体" w:eastAsia="方正小标宋简体" w:hAnsi="方正小标宋简体" w:cs="方正小标宋简体"/>
                          <w:color w:val="000000" w:themeColor="text1"/>
                          <w:sz w:val="28"/>
                          <w:szCs w:val="28"/>
                          <w14:textOutline w14:w="0" w14:cap="flat" w14:cmpd="dbl" w14:algn="ctr">
                            <w14:solidFill>
                              <w14:schemeClr w14:val="tx1"/>
                            </w14:solidFill>
                            <w14:prstDash w14:val="solid"/>
                            <w14:round/>
                          </w14:textOutline>
                        </w:rPr>
                      </w:pPr>
                    </w:p>
                  </w:txbxContent>
                </v:textbox>
              </v:shape>
            </w:pict>
          </mc:Fallback>
        </mc:AlternateContent>
      </w:r>
    </w:p>
    <w:p w14:paraId="61CD8FF1" w14:textId="77777777" w:rsidR="00D61260" w:rsidRDefault="00D61260">
      <w:pPr>
        <w:rPr>
          <w:rFonts w:asciiTheme="minorEastAsia" w:hAnsiTheme="minorEastAsia" w:cstheme="minorEastAsia"/>
          <w:sz w:val="44"/>
          <w:szCs w:val="44"/>
        </w:rPr>
      </w:pPr>
    </w:p>
    <w:p w14:paraId="2617FD0D" w14:textId="77777777" w:rsidR="00D61260" w:rsidRDefault="007021BF">
      <w:pPr>
        <w:jc w:val="center"/>
        <w:rPr>
          <w:rFonts w:asciiTheme="minorEastAsia" w:hAnsiTheme="minorEastAsia" w:cstheme="minorEastAsia"/>
          <w:sz w:val="44"/>
          <w:szCs w:val="44"/>
        </w:rPr>
      </w:pPr>
      <w:r>
        <w:rPr>
          <w:rFonts w:asciiTheme="minorEastAsia" w:hAnsiTheme="minorEastAsia" w:cstheme="minorEastAsia" w:hint="eastAsia"/>
          <w:sz w:val="44"/>
          <w:szCs w:val="44"/>
        </w:rPr>
        <w:t>证券公司融资融券业务管理办法</w:t>
      </w:r>
    </w:p>
    <w:p w14:paraId="01538FCD" w14:textId="77777777" w:rsidR="00D61260" w:rsidRDefault="007021BF">
      <w:pPr>
        <w:ind w:firstLineChars="200" w:firstLine="640"/>
        <w:rPr>
          <w:rFonts w:ascii="楷体_GB2312" w:eastAsia="楷体_GB2312" w:hAnsi="楷体_GB2312" w:cs="楷体_GB2312"/>
          <w:color w:val="333333"/>
          <w:sz w:val="32"/>
          <w:szCs w:val="32"/>
          <w:shd w:val="clear" w:color="auto" w:fill="FFFFFF"/>
        </w:rPr>
      </w:pPr>
      <w:r>
        <w:rPr>
          <w:rFonts w:ascii="楷体_GB2312" w:eastAsia="楷体_GB2312" w:hAnsi="楷体_GB2312" w:cs="楷体_GB2312"/>
          <w:color w:val="333333"/>
          <w:sz w:val="32"/>
          <w:szCs w:val="32"/>
          <w:shd w:val="clear" w:color="auto" w:fill="FFFFFF"/>
        </w:rPr>
        <w:t>（</w:t>
      </w:r>
      <w:r>
        <w:rPr>
          <w:rFonts w:ascii="楷体_GB2312" w:eastAsia="楷体_GB2312" w:hAnsi="楷体_GB2312" w:cs="楷体_GB2312"/>
          <w:color w:val="333333"/>
          <w:sz w:val="32"/>
          <w:szCs w:val="32"/>
          <w:shd w:val="clear" w:color="auto" w:fill="FFFFFF"/>
        </w:rPr>
        <w:t>2015</w:t>
      </w:r>
      <w:r>
        <w:rPr>
          <w:rFonts w:ascii="楷体_GB2312" w:eastAsia="楷体_GB2312" w:hAnsi="楷体_GB2312" w:cs="楷体_GB2312"/>
          <w:color w:val="333333"/>
          <w:sz w:val="32"/>
          <w:szCs w:val="32"/>
          <w:shd w:val="clear" w:color="auto" w:fill="FFFFFF"/>
        </w:rPr>
        <w:t>年</w:t>
      </w:r>
      <w:r>
        <w:rPr>
          <w:rFonts w:ascii="楷体_GB2312" w:eastAsia="楷体_GB2312" w:hAnsi="楷体_GB2312" w:cs="楷体_GB2312"/>
          <w:color w:val="333333"/>
          <w:sz w:val="32"/>
          <w:szCs w:val="32"/>
          <w:shd w:val="clear" w:color="auto" w:fill="FFFFFF"/>
        </w:rPr>
        <w:t>7</w:t>
      </w:r>
      <w:r>
        <w:rPr>
          <w:rFonts w:ascii="楷体_GB2312" w:eastAsia="楷体_GB2312" w:hAnsi="楷体_GB2312" w:cs="楷体_GB2312"/>
          <w:color w:val="333333"/>
          <w:sz w:val="32"/>
          <w:szCs w:val="32"/>
          <w:shd w:val="clear" w:color="auto" w:fill="FFFFFF"/>
        </w:rPr>
        <w:t>月</w:t>
      </w:r>
      <w:r>
        <w:rPr>
          <w:rFonts w:ascii="楷体_GB2312" w:eastAsia="楷体_GB2312" w:hAnsi="楷体_GB2312" w:cs="楷体_GB2312"/>
          <w:color w:val="333333"/>
          <w:sz w:val="32"/>
          <w:szCs w:val="32"/>
          <w:shd w:val="clear" w:color="auto" w:fill="FFFFFF"/>
        </w:rPr>
        <w:t>1</w:t>
      </w:r>
      <w:r>
        <w:rPr>
          <w:rFonts w:ascii="楷体_GB2312" w:eastAsia="楷体_GB2312" w:hAnsi="楷体_GB2312" w:cs="楷体_GB2312"/>
          <w:color w:val="333333"/>
          <w:sz w:val="32"/>
          <w:szCs w:val="32"/>
          <w:shd w:val="clear" w:color="auto" w:fill="FFFFFF"/>
        </w:rPr>
        <w:t>日证监会令第</w:t>
      </w:r>
      <w:r>
        <w:rPr>
          <w:rFonts w:ascii="楷体_GB2312" w:eastAsia="楷体_GB2312" w:hAnsi="楷体_GB2312" w:cs="楷体_GB2312"/>
          <w:color w:val="333333"/>
          <w:sz w:val="32"/>
          <w:szCs w:val="32"/>
          <w:shd w:val="clear" w:color="auto" w:fill="FFFFFF"/>
        </w:rPr>
        <w:t>117</w:t>
      </w:r>
      <w:r>
        <w:rPr>
          <w:rFonts w:ascii="楷体_GB2312" w:eastAsia="楷体_GB2312" w:hAnsi="楷体_GB2312" w:cs="楷体_GB2312"/>
          <w:color w:val="333333"/>
          <w:sz w:val="32"/>
          <w:szCs w:val="32"/>
          <w:shd w:val="clear" w:color="auto" w:fill="FFFFFF"/>
        </w:rPr>
        <w:t>号公布</w:t>
      </w:r>
      <w:r>
        <w:rPr>
          <w:rFonts w:ascii="楷体_GB2312" w:eastAsia="楷体_GB2312" w:hAnsi="楷体_GB2312" w:cs="楷体_GB2312"/>
          <w:color w:val="333333"/>
          <w:sz w:val="32"/>
          <w:szCs w:val="32"/>
          <w:shd w:val="clear" w:color="auto" w:fill="FFFFFF"/>
        </w:rPr>
        <w:t xml:space="preserve"> </w:t>
      </w:r>
      <w:r>
        <w:rPr>
          <w:rFonts w:ascii="楷体_GB2312" w:eastAsia="楷体_GB2312" w:hAnsi="楷体_GB2312" w:cs="楷体_GB2312" w:hint="eastAsia"/>
          <w:color w:val="333333"/>
          <w:sz w:val="32"/>
          <w:szCs w:val="32"/>
          <w:shd w:val="clear" w:color="auto" w:fill="FFFFFF"/>
        </w:rPr>
        <w:t xml:space="preserve"> </w:t>
      </w:r>
      <w:r>
        <w:rPr>
          <w:rFonts w:ascii="楷体_GB2312" w:eastAsia="楷体_GB2312" w:hAnsi="楷体_GB2312" w:cs="楷体_GB2312"/>
          <w:color w:val="333333"/>
          <w:sz w:val="32"/>
          <w:szCs w:val="32"/>
          <w:shd w:val="clear" w:color="auto" w:fill="FFFFFF"/>
        </w:rPr>
        <w:t>自</w:t>
      </w:r>
      <w:r>
        <w:rPr>
          <w:rFonts w:ascii="楷体_GB2312" w:eastAsia="楷体_GB2312" w:hAnsi="楷体_GB2312" w:cs="楷体_GB2312"/>
          <w:color w:val="333333"/>
          <w:sz w:val="32"/>
          <w:szCs w:val="32"/>
          <w:shd w:val="clear" w:color="auto" w:fill="FFFFFF"/>
        </w:rPr>
        <w:t>2015</w:t>
      </w:r>
      <w:r>
        <w:rPr>
          <w:rFonts w:ascii="楷体_GB2312" w:eastAsia="楷体_GB2312" w:hAnsi="楷体_GB2312" w:cs="楷体_GB2312"/>
          <w:color w:val="333333"/>
          <w:sz w:val="32"/>
          <w:szCs w:val="32"/>
          <w:shd w:val="clear" w:color="auto" w:fill="FFFFFF"/>
        </w:rPr>
        <w:t>年</w:t>
      </w:r>
      <w:r>
        <w:rPr>
          <w:rFonts w:ascii="楷体_GB2312" w:eastAsia="楷体_GB2312" w:hAnsi="楷体_GB2312" w:cs="楷体_GB2312"/>
          <w:color w:val="333333"/>
          <w:sz w:val="32"/>
          <w:szCs w:val="32"/>
          <w:shd w:val="clear" w:color="auto" w:fill="FFFFFF"/>
        </w:rPr>
        <w:t>7</w:t>
      </w:r>
      <w:r>
        <w:rPr>
          <w:rFonts w:ascii="楷体_GB2312" w:eastAsia="楷体_GB2312" w:hAnsi="楷体_GB2312" w:cs="楷体_GB2312"/>
          <w:color w:val="333333"/>
          <w:sz w:val="32"/>
          <w:szCs w:val="32"/>
          <w:shd w:val="clear" w:color="auto" w:fill="FFFFFF"/>
        </w:rPr>
        <w:t>月</w:t>
      </w:r>
      <w:r>
        <w:rPr>
          <w:rFonts w:ascii="楷体_GB2312" w:eastAsia="楷体_GB2312" w:hAnsi="楷体_GB2312" w:cs="楷体_GB2312"/>
          <w:color w:val="333333"/>
          <w:sz w:val="32"/>
          <w:szCs w:val="32"/>
          <w:shd w:val="clear" w:color="auto" w:fill="FFFFFF"/>
        </w:rPr>
        <w:t>1</w:t>
      </w:r>
      <w:r>
        <w:rPr>
          <w:rFonts w:ascii="楷体_GB2312" w:eastAsia="楷体_GB2312" w:hAnsi="楷体_GB2312" w:cs="楷体_GB2312"/>
          <w:color w:val="333333"/>
          <w:sz w:val="32"/>
          <w:szCs w:val="32"/>
          <w:shd w:val="clear" w:color="auto" w:fill="FFFFFF"/>
        </w:rPr>
        <w:t>日起施行）</w:t>
      </w:r>
    </w:p>
    <w:p w14:paraId="7DC06829" w14:textId="77777777" w:rsidR="00D61260" w:rsidRDefault="00D61260">
      <w:pPr>
        <w:rPr>
          <w:rFonts w:ascii="宋体" w:eastAsia="宋体" w:hAnsi="宋体" w:cs="宋体"/>
          <w:color w:val="333333"/>
          <w:sz w:val="36"/>
          <w:szCs w:val="36"/>
          <w:shd w:val="clear" w:color="auto" w:fill="FFFFFF"/>
        </w:rPr>
      </w:pPr>
    </w:p>
    <w:p w14:paraId="5968F20B" w14:textId="77777777" w:rsidR="00D61260" w:rsidRDefault="007021BF">
      <w:pPr>
        <w:jc w:val="center"/>
        <w:rPr>
          <w:rStyle w:val="a7"/>
          <w:rFonts w:ascii="黑体" w:eastAsia="黑体" w:hAnsi="黑体" w:cs="黑体"/>
          <w:b w:val="0"/>
          <w:color w:val="000000"/>
          <w:sz w:val="32"/>
          <w:szCs w:val="32"/>
        </w:rPr>
      </w:pPr>
      <w:r>
        <w:rPr>
          <w:rStyle w:val="a7"/>
          <w:rFonts w:ascii="黑体" w:eastAsia="黑体" w:hAnsi="黑体" w:cs="黑体" w:hint="eastAsia"/>
          <w:b w:val="0"/>
          <w:color w:val="000000"/>
          <w:sz w:val="32"/>
          <w:szCs w:val="32"/>
        </w:rPr>
        <w:t>第一章</w:t>
      </w:r>
      <w:r>
        <w:rPr>
          <w:rStyle w:val="a7"/>
          <w:rFonts w:ascii="黑体" w:eastAsia="黑体" w:hAnsi="黑体" w:cs="黑体" w:hint="eastAsia"/>
          <w:b w:val="0"/>
          <w:color w:val="000000"/>
          <w:sz w:val="32"/>
          <w:szCs w:val="32"/>
        </w:rPr>
        <w:t xml:space="preserve"> </w:t>
      </w:r>
      <w:r>
        <w:rPr>
          <w:rStyle w:val="a7"/>
          <w:rFonts w:ascii="黑体" w:eastAsia="黑体" w:hAnsi="黑体" w:cs="黑体" w:hint="eastAsia"/>
          <w:b w:val="0"/>
          <w:color w:val="000000"/>
          <w:sz w:val="32"/>
          <w:szCs w:val="32"/>
        </w:rPr>
        <w:t>总</w:t>
      </w:r>
      <w:r>
        <w:rPr>
          <w:rStyle w:val="a7"/>
          <w:rFonts w:ascii="黑体" w:eastAsia="黑体" w:hAnsi="黑体" w:cs="黑体" w:hint="eastAsia"/>
          <w:b w:val="0"/>
          <w:color w:val="000000"/>
          <w:sz w:val="32"/>
          <w:szCs w:val="32"/>
        </w:rPr>
        <w:t xml:space="preserve">  </w:t>
      </w:r>
      <w:r>
        <w:rPr>
          <w:rStyle w:val="a7"/>
          <w:rFonts w:ascii="黑体" w:eastAsia="黑体" w:hAnsi="黑体" w:cs="黑体" w:hint="eastAsia"/>
          <w:b w:val="0"/>
          <w:color w:val="000000"/>
          <w:sz w:val="32"/>
          <w:szCs w:val="32"/>
        </w:rPr>
        <w:t>则</w:t>
      </w:r>
    </w:p>
    <w:p w14:paraId="2A1A6CD5" w14:textId="77777777" w:rsidR="00D61260" w:rsidRDefault="00D61260">
      <w:pPr>
        <w:jc w:val="center"/>
        <w:rPr>
          <w:rStyle w:val="a7"/>
          <w:rFonts w:ascii="仿宋_GB2312" w:eastAsia="仿宋_GB2312" w:hAnsi="仿宋_GB2312" w:cs="仿宋_GB2312"/>
          <w:b w:val="0"/>
          <w:color w:val="000000"/>
          <w:sz w:val="32"/>
          <w:szCs w:val="32"/>
        </w:rPr>
      </w:pPr>
    </w:p>
    <w:p w14:paraId="52CE033D" w14:textId="77777777" w:rsidR="00D61260" w:rsidRDefault="007021BF">
      <w:pPr>
        <w:tabs>
          <w:tab w:val="left" w:pos="1980"/>
        </w:tabs>
        <w:ind w:firstLineChars="200" w:firstLine="640"/>
        <w:rPr>
          <w:rFonts w:ascii="仿宋_GB2312" w:eastAsia="仿宋_GB2312" w:hAnsi="仿宋_GB2312" w:cs="仿宋_GB2312"/>
          <w:sz w:val="32"/>
          <w:szCs w:val="32"/>
        </w:rPr>
      </w:pPr>
      <w:r>
        <w:rPr>
          <w:rStyle w:val="a7"/>
          <w:rFonts w:ascii="黑体" w:eastAsia="黑体" w:hAnsi="黑体" w:cs="黑体" w:hint="eastAsia"/>
          <w:b w:val="0"/>
          <w:color w:val="000000"/>
          <w:sz w:val="32"/>
          <w:szCs w:val="32"/>
        </w:rPr>
        <w:t>第一条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为了规范证券公司融资融券业务活动，</w:t>
      </w:r>
      <w:r>
        <w:rPr>
          <w:rFonts w:ascii="仿宋_GB2312" w:eastAsia="仿宋_GB2312" w:hAnsi="仿宋_GB2312" w:cs="仿宋_GB2312" w:hint="eastAsia"/>
          <w:sz w:val="32"/>
          <w:szCs w:val="32"/>
        </w:rPr>
        <w:t>完善</w:t>
      </w:r>
      <w:r>
        <w:rPr>
          <w:rFonts w:ascii="仿宋_GB2312" w:eastAsia="仿宋_GB2312" w:hAnsi="仿宋_GB2312" w:cs="仿宋_GB2312" w:hint="eastAsia"/>
          <w:sz w:val="32"/>
          <w:szCs w:val="32"/>
        </w:rPr>
        <w:t>证券交易机制</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防范证券公司的风险，保护证券投资者的合法权益和社会公共利益，</w:t>
      </w:r>
      <w:r>
        <w:rPr>
          <w:rFonts w:ascii="仿宋_GB2312" w:eastAsia="仿宋_GB2312" w:hAnsi="仿宋_GB2312" w:cs="仿宋_GB2312" w:hint="eastAsia"/>
          <w:sz w:val="32"/>
          <w:szCs w:val="32"/>
        </w:rPr>
        <w:t>促进</w:t>
      </w:r>
      <w:r>
        <w:rPr>
          <w:rFonts w:ascii="仿宋_GB2312" w:eastAsia="仿宋_GB2312" w:hAnsi="仿宋_GB2312" w:cs="仿宋_GB2312" w:hint="eastAsia"/>
          <w:sz w:val="32"/>
          <w:szCs w:val="32"/>
        </w:rPr>
        <w:t>证券市场平稳健康发展，制定本</w:t>
      </w:r>
      <w:r>
        <w:rPr>
          <w:rFonts w:ascii="仿宋_GB2312" w:eastAsia="仿宋_GB2312" w:hAnsi="仿宋_GB2312" w:cs="仿宋_GB2312" w:hint="eastAsia"/>
          <w:sz w:val="32"/>
          <w:szCs w:val="32"/>
        </w:rPr>
        <w:t>办法</w:t>
      </w:r>
      <w:r>
        <w:rPr>
          <w:rFonts w:ascii="仿宋_GB2312" w:eastAsia="仿宋_GB2312" w:hAnsi="仿宋_GB2312" w:cs="仿宋_GB2312" w:hint="eastAsia"/>
          <w:sz w:val="32"/>
          <w:szCs w:val="32"/>
        </w:rPr>
        <w:t>。</w:t>
      </w:r>
    </w:p>
    <w:p w14:paraId="445F2F86" w14:textId="77777777" w:rsidR="00D61260" w:rsidRDefault="007021BF">
      <w:pPr>
        <w:tabs>
          <w:tab w:val="left" w:pos="1980"/>
        </w:tabs>
        <w:ind w:firstLineChars="200" w:firstLine="640"/>
        <w:rPr>
          <w:rFonts w:ascii="仿宋_GB2312" w:eastAsia="仿宋_GB2312" w:hAnsi="仿宋_GB2312" w:cs="仿宋_GB2312"/>
          <w:sz w:val="32"/>
          <w:szCs w:val="32"/>
        </w:rPr>
      </w:pPr>
      <w:r>
        <w:rPr>
          <w:rStyle w:val="a7"/>
          <w:rFonts w:ascii="黑体" w:eastAsia="黑体" w:hAnsi="黑体" w:cs="黑体" w:hint="eastAsia"/>
          <w:b w:val="0"/>
          <w:color w:val="000000"/>
          <w:sz w:val="32"/>
          <w:szCs w:val="32"/>
        </w:rPr>
        <w:t>第二条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证券公司开展融资融券业务，应当遵守法律、行政法规和本</w:t>
      </w:r>
      <w:r>
        <w:rPr>
          <w:rFonts w:ascii="仿宋_GB2312" w:eastAsia="仿宋_GB2312" w:hAnsi="仿宋_GB2312" w:cs="仿宋_GB2312" w:hint="eastAsia"/>
          <w:sz w:val="32"/>
          <w:szCs w:val="32"/>
        </w:rPr>
        <w:t>办法</w:t>
      </w:r>
      <w:r>
        <w:rPr>
          <w:rFonts w:ascii="仿宋_GB2312" w:eastAsia="仿宋_GB2312" w:hAnsi="仿宋_GB2312" w:cs="仿宋_GB2312" w:hint="eastAsia"/>
          <w:sz w:val="32"/>
          <w:szCs w:val="32"/>
        </w:rPr>
        <w:t>的</w:t>
      </w:r>
      <w:r>
        <w:rPr>
          <w:rFonts w:ascii="仿宋_GB2312" w:eastAsia="仿宋_GB2312" w:hAnsi="仿宋_GB2312" w:cs="仿宋_GB2312" w:hint="eastAsia"/>
          <w:sz w:val="32"/>
          <w:szCs w:val="32"/>
        </w:rPr>
        <w:t>规定</w:t>
      </w:r>
      <w:r>
        <w:rPr>
          <w:rFonts w:ascii="仿宋_GB2312" w:eastAsia="仿宋_GB2312" w:hAnsi="仿宋_GB2312" w:cs="仿宋_GB2312" w:hint="eastAsia"/>
          <w:sz w:val="32"/>
          <w:szCs w:val="32"/>
        </w:rPr>
        <w:t>，加强内部控制，严格防范和控制风险，切实维护客户</w:t>
      </w:r>
      <w:r>
        <w:rPr>
          <w:rFonts w:ascii="仿宋_GB2312" w:eastAsia="仿宋_GB2312" w:hAnsi="仿宋_GB2312" w:cs="仿宋_GB2312" w:hint="eastAsia"/>
          <w:sz w:val="32"/>
          <w:szCs w:val="32"/>
        </w:rPr>
        <w:t>合法权益</w:t>
      </w:r>
      <w:r>
        <w:rPr>
          <w:rFonts w:ascii="仿宋_GB2312" w:eastAsia="仿宋_GB2312" w:hAnsi="仿宋_GB2312" w:cs="仿宋_GB2312" w:hint="eastAsia"/>
          <w:sz w:val="32"/>
          <w:szCs w:val="32"/>
        </w:rPr>
        <w:t>。</w:t>
      </w:r>
    </w:p>
    <w:p w14:paraId="12AF04E5" w14:textId="77777777" w:rsidR="00D61260" w:rsidRDefault="007021BF">
      <w:pPr>
        <w:tabs>
          <w:tab w:val="left" w:pos="19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本</w:t>
      </w:r>
      <w:r>
        <w:rPr>
          <w:rFonts w:ascii="仿宋_GB2312" w:eastAsia="仿宋_GB2312" w:hAnsi="仿宋_GB2312" w:cs="仿宋_GB2312" w:hint="eastAsia"/>
          <w:sz w:val="32"/>
          <w:szCs w:val="32"/>
        </w:rPr>
        <w:t>办法</w:t>
      </w:r>
      <w:r>
        <w:rPr>
          <w:rFonts w:ascii="仿宋_GB2312" w:eastAsia="仿宋_GB2312" w:hAnsi="仿宋_GB2312" w:cs="仿宋_GB2312" w:hint="eastAsia"/>
          <w:sz w:val="32"/>
          <w:szCs w:val="32"/>
        </w:rPr>
        <w:t>所称融资融券业务，是指向客户出借资金供其买入证券或者出借证券供其卖出，并收取担保物的经营活动。</w:t>
      </w:r>
    </w:p>
    <w:p w14:paraId="5F5B772B" w14:textId="77777777" w:rsidR="00D61260" w:rsidRDefault="007021BF">
      <w:pPr>
        <w:tabs>
          <w:tab w:val="left" w:pos="1980"/>
        </w:tabs>
        <w:ind w:firstLineChars="200" w:firstLine="640"/>
        <w:rPr>
          <w:rFonts w:ascii="仿宋_GB2312" w:eastAsia="仿宋_GB2312" w:hAnsi="仿宋_GB2312" w:cs="仿宋_GB2312"/>
          <w:sz w:val="32"/>
          <w:szCs w:val="32"/>
          <w:lang w:val="zh-CN"/>
        </w:rPr>
      </w:pPr>
      <w:r>
        <w:rPr>
          <w:rStyle w:val="a7"/>
          <w:rFonts w:ascii="黑体" w:eastAsia="黑体" w:hAnsi="黑体" w:cs="黑体" w:hint="eastAsia"/>
          <w:b w:val="0"/>
          <w:color w:val="000000"/>
          <w:sz w:val="32"/>
          <w:szCs w:val="32"/>
        </w:rPr>
        <w:t>第三条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证券公司开展融资融券业务，必须经中国证券监督管理委员会（以下简称证监会）批准。未经证监会批准，任何证券公司不得向客户融资、融券</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lang w:val="zh-CN"/>
        </w:rPr>
        <w:t>也不得为客户与客户、客户与他</w:t>
      </w:r>
      <w:r>
        <w:rPr>
          <w:rFonts w:ascii="仿宋_GB2312" w:eastAsia="仿宋_GB2312" w:hAnsi="仿宋_GB2312" w:cs="仿宋_GB2312" w:hint="eastAsia"/>
          <w:sz w:val="32"/>
          <w:szCs w:val="32"/>
          <w:lang w:val="zh-CN"/>
        </w:rPr>
        <w:lastRenderedPageBreak/>
        <w:t>人之间的融资融券活动提供任何便利和服务。</w:t>
      </w:r>
    </w:p>
    <w:p w14:paraId="52F78C61" w14:textId="77777777" w:rsidR="00D61260" w:rsidRDefault="007021BF">
      <w:pPr>
        <w:ind w:firstLineChars="200" w:firstLine="640"/>
        <w:rPr>
          <w:rFonts w:ascii="仿宋_GB2312" w:eastAsia="仿宋_GB2312" w:hAnsi="仿宋_GB2312" w:cs="仿宋_GB2312"/>
          <w:sz w:val="32"/>
          <w:szCs w:val="32"/>
        </w:rPr>
      </w:pPr>
      <w:r>
        <w:rPr>
          <w:rStyle w:val="a7"/>
          <w:rFonts w:ascii="黑体" w:eastAsia="黑体" w:hAnsi="黑体" w:cs="黑体" w:hint="eastAsia"/>
          <w:b w:val="0"/>
          <w:color w:val="000000"/>
          <w:sz w:val="32"/>
          <w:szCs w:val="32"/>
        </w:rPr>
        <w:t>第</w:t>
      </w:r>
      <w:r>
        <w:rPr>
          <w:rStyle w:val="a7"/>
          <w:rFonts w:ascii="黑体" w:eastAsia="黑体" w:hAnsi="黑体" w:cs="黑体" w:hint="eastAsia"/>
          <w:b w:val="0"/>
          <w:color w:val="000000"/>
          <w:sz w:val="32"/>
          <w:szCs w:val="32"/>
        </w:rPr>
        <w:t>四</w:t>
      </w:r>
      <w:r>
        <w:rPr>
          <w:rStyle w:val="a7"/>
          <w:rFonts w:ascii="黑体" w:eastAsia="黑体" w:hAnsi="黑体" w:cs="黑体" w:hint="eastAsia"/>
          <w:b w:val="0"/>
          <w:color w:val="000000"/>
          <w:sz w:val="32"/>
          <w:szCs w:val="32"/>
        </w:rPr>
        <w:t>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证券公司经营融资融券业务不得有以下行为：</w:t>
      </w:r>
    </w:p>
    <w:p w14:paraId="7DD14452" w14:textId="77777777" w:rsidR="00D61260" w:rsidRDefault="007021BF">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（一）诱导不适当的客户开展融资融券业务；</w:t>
      </w:r>
    </w:p>
    <w:p w14:paraId="6036EAE2" w14:textId="77777777" w:rsidR="00D61260" w:rsidRDefault="007021BF">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（二）未向客户充分揭示风险；</w:t>
      </w:r>
    </w:p>
    <w:p w14:paraId="35DDCBED" w14:textId="77777777" w:rsidR="00D61260" w:rsidRDefault="007021BF">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（三）违规挪用客户担保物；</w:t>
      </w:r>
    </w:p>
    <w:p w14:paraId="18E50530" w14:textId="77777777" w:rsidR="00D61260" w:rsidRDefault="007021BF">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（四）进行利益输送和商业贿赂；</w:t>
      </w:r>
    </w:p>
    <w:p w14:paraId="2504BDDC" w14:textId="77777777" w:rsidR="00D61260" w:rsidRDefault="007021BF">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w:t>
      </w:r>
      <w:r>
        <w:rPr>
          <w:rFonts w:ascii="仿宋_GB2312" w:eastAsia="仿宋_GB2312" w:hAnsi="仿宋_GB2312" w:cs="仿宋_GB2312" w:hint="eastAsia"/>
          <w:sz w:val="32"/>
          <w:szCs w:val="32"/>
        </w:rPr>
        <w:t>为客户进行内幕交易、操纵市场、规避信息披露义务及其他不正当交易活动提供便利；</w:t>
      </w:r>
    </w:p>
    <w:p w14:paraId="41F455F9" w14:textId="77777777" w:rsidR="00D61260" w:rsidRDefault="007021BF">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六</w:t>
      </w:r>
      <w:r>
        <w:rPr>
          <w:rFonts w:ascii="仿宋_GB2312" w:eastAsia="仿宋_GB2312" w:hAnsi="仿宋_GB2312" w:cs="仿宋_GB2312" w:hint="eastAsia"/>
          <w:sz w:val="32"/>
          <w:szCs w:val="32"/>
        </w:rPr>
        <w:t>）法律、行政法规和证监会规定禁止的其他行为</w:t>
      </w:r>
      <w:r>
        <w:rPr>
          <w:rFonts w:ascii="仿宋_GB2312" w:eastAsia="仿宋_GB2312" w:hAnsi="仿宋_GB2312" w:cs="仿宋_GB2312" w:hint="eastAsia"/>
          <w:sz w:val="32"/>
          <w:szCs w:val="32"/>
        </w:rPr>
        <w:t>。</w:t>
      </w:r>
    </w:p>
    <w:p w14:paraId="5592FC02" w14:textId="77777777" w:rsidR="00D61260" w:rsidRDefault="007021BF">
      <w:pPr>
        <w:ind w:firstLineChars="200" w:firstLine="640"/>
        <w:rPr>
          <w:rFonts w:ascii="仿宋_GB2312" w:eastAsia="仿宋_GB2312" w:hAnsi="仿宋_GB2312" w:cs="仿宋_GB2312"/>
          <w:sz w:val="32"/>
          <w:szCs w:val="32"/>
        </w:rPr>
      </w:pPr>
      <w:r>
        <w:rPr>
          <w:rStyle w:val="a7"/>
          <w:rFonts w:ascii="黑体" w:eastAsia="黑体" w:hAnsi="黑体" w:cs="黑体" w:hint="eastAsia"/>
          <w:b w:val="0"/>
          <w:color w:val="000000"/>
          <w:sz w:val="32"/>
          <w:szCs w:val="32"/>
        </w:rPr>
        <w:t>第</w:t>
      </w:r>
      <w:r>
        <w:rPr>
          <w:rStyle w:val="a7"/>
          <w:rFonts w:ascii="黑体" w:eastAsia="黑体" w:hAnsi="黑体" w:cs="黑体" w:hint="eastAsia"/>
          <w:b w:val="0"/>
          <w:color w:val="000000"/>
          <w:sz w:val="32"/>
          <w:szCs w:val="32"/>
        </w:rPr>
        <w:t>五</w:t>
      </w:r>
      <w:r>
        <w:rPr>
          <w:rStyle w:val="a7"/>
          <w:rFonts w:ascii="黑体" w:eastAsia="黑体" w:hAnsi="黑体" w:cs="黑体" w:hint="eastAsia"/>
          <w:b w:val="0"/>
          <w:color w:val="000000"/>
          <w:sz w:val="32"/>
          <w:szCs w:val="32"/>
        </w:rPr>
        <w:t>条</w:t>
      </w:r>
      <w:r>
        <w:rPr>
          <w:rStyle w:val="a7"/>
          <w:rFonts w:ascii="黑体" w:eastAsia="黑体" w:hAnsi="黑体" w:cs="黑体" w:hint="eastAsia"/>
          <w:b w:val="0"/>
          <w:color w:val="000000"/>
          <w:sz w:val="32"/>
          <w:szCs w:val="32"/>
        </w:rPr>
        <w:t xml:space="preserve"> </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证监会及其派出机构依照法律、行政法规和本</w:t>
      </w:r>
      <w:r>
        <w:rPr>
          <w:rFonts w:ascii="仿宋_GB2312" w:eastAsia="仿宋_GB2312" w:hAnsi="仿宋_GB2312" w:cs="仿宋_GB2312" w:hint="eastAsia"/>
          <w:sz w:val="32"/>
          <w:szCs w:val="32"/>
        </w:rPr>
        <w:t>办法</w:t>
      </w:r>
      <w:r>
        <w:rPr>
          <w:rFonts w:ascii="仿宋_GB2312" w:eastAsia="仿宋_GB2312" w:hAnsi="仿宋_GB2312" w:cs="仿宋_GB2312" w:hint="eastAsia"/>
          <w:sz w:val="32"/>
          <w:szCs w:val="32"/>
        </w:rPr>
        <w:t>的</w:t>
      </w:r>
      <w:r>
        <w:rPr>
          <w:rFonts w:ascii="仿宋_GB2312" w:eastAsia="仿宋_GB2312" w:hAnsi="仿宋_GB2312" w:cs="仿宋_GB2312" w:hint="eastAsia"/>
          <w:sz w:val="32"/>
          <w:szCs w:val="32"/>
        </w:rPr>
        <w:t>规定</w:t>
      </w:r>
      <w:r>
        <w:rPr>
          <w:rFonts w:ascii="仿宋_GB2312" w:eastAsia="仿宋_GB2312" w:hAnsi="仿宋_GB2312" w:cs="仿宋_GB2312" w:hint="eastAsia"/>
          <w:sz w:val="32"/>
          <w:szCs w:val="32"/>
        </w:rPr>
        <w:t>，对证券公司融资融券业务活动进行监督管理。</w:t>
      </w:r>
    </w:p>
    <w:p w14:paraId="02DACEAB" w14:textId="77777777" w:rsidR="00D61260" w:rsidRDefault="007021BF">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中国证券业协会、证券交易所、证券登记结算机构按照本机构的章程和规则，对证券公司融资融券业务活动进</w:t>
      </w:r>
      <w:r>
        <w:rPr>
          <w:rFonts w:ascii="仿宋_GB2312" w:eastAsia="仿宋_GB2312" w:hAnsi="仿宋_GB2312" w:cs="仿宋_GB2312" w:hint="eastAsia"/>
          <w:sz w:val="32"/>
          <w:szCs w:val="32"/>
        </w:rPr>
        <w:t>行自律管理。</w:t>
      </w:r>
      <w:r>
        <w:rPr>
          <w:rFonts w:ascii="仿宋_GB2312" w:eastAsia="仿宋_GB2312" w:hAnsi="仿宋_GB2312" w:cs="仿宋_GB2312" w:hint="eastAsia"/>
          <w:sz w:val="32"/>
          <w:szCs w:val="32"/>
        </w:rPr>
        <w:t>中国</w:t>
      </w:r>
      <w:r>
        <w:rPr>
          <w:rFonts w:ascii="仿宋_GB2312" w:eastAsia="仿宋_GB2312" w:hAnsi="仿宋_GB2312" w:cs="仿宋_GB2312" w:hint="eastAsia"/>
          <w:sz w:val="32"/>
          <w:szCs w:val="32"/>
        </w:rPr>
        <w:t>证券金融公司对证券公司融资融券业务和客户融资融券交易</w:t>
      </w:r>
      <w:r>
        <w:rPr>
          <w:rFonts w:ascii="仿宋_GB2312" w:eastAsia="仿宋_GB2312" w:hAnsi="仿宋_GB2312" w:cs="仿宋_GB2312" w:hint="eastAsia"/>
          <w:sz w:val="32"/>
          <w:szCs w:val="32"/>
        </w:rPr>
        <w:t>情况</w:t>
      </w:r>
      <w:r>
        <w:rPr>
          <w:rFonts w:ascii="仿宋_GB2312" w:eastAsia="仿宋_GB2312" w:hAnsi="仿宋_GB2312" w:cs="仿宋_GB2312" w:hint="eastAsia"/>
          <w:sz w:val="32"/>
          <w:szCs w:val="32"/>
        </w:rPr>
        <w:t>进行监测监控。</w:t>
      </w:r>
    </w:p>
    <w:p w14:paraId="1F3725DA" w14:textId="77777777" w:rsidR="00D61260" w:rsidRDefault="007021BF">
      <w:pPr>
        <w:ind w:firstLineChars="200" w:firstLine="640"/>
        <w:rPr>
          <w:rFonts w:ascii="仿宋_GB2312" w:eastAsia="仿宋_GB2312" w:hAnsi="仿宋_GB2312" w:cs="仿宋_GB2312"/>
          <w:sz w:val="32"/>
          <w:szCs w:val="32"/>
        </w:rPr>
      </w:pPr>
      <w:r>
        <w:rPr>
          <w:rStyle w:val="a7"/>
          <w:rFonts w:ascii="黑体" w:eastAsia="黑体" w:hAnsi="黑体" w:cs="黑体" w:hint="eastAsia"/>
          <w:b w:val="0"/>
          <w:color w:val="000000"/>
          <w:sz w:val="32"/>
          <w:szCs w:val="32"/>
        </w:rPr>
        <w:t>第</w:t>
      </w:r>
      <w:r>
        <w:rPr>
          <w:rStyle w:val="a7"/>
          <w:rFonts w:ascii="黑体" w:eastAsia="黑体" w:hAnsi="黑体" w:cs="黑体" w:hint="eastAsia"/>
          <w:b w:val="0"/>
          <w:color w:val="000000"/>
          <w:sz w:val="32"/>
          <w:szCs w:val="32"/>
        </w:rPr>
        <w:t>六</w:t>
      </w:r>
      <w:r>
        <w:rPr>
          <w:rStyle w:val="a7"/>
          <w:rFonts w:ascii="黑体" w:eastAsia="黑体" w:hAnsi="黑体" w:cs="黑体" w:hint="eastAsia"/>
          <w:b w:val="0"/>
          <w:color w:val="000000"/>
          <w:sz w:val="32"/>
          <w:szCs w:val="32"/>
        </w:rPr>
        <w:t>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证监会建立健全融资融券业务的逆周期调节机制，对融资融券业务实施宏观审慎管理。</w:t>
      </w:r>
    </w:p>
    <w:p w14:paraId="21B3EABA" w14:textId="77777777" w:rsidR="00D61260" w:rsidRDefault="007021BF">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证券交易所建立融资融券业务风险控制指标浮动管理机制，对融资融券业务实施逆周期调节。</w:t>
      </w:r>
    </w:p>
    <w:p w14:paraId="0E40937A" w14:textId="77777777" w:rsidR="00D61260" w:rsidRDefault="00D61260">
      <w:pPr>
        <w:jc w:val="center"/>
        <w:rPr>
          <w:rStyle w:val="a7"/>
          <w:rFonts w:ascii="黑体" w:eastAsia="黑体" w:hAnsi="黑体" w:cs="黑体"/>
          <w:b w:val="0"/>
          <w:color w:val="000000"/>
          <w:sz w:val="32"/>
          <w:szCs w:val="32"/>
        </w:rPr>
      </w:pPr>
    </w:p>
    <w:p w14:paraId="5E6661BF" w14:textId="77777777" w:rsidR="00D61260" w:rsidRDefault="007021BF">
      <w:pPr>
        <w:jc w:val="center"/>
        <w:rPr>
          <w:rStyle w:val="a7"/>
          <w:rFonts w:ascii="黑体" w:eastAsia="黑体" w:hAnsi="黑体" w:cs="黑体"/>
          <w:b w:val="0"/>
          <w:color w:val="000000"/>
          <w:sz w:val="32"/>
          <w:szCs w:val="32"/>
        </w:rPr>
      </w:pPr>
      <w:r>
        <w:rPr>
          <w:rStyle w:val="a7"/>
          <w:rFonts w:ascii="黑体" w:eastAsia="黑体" w:hAnsi="黑体" w:cs="黑体" w:hint="eastAsia"/>
          <w:b w:val="0"/>
          <w:color w:val="000000"/>
          <w:sz w:val="32"/>
          <w:szCs w:val="32"/>
        </w:rPr>
        <w:t>第二章</w:t>
      </w:r>
      <w:r>
        <w:rPr>
          <w:rStyle w:val="a7"/>
          <w:rFonts w:ascii="黑体" w:eastAsia="黑体" w:hAnsi="黑体" w:cs="黑体" w:hint="eastAsia"/>
          <w:b w:val="0"/>
          <w:color w:val="000000"/>
          <w:sz w:val="32"/>
          <w:szCs w:val="32"/>
        </w:rPr>
        <w:t xml:space="preserve"> </w:t>
      </w:r>
      <w:r>
        <w:rPr>
          <w:rStyle w:val="a7"/>
          <w:rFonts w:ascii="黑体" w:eastAsia="黑体" w:hAnsi="黑体" w:cs="黑体" w:hint="eastAsia"/>
          <w:b w:val="0"/>
          <w:color w:val="000000"/>
          <w:sz w:val="32"/>
          <w:szCs w:val="32"/>
        </w:rPr>
        <w:t>业务许可</w:t>
      </w:r>
    </w:p>
    <w:p w14:paraId="18C0BF98" w14:textId="77777777" w:rsidR="00D61260" w:rsidRDefault="00D61260">
      <w:pPr>
        <w:ind w:firstLineChars="200" w:firstLine="640"/>
        <w:rPr>
          <w:rFonts w:ascii="仿宋_GB2312" w:eastAsia="仿宋_GB2312" w:hAnsi="仿宋_GB2312" w:cs="仿宋_GB2312"/>
          <w:sz w:val="32"/>
          <w:szCs w:val="32"/>
        </w:rPr>
      </w:pPr>
    </w:p>
    <w:p w14:paraId="3582F094" w14:textId="77777777" w:rsidR="00D61260" w:rsidRDefault="007021BF">
      <w:pPr>
        <w:ind w:firstLineChars="200" w:firstLine="640"/>
        <w:rPr>
          <w:rFonts w:ascii="仿宋_GB2312" w:eastAsia="仿宋_GB2312" w:hAnsi="仿宋_GB2312" w:cs="仿宋_GB2312"/>
          <w:sz w:val="32"/>
          <w:szCs w:val="32"/>
        </w:rPr>
      </w:pPr>
      <w:r>
        <w:rPr>
          <w:rStyle w:val="a7"/>
          <w:rFonts w:ascii="黑体" w:eastAsia="黑体" w:hAnsi="黑体" w:cs="黑体" w:hint="eastAsia"/>
          <w:b w:val="0"/>
          <w:color w:val="000000"/>
          <w:sz w:val="32"/>
          <w:szCs w:val="32"/>
        </w:rPr>
        <w:t>第</w:t>
      </w:r>
      <w:r>
        <w:rPr>
          <w:rStyle w:val="a7"/>
          <w:rFonts w:ascii="黑体" w:eastAsia="黑体" w:hAnsi="黑体" w:cs="黑体" w:hint="eastAsia"/>
          <w:b w:val="0"/>
          <w:color w:val="000000"/>
          <w:sz w:val="32"/>
          <w:szCs w:val="32"/>
        </w:rPr>
        <w:t>七</w:t>
      </w:r>
      <w:r>
        <w:rPr>
          <w:rStyle w:val="a7"/>
          <w:rFonts w:ascii="黑体" w:eastAsia="黑体" w:hAnsi="黑体" w:cs="黑体" w:hint="eastAsia"/>
          <w:b w:val="0"/>
          <w:color w:val="000000"/>
          <w:sz w:val="32"/>
          <w:szCs w:val="32"/>
        </w:rPr>
        <w:t>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证券公司申请融资融券业务资格，应当具备下列条件：</w:t>
      </w:r>
    </w:p>
    <w:p w14:paraId="7B5426BE" w14:textId="77777777" w:rsidR="00D61260" w:rsidRDefault="007021BF">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w:t>
      </w:r>
      <w:r>
        <w:rPr>
          <w:rFonts w:ascii="仿宋_GB2312" w:eastAsia="仿宋_GB2312" w:hAnsi="仿宋_GB2312" w:cs="仿宋_GB2312" w:hint="eastAsia"/>
          <w:sz w:val="32"/>
          <w:szCs w:val="32"/>
        </w:rPr>
        <w:t>具有</w:t>
      </w:r>
      <w:r>
        <w:rPr>
          <w:rFonts w:ascii="仿宋_GB2312" w:eastAsia="仿宋_GB2312" w:hAnsi="仿宋_GB2312" w:cs="仿宋_GB2312" w:hint="eastAsia"/>
          <w:sz w:val="32"/>
          <w:szCs w:val="32"/>
        </w:rPr>
        <w:t>证券经纪业务</w:t>
      </w:r>
      <w:r>
        <w:rPr>
          <w:rFonts w:ascii="仿宋_GB2312" w:eastAsia="仿宋_GB2312" w:hAnsi="仿宋_GB2312" w:cs="仿宋_GB2312" w:hint="eastAsia"/>
          <w:sz w:val="32"/>
          <w:szCs w:val="32"/>
        </w:rPr>
        <w:t>资格</w:t>
      </w:r>
      <w:r>
        <w:rPr>
          <w:rFonts w:ascii="仿宋_GB2312" w:eastAsia="仿宋_GB2312" w:hAnsi="仿宋_GB2312" w:cs="仿宋_GB2312" w:hint="eastAsia"/>
          <w:sz w:val="32"/>
          <w:szCs w:val="32"/>
        </w:rPr>
        <w:t>；</w:t>
      </w:r>
    </w:p>
    <w:p w14:paraId="665F4414" w14:textId="77777777" w:rsidR="00D61260" w:rsidRDefault="007021BF">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（二）公司治理健全，内部控制有效，能有效识别、控制和防范业务经营风险和内部管理风险；</w:t>
      </w:r>
    </w:p>
    <w:p w14:paraId="6FC3933F" w14:textId="77777777" w:rsidR="00D61260" w:rsidRDefault="007021BF">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（三）公司最近</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年内不存在因涉嫌违法违规正被证监会立案调查或者正处于整改期间的情形；</w:t>
      </w:r>
    </w:p>
    <w:p w14:paraId="3CF4CBE0" w14:textId="77777777" w:rsidR="00D61260" w:rsidRDefault="007021BF">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（四）财务状况良好，最近</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年各项风险控制指标持续符合规定，注册资本和净资本符合增加融资融券业务后的规定；</w:t>
      </w:r>
    </w:p>
    <w:p w14:paraId="163E311C" w14:textId="77777777" w:rsidR="00D61260" w:rsidRDefault="007021BF">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（五）客户资产安全、完整，客户交易结算资金第三方存管有效实施，客户资料完整真实；</w:t>
      </w:r>
    </w:p>
    <w:p w14:paraId="6AEEC5C1" w14:textId="77777777" w:rsidR="00D61260" w:rsidRDefault="007021BF">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（六）已建立完善的客户投诉处理机制，能够及时、妥善处理与客户之间的纠纷；</w:t>
      </w:r>
    </w:p>
    <w:p w14:paraId="65255AFF" w14:textId="77777777" w:rsidR="00D61260" w:rsidRDefault="007021BF">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（七）已建立符合监管规定和自律要求的客户适当性制度，实现客户与产品的适当性匹配</w:t>
      </w:r>
      <w:r>
        <w:rPr>
          <w:rFonts w:ascii="仿宋_GB2312" w:eastAsia="仿宋_GB2312" w:hAnsi="仿宋_GB2312" w:cs="仿宋_GB2312" w:hint="eastAsia"/>
          <w:sz w:val="32"/>
          <w:szCs w:val="32"/>
        </w:rPr>
        <w:t>管理；</w:t>
      </w:r>
    </w:p>
    <w:p w14:paraId="6520D967" w14:textId="77777777" w:rsidR="00D61260" w:rsidRDefault="007021BF">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八</w:t>
      </w:r>
      <w:r>
        <w:rPr>
          <w:rFonts w:ascii="仿宋_GB2312" w:eastAsia="仿宋_GB2312" w:hAnsi="仿宋_GB2312" w:cs="仿宋_GB2312" w:hint="eastAsia"/>
          <w:sz w:val="32"/>
          <w:szCs w:val="32"/>
        </w:rPr>
        <w:t>）信息系统安全稳定运行，最近</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年未发生因公司管理</w:t>
      </w:r>
      <w:r>
        <w:rPr>
          <w:rFonts w:ascii="仿宋_GB2312" w:eastAsia="仿宋_GB2312" w:hAnsi="仿宋_GB2312" w:cs="仿宋_GB2312" w:hint="eastAsia"/>
          <w:sz w:val="32"/>
          <w:szCs w:val="32"/>
        </w:rPr>
        <w:lastRenderedPageBreak/>
        <w:t>问题导致的重大</w:t>
      </w:r>
      <w:r>
        <w:rPr>
          <w:rFonts w:ascii="仿宋_GB2312" w:eastAsia="仿宋_GB2312" w:hAnsi="仿宋_GB2312" w:cs="仿宋_GB2312" w:hint="eastAsia"/>
          <w:sz w:val="32"/>
          <w:szCs w:val="32"/>
        </w:rPr>
        <w:t>事件</w:t>
      </w:r>
      <w:r>
        <w:rPr>
          <w:rFonts w:ascii="仿宋_GB2312" w:eastAsia="仿宋_GB2312" w:hAnsi="仿宋_GB2312" w:cs="仿宋_GB2312" w:hint="eastAsia"/>
          <w:sz w:val="32"/>
          <w:szCs w:val="32"/>
        </w:rPr>
        <w:t>，融资融券业务技术系统已通过证券交易所、证券登记结算机构组织的测试；</w:t>
      </w:r>
    </w:p>
    <w:p w14:paraId="38412C6B" w14:textId="77777777" w:rsidR="00D61260" w:rsidRDefault="007021BF">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九</w:t>
      </w:r>
      <w:r>
        <w:rPr>
          <w:rFonts w:ascii="仿宋_GB2312" w:eastAsia="仿宋_GB2312" w:hAnsi="仿宋_GB2312" w:cs="仿宋_GB2312" w:hint="eastAsia"/>
          <w:sz w:val="32"/>
          <w:szCs w:val="32"/>
        </w:rPr>
        <w:t>）有</w:t>
      </w:r>
      <w:proofErr w:type="gramStart"/>
      <w:r>
        <w:rPr>
          <w:rFonts w:ascii="仿宋_GB2312" w:eastAsia="仿宋_GB2312" w:hAnsi="仿宋_GB2312" w:cs="仿宋_GB2312" w:hint="eastAsia"/>
          <w:sz w:val="32"/>
          <w:szCs w:val="32"/>
        </w:rPr>
        <w:t>拟负责</w:t>
      </w:r>
      <w:proofErr w:type="gramEnd"/>
      <w:r>
        <w:rPr>
          <w:rFonts w:ascii="仿宋_GB2312" w:eastAsia="仿宋_GB2312" w:hAnsi="仿宋_GB2312" w:cs="仿宋_GB2312" w:hint="eastAsia"/>
          <w:sz w:val="32"/>
          <w:szCs w:val="32"/>
        </w:rPr>
        <w:t>融资融券业务的高级管理人员和适当数量的专业人员；</w:t>
      </w:r>
    </w:p>
    <w:p w14:paraId="3751E335" w14:textId="77777777" w:rsidR="00D61260" w:rsidRDefault="007021BF">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十</w:t>
      </w:r>
      <w:r>
        <w:rPr>
          <w:rFonts w:ascii="仿宋_GB2312" w:eastAsia="仿宋_GB2312" w:hAnsi="仿宋_GB2312" w:cs="仿宋_GB2312" w:hint="eastAsia"/>
          <w:sz w:val="32"/>
          <w:szCs w:val="32"/>
        </w:rPr>
        <w:t>）证监会规定的其他条件。</w:t>
      </w:r>
    </w:p>
    <w:p w14:paraId="5B863607" w14:textId="77777777" w:rsidR="00D61260" w:rsidRDefault="007021BF">
      <w:pPr>
        <w:ind w:firstLineChars="200" w:firstLine="640"/>
        <w:rPr>
          <w:rFonts w:ascii="仿宋_GB2312" w:eastAsia="仿宋_GB2312" w:hAnsi="仿宋_GB2312" w:cs="仿宋_GB2312"/>
          <w:color w:val="000000"/>
          <w:sz w:val="32"/>
          <w:szCs w:val="32"/>
        </w:rPr>
      </w:pPr>
      <w:r>
        <w:rPr>
          <w:rStyle w:val="a7"/>
          <w:rFonts w:ascii="黑体" w:eastAsia="黑体" w:hAnsi="黑体" w:cs="黑体" w:hint="eastAsia"/>
          <w:b w:val="0"/>
          <w:color w:val="000000"/>
          <w:sz w:val="32"/>
          <w:szCs w:val="32"/>
        </w:rPr>
        <w:t>第</w:t>
      </w:r>
      <w:r>
        <w:rPr>
          <w:rStyle w:val="a7"/>
          <w:rFonts w:ascii="黑体" w:eastAsia="黑体" w:hAnsi="黑体" w:cs="黑体" w:hint="eastAsia"/>
          <w:b w:val="0"/>
          <w:color w:val="000000"/>
          <w:sz w:val="32"/>
          <w:szCs w:val="32"/>
        </w:rPr>
        <w:t>八</w:t>
      </w:r>
      <w:r>
        <w:rPr>
          <w:rStyle w:val="a7"/>
          <w:rFonts w:ascii="黑体" w:eastAsia="黑体" w:hAnsi="黑体" w:cs="黑体" w:hint="eastAsia"/>
          <w:b w:val="0"/>
          <w:color w:val="000000"/>
          <w:sz w:val="32"/>
          <w:szCs w:val="32"/>
        </w:rPr>
        <w:t>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证券公司</w:t>
      </w:r>
      <w:r>
        <w:rPr>
          <w:rFonts w:ascii="仿宋_GB2312" w:eastAsia="仿宋_GB2312" w:hAnsi="仿宋_GB2312" w:cs="仿宋_GB2312" w:hint="eastAsia"/>
          <w:color w:val="000000"/>
          <w:sz w:val="32"/>
          <w:szCs w:val="32"/>
        </w:rPr>
        <w:t>申请融资融券业务资格，应当向证监会提交下列材料，同时抄报</w:t>
      </w:r>
      <w:r>
        <w:rPr>
          <w:rFonts w:ascii="仿宋_GB2312" w:eastAsia="仿宋_GB2312" w:hAnsi="仿宋_GB2312" w:cs="仿宋_GB2312" w:hint="eastAsia"/>
          <w:color w:val="000000"/>
          <w:sz w:val="32"/>
          <w:szCs w:val="32"/>
        </w:rPr>
        <w:t>住所地</w:t>
      </w:r>
      <w:r>
        <w:rPr>
          <w:rFonts w:ascii="仿宋_GB2312" w:eastAsia="仿宋_GB2312" w:hAnsi="仿宋_GB2312" w:cs="仿宋_GB2312" w:hint="eastAsia"/>
          <w:color w:val="000000"/>
          <w:sz w:val="32"/>
          <w:szCs w:val="32"/>
        </w:rPr>
        <w:t>证监会派出机构：</w:t>
      </w:r>
      <w:r>
        <w:rPr>
          <w:rFonts w:ascii="仿宋_GB2312" w:eastAsia="仿宋_GB2312" w:hAnsi="仿宋_GB2312" w:cs="仿宋_GB2312" w:hint="eastAsia"/>
          <w:color w:val="000000"/>
          <w:sz w:val="32"/>
          <w:szCs w:val="32"/>
        </w:rPr>
        <w:t xml:space="preserve"> </w:t>
      </w:r>
    </w:p>
    <w:p w14:paraId="46D39936" w14:textId="77777777" w:rsidR="00D61260" w:rsidRDefault="007021BF">
      <w:pPr>
        <w:pStyle w:val="a6"/>
        <w:widowControl w:val="0"/>
        <w:spacing w:before="0" w:beforeAutospacing="0" w:after="0" w:afterAutospacing="0"/>
        <w:ind w:firstLineChars="200" w:firstLine="640"/>
        <w:jc w:val="both"/>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（一）融资融券业务资格申请书；</w:t>
      </w:r>
      <w:r>
        <w:rPr>
          <w:rFonts w:ascii="仿宋_GB2312" w:eastAsia="仿宋_GB2312" w:hAnsi="仿宋_GB2312" w:cs="仿宋_GB2312" w:hint="eastAsia"/>
          <w:color w:val="000000"/>
          <w:sz w:val="32"/>
          <w:szCs w:val="32"/>
        </w:rPr>
        <w:t xml:space="preserve"> </w:t>
      </w:r>
    </w:p>
    <w:p w14:paraId="3EA99152" w14:textId="77777777" w:rsidR="00D61260" w:rsidRDefault="007021BF">
      <w:pPr>
        <w:pStyle w:val="a6"/>
        <w:widowControl w:val="0"/>
        <w:spacing w:before="0" w:beforeAutospacing="0" w:after="0" w:afterAutospacing="0"/>
        <w:ind w:firstLineChars="200" w:firstLine="640"/>
        <w:jc w:val="both"/>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（二）股东会（股东大会）关于经营融资融券业务的决议；</w:t>
      </w:r>
      <w:r>
        <w:rPr>
          <w:rFonts w:ascii="仿宋_GB2312" w:eastAsia="仿宋_GB2312" w:hAnsi="仿宋_GB2312" w:cs="仿宋_GB2312" w:hint="eastAsia"/>
          <w:color w:val="000000"/>
          <w:sz w:val="32"/>
          <w:szCs w:val="32"/>
        </w:rPr>
        <w:t xml:space="preserve"> </w:t>
      </w:r>
    </w:p>
    <w:p w14:paraId="0A38D56D" w14:textId="77777777" w:rsidR="00D61260" w:rsidRDefault="007021BF">
      <w:pPr>
        <w:pStyle w:val="a6"/>
        <w:widowControl w:val="0"/>
        <w:spacing w:before="0" w:beforeAutospacing="0" w:after="0" w:afterAutospacing="0"/>
        <w:ind w:firstLineChars="200" w:firstLine="640"/>
        <w:jc w:val="both"/>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（三）融资融券业务方案、内部管理制度文本和按照本</w:t>
      </w:r>
      <w:r>
        <w:rPr>
          <w:rFonts w:ascii="仿宋_GB2312" w:eastAsia="仿宋_GB2312" w:hAnsi="仿宋_GB2312" w:cs="仿宋_GB2312" w:hint="eastAsia"/>
          <w:color w:val="000000"/>
          <w:sz w:val="32"/>
          <w:szCs w:val="32"/>
        </w:rPr>
        <w:t>办法</w:t>
      </w:r>
      <w:r>
        <w:rPr>
          <w:rFonts w:ascii="仿宋_GB2312" w:eastAsia="仿宋_GB2312" w:hAnsi="仿宋_GB2312" w:cs="仿宋_GB2312" w:hint="eastAsia"/>
          <w:color w:val="000000"/>
          <w:sz w:val="32"/>
          <w:szCs w:val="32"/>
        </w:rPr>
        <w:t>第十</w:t>
      </w:r>
      <w:r>
        <w:rPr>
          <w:rFonts w:ascii="仿宋_GB2312" w:eastAsia="仿宋_GB2312" w:hAnsi="仿宋_GB2312" w:cs="仿宋_GB2312" w:hint="eastAsia"/>
          <w:color w:val="000000"/>
          <w:sz w:val="32"/>
          <w:szCs w:val="32"/>
        </w:rPr>
        <w:t>二</w:t>
      </w:r>
      <w:r>
        <w:rPr>
          <w:rFonts w:ascii="仿宋_GB2312" w:eastAsia="仿宋_GB2312" w:hAnsi="仿宋_GB2312" w:cs="仿宋_GB2312" w:hint="eastAsia"/>
          <w:color w:val="000000"/>
          <w:sz w:val="32"/>
          <w:szCs w:val="32"/>
        </w:rPr>
        <w:t>条制定的选择客户的标准；</w:t>
      </w:r>
      <w:r>
        <w:rPr>
          <w:rFonts w:ascii="仿宋_GB2312" w:eastAsia="仿宋_GB2312" w:hAnsi="仿宋_GB2312" w:cs="仿宋_GB2312" w:hint="eastAsia"/>
          <w:color w:val="000000"/>
          <w:sz w:val="32"/>
          <w:szCs w:val="32"/>
        </w:rPr>
        <w:t xml:space="preserve"> </w:t>
      </w:r>
    </w:p>
    <w:p w14:paraId="416079E2" w14:textId="77777777" w:rsidR="00D61260" w:rsidRDefault="007021BF">
      <w:pPr>
        <w:pStyle w:val="a6"/>
        <w:widowControl w:val="0"/>
        <w:spacing w:before="0" w:beforeAutospacing="0" w:after="0" w:afterAutospacing="0"/>
        <w:ind w:firstLineChars="200" w:firstLine="640"/>
        <w:jc w:val="both"/>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（四）负责融资融券业务的高级管理人员与业务人员的名册及资格证明文件；</w:t>
      </w:r>
      <w:r>
        <w:rPr>
          <w:rFonts w:ascii="仿宋_GB2312" w:eastAsia="仿宋_GB2312" w:hAnsi="仿宋_GB2312" w:cs="仿宋_GB2312" w:hint="eastAsia"/>
          <w:color w:val="000000"/>
          <w:sz w:val="32"/>
          <w:szCs w:val="32"/>
        </w:rPr>
        <w:t xml:space="preserve"> </w:t>
      </w:r>
    </w:p>
    <w:p w14:paraId="2D30B14A" w14:textId="77777777" w:rsidR="00D61260" w:rsidRDefault="007021BF">
      <w:pPr>
        <w:pStyle w:val="a6"/>
        <w:widowControl w:val="0"/>
        <w:spacing w:before="0" w:beforeAutospacing="0" w:after="0" w:afterAutospacing="0"/>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五</w:t>
      </w:r>
      <w:r>
        <w:rPr>
          <w:rFonts w:ascii="仿宋_GB2312" w:eastAsia="仿宋_GB2312" w:hAnsi="仿宋_GB2312" w:cs="仿宋_GB2312" w:hint="eastAsia"/>
          <w:sz w:val="32"/>
          <w:szCs w:val="32"/>
        </w:rPr>
        <w:t>）证券交易所、证券登记结算机构出具的关于融资融券业务技术系统已通过测试的证明文件；</w:t>
      </w:r>
    </w:p>
    <w:p w14:paraId="400E23B9" w14:textId="77777777" w:rsidR="00D61260" w:rsidRDefault="007021BF">
      <w:pPr>
        <w:pStyle w:val="a6"/>
        <w:widowControl w:val="0"/>
        <w:spacing w:before="0" w:beforeAutospacing="0" w:after="0" w:afterAutospacing="0"/>
        <w:ind w:firstLineChars="200" w:firstLine="640"/>
        <w:jc w:val="both"/>
        <w:rPr>
          <w:rFonts w:ascii="仿宋_GB2312" w:eastAsia="仿宋_GB2312" w:hAnsi="仿宋_GB2312" w:cs="仿宋_GB2312"/>
          <w:color w:val="000000"/>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六</w:t>
      </w:r>
      <w:r>
        <w:rPr>
          <w:rFonts w:ascii="仿宋_GB2312" w:eastAsia="仿宋_GB2312" w:hAnsi="仿宋_GB2312" w:cs="仿宋_GB2312" w:hint="eastAsia"/>
          <w:sz w:val="32"/>
          <w:szCs w:val="32"/>
        </w:rPr>
        <w:t>）证监会</w:t>
      </w:r>
      <w:r>
        <w:rPr>
          <w:rFonts w:ascii="仿宋_GB2312" w:eastAsia="仿宋_GB2312" w:hAnsi="仿宋_GB2312" w:cs="仿宋_GB2312" w:hint="eastAsia"/>
          <w:color w:val="000000"/>
          <w:sz w:val="32"/>
          <w:szCs w:val="32"/>
        </w:rPr>
        <w:t>要求提交的其他文件。</w:t>
      </w:r>
      <w:r>
        <w:rPr>
          <w:rFonts w:ascii="仿宋_GB2312" w:eastAsia="仿宋_GB2312" w:hAnsi="仿宋_GB2312" w:cs="仿宋_GB2312" w:hint="eastAsia"/>
          <w:color w:val="000000"/>
          <w:sz w:val="32"/>
          <w:szCs w:val="32"/>
        </w:rPr>
        <w:t xml:space="preserve"> </w:t>
      </w:r>
    </w:p>
    <w:p w14:paraId="797D40C0" w14:textId="77777777" w:rsidR="00D61260" w:rsidRDefault="007021B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证券公司的法定代表人和经营管理的主要负责人应当在融资融券业务资格申请书上签字，承诺申请材料的内容真实、准确、完整，并对申请材料中存在的虚假记载、误导性陈述和重大遗漏</w:t>
      </w:r>
      <w:r>
        <w:rPr>
          <w:rFonts w:ascii="仿宋_GB2312" w:eastAsia="仿宋_GB2312" w:hAnsi="仿宋_GB2312" w:cs="仿宋_GB2312" w:hint="eastAsia"/>
          <w:color w:val="000000"/>
          <w:sz w:val="32"/>
          <w:szCs w:val="32"/>
        </w:rPr>
        <w:lastRenderedPageBreak/>
        <w:t>承担相应的法律责任。</w:t>
      </w:r>
    </w:p>
    <w:p w14:paraId="552A1011" w14:textId="77777777" w:rsidR="00D61260" w:rsidRDefault="007021BF">
      <w:pPr>
        <w:ind w:firstLineChars="200" w:firstLine="640"/>
        <w:rPr>
          <w:rFonts w:ascii="仿宋_GB2312" w:eastAsia="仿宋_GB2312" w:hAnsi="仿宋_GB2312" w:cs="仿宋_GB2312"/>
          <w:color w:val="000000"/>
          <w:sz w:val="32"/>
          <w:szCs w:val="32"/>
        </w:rPr>
      </w:pPr>
      <w:r>
        <w:rPr>
          <w:rStyle w:val="a7"/>
          <w:rFonts w:ascii="黑体" w:eastAsia="黑体" w:hAnsi="黑体" w:cs="黑体" w:hint="eastAsia"/>
          <w:b w:val="0"/>
          <w:color w:val="000000"/>
          <w:sz w:val="32"/>
          <w:szCs w:val="32"/>
        </w:rPr>
        <w:t>第</w:t>
      </w:r>
      <w:r>
        <w:rPr>
          <w:rStyle w:val="a7"/>
          <w:rFonts w:ascii="黑体" w:eastAsia="黑体" w:hAnsi="黑体" w:cs="黑体" w:hint="eastAsia"/>
          <w:b w:val="0"/>
          <w:color w:val="000000"/>
          <w:sz w:val="32"/>
          <w:szCs w:val="32"/>
        </w:rPr>
        <w:t>九</w:t>
      </w:r>
      <w:r>
        <w:rPr>
          <w:rStyle w:val="a7"/>
          <w:rFonts w:ascii="黑体" w:eastAsia="黑体" w:hAnsi="黑体" w:cs="黑体" w:hint="eastAsia"/>
          <w:b w:val="0"/>
          <w:color w:val="000000"/>
          <w:sz w:val="32"/>
          <w:szCs w:val="32"/>
        </w:rPr>
        <w:t>条</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获得批准的证券公司应当按照规定，向</w:t>
      </w:r>
      <w:r>
        <w:rPr>
          <w:rFonts w:ascii="仿宋_GB2312" w:eastAsia="仿宋_GB2312" w:hAnsi="仿宋_GB2312" w:cs="仿宋_GB2312" w:hint="eastAsia"/>
          <w:color w:val="000000"/>
          <w:sz w:val="32"/>
          <w:szCs w:val="32"/>
        </w:rPr>
        <w:t>公司登记机关申请业务范围变更登记，向证监会申请换发《经营证券业务许可证》。</w:t>
      </w:r>
    </w:p>
    <w:p w14:paraId="49B74201" w14:textId="77777777" w:rsidR="00D61260" w:rsidRDefault="007021B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取得证监会换发的《经营证券业务许可证》后，证券公司方可开展融资融券业务。</w:t>
      </w:r>
    </w:p>
    <w:p w14:paraId="166BF470" w14:textId="77777777" w:rsidR="00D61260" w:rsidRDefault="00D61260">
      <w:pPr>
        <w:ind w:firstLineChars="200" w:firstLine="640"/>
        <w:rPr>
          <w:rFonts w:ascii="仿宋_GB2312" w:eastAsia="仿宋_GB2312" w:hAnsi="仿宋_GB2312" w:cs="仿宋_GB2312"/>
          <w:color w:val="000000"/>
          <w:sz w:val="32"/>
          <w:szCs w:val="32"/>
        </w:rPr>
      </w:pPr>
    </w:p>
    <w:p w14:paraId="468D1885" w14:textId="77777777" w:rsidR="00D61260" w:rsidRDefault="007021BF">
      <w:pPr>
        <w:jc w:val="center"/>
        <w:rPr>
          <w:rStyle w:val="a7"/>
          <w:rFonts w:ascii="黑体" w:eastAsia="黑体" w:hAnsi="黑体" w:cs="黑体"/>
          <w:b w:val="0"/>
          <w:color w:val="000000"/>
          <w:sz w:val="32"/>
          <w:szCs w:val="32"/>
        </w:rPr>
      </w:pPr>
      <w:r>
        <w:rPr>
          <w:rStyle w:val="a7"/>
          <w:rFonts w:ascii="黑体" w:eastAsia="黑体" w:hAnsi="黑体" w:cs="黑体" w:hint="eastAsia"/>
          <w:b w:val="0"/>
          <w:color w:val="000000"/>
          <w:sz w:val="32"/>
          <w:szCs w:val="32"/>
        </w:rPr>
        <w:t>第三章</w:t>
      </w:r>
      <w:r>
        <w:rPr>
          <w:rStyle w:val="a7"/>
          <w:rFonts w:ascii="黑体" w:eastAsia="黑体" w:hAnsi="黑体" w:cs="黑体" w:hint="eastAsia"/>
          <w:b w:val="0"/>
          <w:color w:val="000000"/>
          <w:sz w:val="32"/>
          <w:szCs w:val="32"/>
        </w:rPr>
        <w:t xml:space="preserve"> </w:t>
      </w:r>
      <w:r>
        <w:rPr>
          <w:rStyle w:val="a7"/>
          <w:rFonts w:ascii="黑体" w:eastAsia="黑体" w:hAnsi="黑体" w:cs="黑体" w:hint="eastAsia"/>
          <w:b w:val="0"/>
          <w:color w:val="000000"/>
          <w:sz w:val="32"/>
          <w:szCs w:val="32"/>
        </w:rPr>
        <w:t>业务规则</w:t>
      </w:r>
    </w:p>
    <w:p w14:paraId="2DF28A1F" w14:textId="77777777" w:rsidR="00D61260" w:rsidRDefault="00D61260">
      <w:pPr>
        <w:tabs>
          <w:tab w:val="left" w:pos="1565"/>
          <w:tab w:val="left" w:pos="1980"/>
        </w:tabs>
        <w:ind w:firstLineChars="200" w:firstLine="640"/>
        <w:rPr>
          <w:rFonts w:ascii="仿宋_GB2312" w:eastAsia="仿宋_GB2312" w:hAnsi="仿宋_GB2312" w:cs="仿宋_GB2312"/>
          <w:color w:val="000000"/>
          <w:sz w:val="32"/>
          <w:szCs w:val="32"/>
        </w:rPr>
      </w:pPr>
    </w:p>
    <w:p w14:paraId="4CA99F01" w14:textId="77777777" w:rsidR="00D61260" w:rsidRDefault="007021BF">
      <w:pPr>
        <w:ind w:firstLineChars="200" w:firstLine="640"/>
        <w:rPr>
          <w:rFonts w:ascii="仿宋_GB2312" w:eastAsia="仿宋_GB2312" w:hAnsi="仿宋_GB2312" w:cs="仿宋_GB2312"/>
          <w:color w:val="000000"/>
          <w:sz w:val="32"/>
          <w:szCs w:val="32"/>
        </w:rPr>
      </w:pPr>
      <w:r>
        <w:rPr>
          <w:rStyle w:val="a7"/>
          <w:rFonts w:ascii="黑体" w:eastAsia="黑体" w:hAnsi="黑体" w:cs="黑体" w:hint="eastAsia"/>
          <w:b w:val="0"/>
          <w:color w:val="000000"/>
          <w:sz w:val="32"/>
          <w:szCs w:val="32"/>
        </w:rPr>
        <w:t>第</w:t>
      </w:r>
      <w:r>
        <w:rPr>
          <w:rStyle w:val="a7"/>
          <w:rFonts w:ascii="黑体" w:eastAsia="黑体" w:hAnsi="黑体" w:cs="黑体" w:hint="eastAsia"/>
          <w:b w:val="0"/>
          <w:color w:val="000000"/>
          <w:sz w:val="32"/>
          <w:szCs w:val="32"/>
        </w:rPr>
        <w:t>十</w:t>
      </w:r>
      <w:r>
        <w:rPr>
          <w:rStyle w:val="a7"/>
          <w:rFonts w:ascii="黑体" w:eastAsia="黑体" w:hAnsi="黑体" w:cs="黑体" w:hint="eastAsia"/>
          <w:b w:val="0"/>
          <w:color w:val="000000"/>
          <w:sz w:val="32"/>
          <w:szCs w:val="32"/>
        </w:rPr>
        <w:t>条</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证券公司经营融资融券业务，应当以自己的名义，在证券登记结算机构分别开立融券专用证券账户、客户信用交易担保证券账户、信用交易证券交收账户和信用交易资金交收账户。</w:t>
      </w:r>
      <w:r>
        <w:rPr>
          <w:rFonts w:ascii="仿宋_GB2312" w:eastAsia="仿宋_GB2312" w:hAnsi="仿宋_GB2312" w:cs="仿宋_GB2312" w:hint="eastAsia"/>
          <w:color w:val="000000"/>
          <w:sz w:val="32"/>
          <w:szCs w:val="32"/>
        </w:rPr>
        <w:t xml:space="preserve"> </w:t>
      </w:r>
    </w:p>
    <w:p w14:paraId="2245B7BE" w14:textId="77777777" w:rsidR="00D61260" w:rsidRDefault="007021B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融券专用证券账户用于记录证券公司持有的拟向客户融出的证券和客户归还的证券，不得用于证券买卖；客户信用交易担保证券账户用于记录客户委托证券公司持有、担保证券公司因向客户融资融券所生债权的证券；信用交易证券交收账户用于客户融资融券交易的证券结算；信用交易资金交收账户用于客户融资融券交易的资金结算。</w:t>
      </w:r>
    </w:p>
    <w:p w14:paraId="67A6A759" w14:textId="77777777" w:rsidR="00D61260" w:rsidRDefault="007021BF">
      <w:pPr>
        <w:ind w:firstLineChars="200" w:firstLine="640"/>
        <w:rPr>
          <w:rFonts w:ascii="仿宋_GB2312" w:eastAsia="仿宋_GB2312" w:hAnsi="仿宋_GB2312" w:cs="仿宋_GB2312"/>
          <w:color w:val="000000"/>
          <w:sz w:val="32"/>
          <w:szCs w:val="32"/>
        </w:rPr>
      </w:pPr>
      <w:r>
        <w:rPr>
          <w:rStyle w:val="a7"/>
          <w:rFonts w:ascii="黑体" w:eastAsia="黑体" w:hAnsi="黑体" w:cs="黑体" w:hint="eastAsia"/>
          <w:b w:val="0"/>
          <w:color w:val="000000"/>
          <w:sz w:val="32"/>
          <w:szCs w:val="32"/>
        </w:rPr>
        <w:lastRenderedPageBreak/>
        <w:t>第十</w:t>
      </w:r>
      <w:r>
        <w:rPr>
          <w:rStyle w:val="a7"/>
          <w:rFonts w:ascii="黑体" w:eastAsia="黑体" w:hAnsi="黑体" w:cs="黑体" w:hint="eastAsia"/>
          <w:b w:val="0"/>
          <w:color w:val="000000"/>
          <w:sz w:val="32"/>
          <w:szCs w:val="32"/>
        </w:rPr>
        <w:t>一</w:t>
      </w:r>
      <w:r>
        <w:rPr>
          <w:rStyle w:val="a7"/>
          <w:rFonts w:ascii="黑体" w:eastAsia="黑体" w:hAnsi="黑体" w:cs="黑体" w:hint="eastAsia"/>
          <w:b w:val="0"/>
          <w:color w:val="000000"/>
          <w:sz w:val="32"/>
          <w:szCs w:val="32"/>
        </w:rPr>
        <w:t>条</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证券公司经营融资融券业务，应当以自己的名义，在商业银行分别开立融资专用资金账户和客户信用交易担保资金账户。</w:t>
      </w:r>
      <w:r>
        <w:rPr>
          <w:rFonts w:ascii="仿宋_GB2312" w:eastAsia="仿宋_GB2312" w:hAnsi="仿宋_GB2312" w:cs="仿宋_GB2312" w:hint="eastAsia"/>
          <w:color w:val="000000"/>
          <w:sz w:val="32"/>
          <w:szCs w:val="32"/>
        </w:rPr>
        <w:t xml:space="preserve"> </w:t>
      </w:r>
    </w:p>
    <w:p w14:paraId="7F6EEB6D" w14:textId="77777777" w:rsidR="00D61260" w:rsidRDefault="007021B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融资专用资金账户用于存放证券公司拟向客户融出的资金及客户归还的资金；客户信用交易担保资金账户用</w:t>
      </w:r>
      <w:r>
        <w:rPr>
          <w:rFonts w:ascii="仿宋_GB2312" w:eastAsia="仿宋_GB2312" w:hAnsi="仿宋_GB2312" w:cs="仿宋_GB2312" w:hint="eastAsia"/>
          <w:color w:val="000000"/>
          <w:sz w:val="32"/>
          <w:szCs w:val="32"/>
        </w:rPr>
        <w:t>于存放客户交存的、担保证券公司因向客户融资融券所生债权的资金。</w:t>
      </w:r>
    </w:p>
    <w:p w14:paraId="5D4ABC97" w14:textId="77777777" w:rsidR="00D61260" w:rsidRDefault="007021BF">
      <w:pPr>
        <w:ind w:firstLineChars="200" w:firstLine="640"/>
        <w:rPr>
          <w:rFonts w:ascii="仿宋_GB2312" w:eastAsia="仿宋_GB2312" w:hAnsi="仿宋_GB2312" w:cs="仿宋_GB2312"/>
          <w:color w:val="000000"/>
          <w:sz w:val="32"/>
          <w:szCs w:val="32"/>
        </w:rPr>
      </w:pPr>
      <w:r>
        <w:rPr>
          <w:rStyle w:val="a7"/>
          <w:rFonts w:ascii="黑体" w:eastAsia="黑体" w:hAnsi="黑体" w:cs="黑体" w:hint="eastAsia"/>
          <w:b w:val="0"/>
          <w:color w:val="000000"/>
          <w:sz w:val="32"/>
          <w:szCs w:val="32"/>
        </w:rPr>
        <w:t>第十</w:t>
      </w:r>
      <w:r>
        <w:rPr>
          <w:rStyle w:val="a7"/>
          <w:rFonts w:ascii="黑体" w:eastAsia="黑体" w:hAnsi="黑体" w:cs="黑体" w:hint="eastAsia"/>
          <w:b w:val="0"/>
          <w:color w:val="000000"/>
          <w:sz w:val="32"/>
          <w:szCs w:val="32"/>
        </w:rPr>
        <w:t>二</w:t>
      </w:r>
      <w:r>
        <w:rPr>
          <w:rStyle w:val="a7"/>
          <w:rFonts w:ascii="黑体" w:eastAsia="黑体" w:hAnsi="黑体" w:cs="黑体" w:hint="eastAsia"/>
          <w:b w:val="0"/>
          <w:color w:val="000000"/>
          <w:sz w:val="32"/>
          <w:szCs w:val="32"/>
        </w:rPr>
        <w:t>条</w:t>
      </w:r>
      <w:r>
        <w:rPr>
          <w:rStyle w:val="a7"/>
          <w:rFonts w:ascii="黑体" w:eastAsia="黑体" w:hAnsi="黑体" w:cs="黑体" w:hint="eastAsia"/>
          <w:b w:val="0"/>
          <w:color w:val="000000"/>
          <w:sz w:val="32"/>
          <w:szCs w:val="32"/>
        </w:rPr>
        <w:t xml:space="preserve"> </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证券公司在向客户融资、融券前，应当办理客户征信，了解客户的身份、财产与收入状况、证券投资经验和风险偏好、诚信合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记录等情况，做好客户适当性管理工作，并以书面</w:t>
      </w:r>
      <w:r>
        <w:rPr>
          <w:rFonts w:ascii="仿宋_GB2312" w:eastAsia="仿宋_GB2312" w:hAnsi="仿宋_GB2312" w:cs="仿宋_GB2312" w:hint="eastAsia"/>
          <w:color w:val="000000"/>
          <w:sz w:val="32"/>
          <w:szCs w:val="32"/>
        </w:rPr>
        <w:t>或者</w:t>
      </w:r>
      <w:r>
        <w:rPr>
          <w:rFonts w:ascii="仿宋_GB2312" w:eastAsia="仿宋_GB2312" w:hAnsi="仿宋_GB2312" w:cs="仿宋_GB2312" w:hint="eastAsia"/>
          <w:color w:val="000000"/>
          <w:sz w:val="32"/>
          <w:szCs w:val="32"/>
        </w:rPr>
        <w:t>电子方式予以记载、保存。</w:t>
      </w:r>
    </w:p>
    <w:p w14:paraId="1731E0C6" w14:textId="77777777" w:rsidR="00D61260" w:rsidRDefault="007021B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对未按照要求提供有关情况、从事证券交易时间不足半年、缺乏风险承担能力</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lang w:val="zh-CN"/>
        </w:rPr>
        <w:t>最近</w:t>
      </w:r>
      <w:r>
        <w:rPr>
          <w:rFonts w:ascii="仿宋_GB2312" w:eastAsia="仿宋_GB2312" w:hAnsi="仿宋_GB2312" w:cs="仿宋_GB2312" w:hint="eastAsia"/>
          <w:color w:val="000000"/>
          <w:sz w:val="32"/>
          <w:szCs w:val="32"/>
        </w:rPr>
        <w:t>20</w:t>
      </w:r>
      <w:r>
        <w:rPr>
          <w:rFonts w:ascii="仿宋_GB2312" w:eastAsia="仿宋_GB2312" w:hAnsi="仿宋_GB2312" w:cs="仿宋_GB2312" w:hint="eastAsia"/>
          <w:color w:val="000000"/>
          <w:sz w:val="32"/>
          <w:szCs w:val="32"/>
        </w:rPr>
        <w:t>个交易日日均证券类资产低于</w:t>
      </w:r>
      <w:r>
        <w:rPr>
          <w:rFonts w:ascii="仿宋_GB2312" w:eastAsia="仿宋_GB2312" w:hAnsi="仿宋_GB2312" w:cs="仿宋_GB2312" w:hint="eastAsia"/>
          <w:color w:val="000000"/>
          <w:sz w:val="32"/>
          <w:szCs w:val="32"/>
        </w:rPr>
        <w:t>50</w:t>
      </w:r>
      <w:r>
        <w:rPr>
          <w:rFonts w:ascii="仿宋_GB2312" w:eastAsia="仿宋_GB2312" w:hAnsi="仿宋_GB2312" w:cs="仿宋_GB2312" w:hint="eastAsia"/>
          <w:color w:val="000000"/>
          <w:sz w:val="32"/>
          <w:szCs w:val="32"/>
        </w:rPr>
        <w:t>万元</w:t>
      </w:r>
      <w:r>
        <w:rPr>
          <w:rFonts w:ascii="仿宋_GB2312" w:eastAsia="仿宋_GB2312" w:hAnsi="仿宋_GB2312" w:cs="仿宋_GB2312" w:hint="eastAsia"/>
          <w:color w:val="000000"/>
          <w:sz w:val="32"/>
          <w:szCs w:val="32"/>
        </w:rPr>
        <w:t>或者有重大违约记录的客户，以及本公司的股东、关联人，证券公司不得</w:t>
      </w:r>
      <w:r>
        <w:rPr>
          <w:rFonts w:ascii="仿宋_GB2312" w:eastAsia="仿宋_GB2312" w:hAnsi="仿宋_GB2312" w:cs="仿宋_GB2312" w:hint="eastAsia"/>
          <w:color w:val="000000"/>
          <w:sz w:val="32"/>
          <w:szCs w:val="32"/>
        </w:rPr>
        <w:t>为其开立信用账户。</w:t>
      </w:r>
    </w:p>
    <w:p w14:paraId="6F88BF54" w14:textId="77777777" w:rsidR="00D61260" w:rsidRDefault="007021B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专业机构投资者</w:t>
      </w:r>
      <w:r>
        <w:rPr>
          <w:rFonts w:ascii="仿宋_GB2312" w:eastAsia="仿宋_GB2312" w:hAnsi="仿宋_GB2312" w:cs="仿宋_GB2312" w:hint="eastAsia"/>
          <w:color w:val="000000"/>
          <w:sz w:val="32"/>
          <w:szCs w:val="32"/>
        </w:rPr>
        <w:t>参与融资、融券，可不受</w:t>
      </w:r>
      <w:r>
        <w:rPr>
          <w:rFonts w:ascii="仿宋_GB2312" w:eastAsia="仿宋_GB2312" w:hAnsi="仿宋_GB2312" w:cs="仿宋_GB2312" w:hint="eastAsia"/>
          <w:color w:val="000000"/>
          <w:sz w:val="32"/>
          <w:szCs w:val="32"/>
        </w:rPr>
        <w:t>前</w:t>
      </w:r>
      <w:r>
        <w:rPr>
          <w:rFonts w:ascii="仿宋_GB2312" w:eastAsia="仿宋_GB2312" w:hAnsi="仿宋_GB2312" w:cs="仿宋_GB2312" w:hint="eastAsia"/>
          <w:color w:val="000000"/>
          <w:sz w:val="32"/>
          <w:szCs w:val="32"/>
        </w:rPr>
        <w:t>款从事证券交易时间</w:t>
      </w:r>
      <w:r>
        <w:rPr>
          <w:rFonts w:ascii="仿宋_GB2312" w:eastAsia="仿宋_GB2312" w:hAnsi="仿宋_GB2312" w:cs="仿宋_GB2312" w:hint="eastAsia"/>
          <w:color w:val="000000"/>
          <w:sz w:val="32"/>
          <w:szCs w:val="32"/>
        </w:rPr>
        <w:t>、证券类资产</w:t>
      </w:r>
      <w:r>
        <w:rPr>
          <w:rFonts w:ascii="仿宋_GB2312" w:eastAsia="仿宋_GB2312" w:hAnsi="仿宋_GB2312" w:cs="仿宋_GB2312" w:hint="eastAsia"/>
          <w:color w:val="000000"/>
          <w:sz w:val="32"/>
          <w:szCs w:val="32"/>
        </w:rPr>
        <w:t>的条件限制。</w:t>
      </w:r>
    </w:p>
    <w:p w14:paraId="6C20EA94" w14:textId="77777777" w:rsidR="00D61260" w:rsidRDefault="007021B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本条第二</w:t>
      </w:r>
      <w:r>
        <w:rPr>
          <w:rFonts w:ascii="仿宋_GB2312" w:eastAsia="仿宋_GB2312" w:hAnsi="仿宋_GB2312" w:cs="仿宋_GB2312" w:hint="eastAsia"/>
          <w:color w:val="000000"/>
          <w:sz w:val="32"/>
          <w:szCs w:val="32"/>
        </w:rPr>
        <w:t>款所称股东，不包括仅持有上市证券公司</w:t>
      </w:r>
      <w:r>
        <w:rPr>
          <w:rFonts w:ascii="仿宋_GB2312" w:eastAsia="仿宋_GB2312" w:hAnsi="仿宋_GB2312" w:cs="仿宋_GB2312" w:hint="eastAsia"/>
          <w:color w:val="000000"/>
          <w:sz w:val="32"/>
          <w:szCs w:val="32"/>
        </w:rPr>
        <w:t>5%</w:t>
      </w:r>
      <w:r>
        <w:rPr>
          <w:rFonts w:ascii="仿宋_GB2312" w:eastAsia="仿宋_GB2312" w:hAnsi="仿宋_GB2312" w:cs="仿宋_GB2312" w:hint="eastAsia"/>
          <w:color w:val="000000"/>
          <w:sz w:val="32"/>
          <w:szCs w:val="32"/>
        </w:rPr>
        <w:t>以下流通股份的股东。</w:t>
      </w:r>
    </w:p>
    <w:p w14:paraId="45D433B7" w14:textId="77777777" w:rsidR="00D61260" w:rsidRDefault="007021B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证券公司应当</w:t>
      </w:r>
      <w:r>
        <w:rPr>
          <w:rFonts w:ascii="仿宋_GB2312" w:eastAsia="仿宋_GB2312" w:hAnsi="仿宋_GB2312" w:cs="仿宋_GB2312" w:hint="eastAsia"/>
          <w:color w:val="000000"/>
          <w:sz w:val="32"/>
          <w:szCs w:val="32"/>
        </w:rPr>
        <w:t>按照适当性制度要求，</w:t>
      </w:r>
      <w:r>
        <w:rPr>
          <w:rFonts w:ascii="仿宋_GB2312" w:eastAsia="仿宋_GB2312" w:hAnsi="仿宋_GB2312" w:cs="仿宋_GB2312" w:hint="eastAsia"/>
          <w:color w:val="000000"/>
          <w:sz w:val="32"/>
          <w:szCs w:val="32"/>
        </w:rPr>
        <w:t>制定符合本条规定的选</w:t>
      </w:r>
      <w:r>
        <w:rPr>
          <w:rFonts w:ascii="仿宋_GB2312" w:eastAsia="仿宋_GB2312" w:hAnsi="仿宋_GB2312" w:cs="仿宋_GB2312" w:hint="eastAsia"/>
          <w:color w:val="000000"/>
          <w:sz w:val="32"/>
          <w:szCs w:val="32"/>
        </w:rPr>
        <w:lastRenderedPageBreak/>
        <w:t>择客户的具体标准。</w:t>
      </w:r>
    </w:p>
    <w:p w14:paraId="78D0C85F" w14:textId="77777777" w:rsidR="00D61260" w:rsidRDefault="007021BF">
      <w:pPr>
        <w:ind w:firstLineChars="200" w:firstLine="640"/>
        <w:rPr>
          <w:rFonts w:ascii="仿宋_GB2312" w:eastAsia="仿宋_GB2312" w:hAnsi="仿宋_GB2312" w:cs="仿宋_GB2312"/>
          <w:color w:val="000000"/>
          <w:sz w:val="32"/>
          <w:szCs w:val="32"/>
        </w:rPr>
      </w:pPr>
      <w:r>
        <w:rPr>
          <w:rStyle w:val="a7"/>
          <w:rFonts w:ascii="黑体" w:eastAsia="黑体" w:hAnsi="黑体" w:cs="黑体" w:hint="eastAsia"/>
          <w:b w:val="0"/>
          <w:color w:val="000000"/>
          <w:sz w:val="32"/>
          <w:szCs w:val="32"/>
        </w:rPr>
        <w:t>第十</w:t>
      </w:r>
      <w:r>
        <w:rPr>
          <w:rStyle w:val="a7"/>
          <w:rFonts w:ascii="黑体" w:eastAsia="黑体" w:hAnsi="黑体" w:cs="黑体" w:hint="eastAsia"/>
          <w:b w:val="0"/>
          <w:color w:val="000000"/>
          <w:sz w:val="32"/>
          <w:szCs w:val="32"/>
        </w:rPr>
        <w:t>三</w:t>
      </w:r>
      <w:r>
        <w:rPr>
          <w:rStyle w:val="a7"/>
          <w:rFonts w:ascii="黑体" w:eastAsia="黑体" w:hAnsi="黑体" w:cs="黑体" w:hint="eastAsia"/>
          <w:b w:val="0"/>
          <w:color w:val="000000"/>
          <w:sz w:val="32"/>
          <w:szCs w:val="32"/>
        </w:rPr>
        <w:t>条</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证券公司在向客户融资、融券前，应当与其签订载</w:t>
      </w:r>
      <w:r>
        <w:rPr>
          <w:rFonts w:ascii="仿宋_GB2312" w:eastAsia="仿宋_GB2312" w:hAnsi="仿宋_GB2312" w:cs="仿宋_GB2312" w:hint="eastAsia"/>
          <w:color w:val="000000"/>
          <w:sz w:val="32"/>
          <w:szCs w:val="32"/>
        </w:rPr>
        <w:t>有</w:t>
      </w:r>
      <w:r>
        <w:rPr>
          <w:rFonts w:ascii="仿宋_GB2312" w:eastAsia="仿宋_GB2312" w:hAnsi="仿宋_GB2312" w:cs="仿宋_GB2312" w:hint="eastAsia"/>
          <w:color w:val="000000"/>
          <w:sz w:val="32"/>
          <w:szCs w:val="32"/>
        </w:rPr>
        <w:t>中国证券业协会规定的必备条款的融资融券合同，明确约定下列事项：</w:t>
      </w:r>
      <w:r>
        <w:rPr>
          <w:rFonts w:ascii="仿宋_GB2312" w:eastAsia="仿宋_GB2312" w:hAnsi="仿宋_GB2312" w:cs="仿宋_GB2312" w:hint="eastAsia"/>
          <w:color w:val="000000"/>
          <w:sz w:val="32"/>
          <w:szCs w:val="32"/>
        </w:rPr>
        <w:t xml:space="preserve"> </w:t>
      </w:r>
    </w:p>
    <w:p w14:paraId="7CA3DCFE" w14:textId="77777777" w:rsidR="00D61260" w:rsidRDefault="007021B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（一）融资、融券的额度、期限、利率（费率）、利息（费用）的计算方式；</w:t>
      </w:r>
      <w:r>
        <w:rPr>
          <w:rFonts w:ascii="仿宋_GB2312" w:eastAsia="仿宋_GB2312" w:hAnsi="仿宋_GB2312" w:cs="仿宋_GB2312" w:hint="eastAsia"/>
          <w:color w:val="000000"/>
          <w:sz w:val="32"/>
          <w:szCs w:val="32"/>
        </w:rPr>
        <w:t xml:space="preserve"> </w:t>
      </w:r>
    </w:p>
    <w:p w14:paraId="3561FF79" w14:textId="77777777" w:rsidR="00D61260" w:rsidRDefault="007021B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（二）保证金比例、维持担保比例、可充抵保证金的证券的种类及折算率、担保债权范围；</w:t>
      </w:r>
      <w:r>
        <w:rPr>
          <w:rFonts w:ascii="仿宋_GB2312" w:eastAsia="仿宋_GB2312" w:hAnsi="仿宋_GB2312" w:cs="仿宋_GB2312" w:hint="eastAsia"/>
          <w:color w:val="000000"/>
          <w:sz w:val="32"/>
          <w:szCs w:val="32"/>
        </w:rPr>
        <w:t xml:space="preserve"> </w:t>
      </w:r>
    </w:p>
    <w:p w14:paraId="0B92A0E6" w14:textId="77777777" w:rsidR="00D61260" w:rsidRDefault="007021B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（三）追加保证金的通知</w:t>
      </w:r>
      <w:r>
        <w:rPr>
          <w:rFonts w:ascii="仿宋_GB2312" w:eastAsia="仿宋_GB2312" w:hAnsi="仿宋_GB2312" w:cs="仿宋_GB2312" w:hint="eastAsia"/>
          <w:color w:val="000000"/>
          <w:sz w:val="32"/>
          <w:szCs w:val="32"/>
        </w:rPr>
        <w:t>方式、追加保证金的期限；</w:t>
      </w:r>
      <w:r>
        <w:rPr>
          <w:rFonts w:ascii="仿宋_GB2312" w:eastAsia="仿宋_GB2312" w:hAnsi="仿宋_GB2312" w:cs="仿宋_GB2312" w:hint="eastAsia"/>
          <w:color w:val="000000"/>
          <w:sz w:val="32"/>
          <w:szCs w:val="32"/>
        </w:rPr>
        <w:t xml:space="preserve"> </w:t>
      </w:r>
    </w:p>
    <w:p w14:paraId="1333462A" w14:textId="77777777" w:rsidR="00D61260" w:rsidRDefault="007021B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（四）客户清偿债务的方式及证券公司对担保物的处分权利；</w:t>
      </w:r>
      <w:r>
        <w:rPr>
          <w:rFonts w:ascii="仿宋_GB2312" w:eastAsia="仿宋_GB2312" w:hAnsi="仿宋_GB2312" w:cs="仿宋_GB2312" w:hint="eastAsia"/>
          <w:color w:val="000000"/>
          <w:sz w:val="32"/>
          <w:szCs w:val="32"/>
        </w:rPr>
        <w:t xml:space="preserve"> </w:t>
      </w:r>
    </w:p>
    <w:p w14:paraId="31176BFC" w14:textId="77777777" w:rsidR="00D61260" w:rsidRDefault="007021B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（五）融资买入证券和融券卖出证券的权益处理；</w:t>
      </w:r>
    </w:p>
    <w:p w14:paraId="6A967B42" w14:textId="77777777" w:rsidR="00D61260" w:rsidRDefault="007021B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（六）违约责任；</w:t>
      </w:r>
    </w:p>
    <w:p w14:paraId="2A039594" w14:textId="77777777" w:rsidR="00D61260" w:rsidRDefault="007021B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（七）纠纷解决途径；</w:t>
      </w:r>
    </w:p>
    <w:p w14:paraId="668E193E" w14:textId="77777777" w:rsidR="00D61260" w:rsidRDefault="007021B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八</w:t>
      </w:r>
      <w:r>
        <w:rPr>
          <w:rFonts w:ascii="仿宋_GB2312" w:eastAsia="仿宋_GB2312" w:hAnsi="仿宋_GB2312" w:cs="仿宋_GB2312" w:hint="eastAsia"/>
          <w:color w:val="000000"/>
          <w:sz w:val="32"/>
          <w:szCs w:val="32"/>
        </w:rPr>
        <w:t>）其他有关事项。</w:t>
      </w:r>
      <w:r>
        <w:rPr>
          <w:rFonts w:ascii="仿宋_GB2312" w:eastAsia="仿宋_GB2312" w:hAnsi="仿宋_GB2312" w:cs="仿宋_GB2312" w:hint="eastAsia"/>
          <w:color w:val="000000"/>
          <w:sz w:val="32"/>
          <w:szCs w:val="32"/>
        </w:rPr>
        <w:t xml:space="preserve"> </w:t>
      </w:r>
    </w:p>
    <w:p w14:paraId="746B4E7D" w14:textId="77777777" w:rsidR="00D61260" w:rsidRDefault="007021BF">
      <w:pPr>
        <w:ind w:firstLineChars="200" w:firstLine="640"/>
        <w:rPr>
          <w:rFonts w:ascii="仿宋_GB2312" w:eastAsia="仿宋_GB2312" w:hAnsi="仿宋_GB2312" w:cs="仿宋_GB2312"/>
          <w:color w:val="000000"/>
          <w:sz w:val="32"/>
          <w:szCs w:val="32"/>
        </w:rPr>
      </w:pPr>
      <w:r>
        <w:rPr>
          <w:rStyle w:val="a7"/>
          <w:rFonts w:ascii="黑体" w:eastAsia="黑体" w:hAnsi="黑体" w:cs="黑体" w:hint="eastAsia"/>
          <w:b w:val="0"/>
          <w:color w:val="000000"/>
          <w:sz w:val="32"/>
          <w:szCs w:val="32"/>
        </w:rPr>
        <w:t>第十</w:t>
      </w:r>
      <w:r>
        <w:rPr>
          <w:rStyle w:val="a7"/>
          <w:rFonts w:ascii="黑体" w:eastAsia="黑体" w:hAnsi="黑体" w:cs="黑体" w:hint="eastAsia"/>
          <w:b w:val="0"/>
          <w:color w:val="000000"/>
          <w:sz w:val="32"/>
          <w:szCs w:val="32"/>
        </w:rPr>
        <w:t>四</w:t>
      </w:r>
      <w:r>
        <w:rPr>
          <w:rStyle w:val="a7"/>
          <w:rFonts w:ascii="黑体" w:eastAsia="黑体" w:hAnsi="黑体" w:cs="黑体" w:hint="eastAsia"/>
          <w:b w:val="0"/>
          <w:color w:val="000000"/>
          <w:sz w:val="32"/>
          <w:szCs w:val="32"/>
        </w:rPr>
        <w:t>条</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融资融券合同应当约定，证券公司客户信用交易担保证券账户内的证券和客户信用交易担保资金账户内的资金，为担保证券公司因融资融券所生对客户债权的信托财产。</w:t>
      </w:r>
    </w:p>
    <w:p w14:paraId="53AF11FC" w14:textId="77777777" w:rsidR="00D61260" w:rsidRDefault="007021B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证券公司与客户约定的融资、融券期限不得超过证券交易所</w:t>
      </w:r>
      <w:r>
        <w:rPr>
          <w:rFonts w:ascii="仿宋_GB2312" w:eastAsia="仿宋_GB2312" w:hAnsi="仿宋_GB2312" w:cs="仿宋_GB2312" w:hint="eastAsia"/>
          <w:color w:val="000000"/>
          <w:sz w:val="32"/>
          <w:szCs w:val="32"/>
        </w:rPr>
        <w:lastRenderedPageBreak/>
        <w:t>规定的期限；融资利率</w:t>
      </w:r>
      <w:r>
        <w:rPr>
          <w:rFonts w:ascii="仿宋_GB2312" w:eastAsia="仿宋_GB2312" w:hAnsi="仿宋_GB2312" w:cs="仿宋_GB2312" w:hint="eastAsia"/>
          <w:color w:val="000000"/>
          <w:sz w:val="32"/>
          <w:szCs w:val="32"/>
        </w:rPr>
        <w:t>、融券费率由证券公司与客户自主商定</w:t>
      </w:r>
      <w:r>
        <w:rPr>
          <w:rFonts w:ascii="仿宋_GB2312" w:eastAsia="仿宋_GB2312" w:hAnsi="仿宋_GB2312" w:cs="仿宋_GB2312" w:hint="eastAsia"/>
          <w:color w:val="000000"/>
          <w:sz w:val="32"/>
          <w:szCs w:val="32"/>
        </w:rPr>
        <w:t>。</w:t>
      </w:r>
    </w:p>
    <w:p w14:paraId="7E51E50F" w14:textId="77777777" w:rsidR="00D61260" w:rsidRDefault="007021B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合约到期</w:t>
      </w:r>
      <w:r>
        <w:rPr>
          <w:rFonts w:ascii="仿宋_GB2312" w:eastAsia="仿宋_GB2312" w:hAnsi="仿宋_GB2312" w:cs="仿宋_GB2312" w:hint="eastAsia"/>
          <w:color w:val="000000"/>
          <w:sz w:val="32"/>
          <w:szCs w:val="32"/>
        </w:rPr>
        <w:t>前</w:t>
      </w:r>
      <w:r>
        <w:rPr>
          <w:rFonts w:ascii="仿宋_GB2312" w:eastAsia="仿宋_GB2312" w:hAnsi="仿宋_GB2312" w:cs="仿宋_GB2312" w:hint="eastAsia"/>
          <w:color w:val="000000"/>
          <w:sz w:val="32"/>
          <w:szCs w:val="32"/>
        </w:rPr>
        <w:t>，证券公司可以根据客户的申请为客户</w:t>
      </w:r>
      <w:r>
        <w:rPr>
          <w:rFonts w:ascii="仿宋_GB2312" w:eastAsia="仿宋_GB2312" w:hAnsi="仿宋_GB2312" w:cs="仿宋_GB2312" w:hint="eastAsia"/>
          <w:color w:val="000000"/>
          <w:sz w:val="32"/>
          <w:szCs w:val="32"/>
        </w:rPr>
        <w:t>办理展期，</w:t>
      </w:r>
      <w:r>
        <w:rPr>
          <w:rFonts w:ascii="仿宋_GB2312" w:eastAsia="仿宋_GB2312" w:hAnsi="仿宋_GB2312" w:cs="仿宋_GB2312" w:hint="eastAsia"/>
          <w:color w:val="000000"/>
          <w:sz w:val="32"/>
          <w:szCs w:val="32"/>
        </w:rPr>
        <w:t>每次</w:t>
      </w:r>
      <w:r>
        <w:rPr>
          <w:rFonts w:ascii="仿宋_GB2312" w:eastAsia="仿宋_GB2312" w:hAnsi="仿宋_GB2312" w:cs="仿宋_GB2312" w:hint="eastAsia"/>
          <w:color w:val="000000"/>
          <w:sz w:val="32"/>
          <w:szCs w:val="32"/>
        </w:rPr>
        <w:t>展期期限不得超过证券交易所规定的期限。</w:t>
      </w:r>
    </w:p>
    <w:p w14:paraId="26CD5B99" w14:textId="77777777" w:rsidR="00D61260" w:rsidRDefault="007021B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证券公司在为客户办理合约展期前，应当对客户的信用状况、负债情况、维持担保比例水平等进行评估。</w:t>
      </w:r>
    </w:p>
    <w:p w14:paraId="2F3FCCD5" w14:textId="77777777" w:rsidR="00D61260" w:rsidRDefault="007021BF">
      <w:pPr>
        <w:ind w:firstLineChars="200" w:firstLine="640"/>
        <w:rPr>
          <w:rFonts w:ascii="仿宋_GB2312" w:eastAsia="仿宋_GB2312" w:hAnsi="仿宋_GB2312" w:cs="仿宋_GB2312"/>
          <w:color w:val="000000"/>
          <w:sz w:val="32"/>
          <w:szCs w:val="32"/>
        </w:rPr>
      </w:pPr>
      <w:r>
        <w:rPr>
          <w:rStyle w:val="a7"/>
          <w:rFonts w:ascii="黑体" w:eastAsia="黑体" w:hAnsi="黑体" w:cs="黑体" w:hint="eastAsia"/>
          <w:b w:val="0"/>
          <w:color w:val="000000"/>
          <w:sz w:val="32"/>
          <w:szCs w:val="32"/>
        </w:rPr>
        <w:t>第十</w:t>
      </w:r>
      <w:r>
        <w:rPr>
          <w:rStyle w:val="a7"/>
          <w:rFonts w:ascii="黑体" w:eastAsia="黑体" w:hAnsi="黑体" w:cs="黑体" w:hint="eastAsia"/>
          <w:b w:val="0"/>
          <w:color w:val="000000"/>
          <w:sz w:val="32"/>
          <w:szCs w:val="32"/>
        </w:rPr>
        <w:t>五</w:t>
      </w:r>
      <w:r>
        <w:rPr>
          <w:rStyle w:val="a7"/>
          <w:rFonts w:ascii="黑体" w:eastAsia="黑体" w:hAnsi="黑体" w:cs="黑体" w:hint="eastAsia"/>
          <w:b w:val="0"/>
          <w:color w:val="000000"/>
          <w:sz w:val="32"/>
          <w:szCs w:val="32"/>
        </w:rPr>
        <w:t>条</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证券公司与客户签订融资融券合同前，</w:t>
      </w:r>
      <w:r>
        <w:rPr>
          <w:rFonts w:ascii="仿宋_GB2312" w:eastAsia="仿宋_GB2312" w:hAnsi="仿宋_GB2312" w:cs="仿宋_GB2312" w:hint="eastAsia"/>
          <w:color w:val="000000"/>
          <w:sz w:val="32"/>
          <w:szCs w:val="32"/>
        </w:rPr>
        <w:t>应当采用适当的方式</w:t>
      </w:r>
      <w:r>
        <w:rPr>
          <w:rFonts w:ascii="仿宋_GB2312" w:eastAsia="仿宋_GB2312" w:hAnsi="仿宋_GB2312" w:cs="仿宋_GB2312" w:hint="eastAsia"/>
          <w:color w:val="000000"/>
          <w:sz w:val="32"/>
          <w:szCs w:val="32"/>
        </w:rPr>
        <w:t>向客户讲解业务规则和合同内容，</w:t>
      </w:r>
      <w:r>
        <w:rPr>
          <w:rFonts w:ascii="仿宋_GB2312" w:eastAsia="仿宋_GB2312" w:hAnsi="仿宋_GB2312" w:cs="仿宋_GB2312" w:hint="eastAsia"/>
          <w:color w:val="000000"/>
          <w:sz w:val="32"/>
          <w:szCs w:val="32"/>
        </w:rPr>
        <w:t>明确告知客户权利、义务及风险，特别是关于</w:t>
      </w:r>
      <w:r>
        <w:rPr>
          <w:rFonts w:ascii="仿宋_GB2312" w:eastAsia="仿宋_GB2312" w:hAnsi="仿宋_GB2312" w:cs="仿宋_GB2312" w:hint="eastAsia"/>
          <w:color w:val="000000"/>
          <w:sz w:val="32"/>
          <w:szCs w:val="32"/>
        </w:rPr>
        <w:t>违约处置</w:t>
      </w:r>
      <w:r>
        <w:rPr>
          <w:rFonts w:ascii="仿宋_GB2312" w:eastAsia="仿宋_GB2312" w:hAnsi="仿宋_GB2312" w:cs="仿宋_GB2312" w:hint="eastAsia"/>
          <w:color w:val="000000"/>
          <w:sz w:val="32"/>
          <w:szCs w:val="32"/>
        </w:rPr>
        <w:t>的风险控制安排，</w:t>
      </w:r>
      <w:r>
        <w:rPr>
          <w:rFonts w:ascii="仿宋_GB2312" w:eastAsia="仿宋_GB2312" w:hAnsi="仿宋_GB2312" w:cs="仿宋_GB2312" w:hint="eastAsia"/>
          <w:color w:val="000000"/>
          <w:sz w:val="32"/>
          <w:szCs w:val="32"/>
        </w:rPr>
        <w:t>并将融资融券交易风险揭示书交由客户</w:t>
      </w:r>
      <w:r>
        <w:rPr>
          <w:rFonts w:ascii="仿宋_GB2312" w:eastAsia="仿宋_GB2312" w:hAnsi="仿宋_GB2312" w:cs="仿宋_GB2312" w:hint="eastAsia"/>
          <w:color w:val="000000"/>
          <w:sz w:val="32"/>
          <w:szCs w:val="32"/>
        </w:rPr>
        <w:t>书面</w:t>
      </w:r>
      <w:r>
        <w:rPr>
          <w:rFonts w:ascii="仿宋_GB2312" w:eastAsia="仿宋_GB2312" w:hAnsi="仿宋_GB2312" w:cs="仿宋_GB2312" w:hint="eastAsia"/>
          <w:color w:val="000000"/>
          <w:sz w:val="32"/>
          <w:szCs w:val="32"/>
        </w:rPr>
        <w:t>确认。</w:t>
      </w:r>
    </w:p>
    <w:p w14:paraId="3DA1CF76" w14:textId="77777777" w:rsidR="00D61260" w:rsidRDefault="007021BF">
      <w:pPr>
        <w:ind w:firstLineChars="200" w:firstLine="640"/>
        <w:rPr>
          <w:rFonts w:ascii="仿宋_GB2312" w:eastAsia="仿宋_GB2312" w:hAnsi="仿宋_GB2312" w:cs="仿宋_GB2312"/>
          <w:color w:val="000000"/>
          <w:sz w:val="32"/>
          <w:szCs w:val="32"/>
        </w:rPr>
      </w:pPr>
      <w:r>
        <w:rPr>
          <w:rStyle w:val="a7"/>
          <w:rFonts w:ascii="黑体" w:eastAsia="黑体" w:hAnsi="黑体" w:cs="黑体" w:hint="eastAsia"/>
          <w:b w:val="0"/>
          <w:color w:val="000000"/>
          <w:sz w:val="32"/>
          <w:szCs w:val="32"/>
        </w:rPr>
        <w:t>第十</w:t>
      </w:r>
      <w:r>
        <w:rPr>
          <w:rStyle w:val="a7"/>
          <w:rFonts w:ascii="黑体" w:eastAsia="黑体" w:hAnsi="黑体" w:cs="黑体" w:hint="eastAsia"/>
          <w:b w:val="0"/>
          <w:color w:val="000000"/>
          <w:sz w:val="32"/>
          <w:szCs w:val="32"/>
        </w:rPr>
        <w:t>六</w:t>
      </w:r>
      <w:r>
        <w:rPr>
          <w:rStyle w:val="a7"/>
          <w:rFonts w:ascii="黑体" w:eastAsia="黑体" w:hAnsi="黑体" w:cs="黑体" w:hint="eastAsia"/>
          <w:b w:val="0"/>
          <w:color w:val="000000"/>
          <w:sz w:val="32"/>
          <w:szCs w:val="32"/>
        </w:rPr>
        <w:t>条</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证券公司与客户签订融资融券合同后，应当根据客户的申请，按照证券登记结算机构的规定，为其开立实名信用证券账户。客户信用证券账户与其普通证券账户的开户人姓名或者名称应当一致。</w:t>
      </w:r>
    </w:p>
    <w:p w14:paraId="03A0B1AB" w14:textId="77777777" w:rsidR="00D61260" w:rsidRDefault="007021B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客户信用证券账户是证券公司客户信用交易担保证券账户的二级账户，用于记载客户委托证券公司持有的担保证券的明细数据。</w:t>
      </w:r>
    </w:p>
    <w:p w14:paraId="46CCB1C1" w14:textId="77777777" w:rsidR="00D61260" w:rsidRDefault="007021B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证券公司应当委托证券登记结算机构根据清算、交</w:t>
      </w:r>
      <w:proofErr w:type="gramStart"/>
      <w:r>
        <w:rPr>
          <w:rFonts w:ascii="仿宋_GB2312" w:eastAsia="仿宋_GB2312" w:hAnsi="仿宋_GB2312" w:cs="仿宋_GB2312" w:hint="eastAsia"/>
          <w:color w:val="000000"/>
          <w:sz w:val="32"/>
          <w:szCs w:val="32"/>
        </w:rPr>
        <w:t>收结果</w:t>
      </w:r>
      <w:proofErr w:type="gramEnd"/>
      <w:r>
        <w:rPr>
          <w:rFonts w:ascii="仿宋_GB2312" w:eastAsia="仿宋_GB2312" w:hAnsi="仿宋_GB2312" w:cs="仿宋_GB2312" w:hint="eastAsia"/>
          <w:color w:val="000000"/>
          <w:sz w:val="32"/>
          <w:szCs w:val="32"/>
        </w:rPr>
        <w:t>等，对客户信用证券账户内的数据进行变更。</w:t>
      </w:r>
    </w:p>
    <w:p w14:paraId="35CC21A4" w14:textId="77777777" w:rsidR="00D61260" w:rsidRDefault="007021BF">
      <w:pPr>
        <w:ind w:firstLineChars="200" w:firstLine="640"/>
        <w:rPr>
          <w:rFonts w:ascii="仿宋_GB2312" w:eastAsia="仿宋_GB2312" w:hAnsi="仿宋_GB2312" w:cs="仿宋_GB2312"/>
          <w:color w:val="000000"/>
          <w:sz w:val="32"/>
          <w:szCs w:val="32"/>
        </w:rPr>
      </w:pPr>
      <w:r>
        <w:rPr>
          <w:rStyle w:val="a7"/>
          <w:rFonts w:ascii="黑体" w:eastAsia="黑体" w:hAnsi="黑体" w:cs="黑体" w:hint="eastAsia"/>
          <w:b w:val="0"/>
          <w:color w:val="000000"/>
          <w:sz w:val="32"/>
          <w:szCs w:val="32"/>
        </w:rPr>
        <w:t>第十</w:t>
      </w:r>
      <w:r>
        <w:rPr>
          <w:rStyle w:val="a7"/>
          <w:rFonts w:ascii="黑体" w:eastAsia="黑体" w:hAnsi="黑体" w:cs="黑体" w:hint="eastAsia"/>
          <w:b w:val="0"/>
          <w:color w:val="000000"/>
          <w:sz w:val="32"/>
          <w:szCs w:val="32"/>
        </w:rPr>
        <w:t>七</w:t>
      </w:r>
      <w:r>
        <w:rPr>
          <w:rStyle w:val="a7"/>
          <w:rFonts w:ascii="黑体" w:eastAsia="黑体" w:hAnsi="黑体" w:cs="黑体" w:hint="eastAsia"/>
          <w:b w:val="0"/>
          <w:color w:val="000000"/>
          <w:sz w:val="32"/>
          <w:szCs w:val="32"/>
        </w:rPr>
        <w:t>条</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证券公司应当参照客户交易结算资金第三方存</w:t>
      </w:r>
      <w:r>
        <w:rPr>
          <w:rFonts w:ascii="仿宋_GB2312" w:eastAsia="仿宋_GB2312" w:hAnsi="仿宋_GB2312" w:cs="仿宋_GB2312" w:hint="eastAsia"/>
          <w:color w:val="000000"/>
          <w:sz w:val="32"/>
          <w:szCs w:val="32"/>
        </w:rPr>
        <w:lastRenderedPageBreak/>
        <w:t>管的方式，与其客户及商业银行签订客户信用资金存管协议。</w:t>
      </w:r>
    </w:p>
    <w:p w14:paraId="733352F6" w14:textId="77777777" w:rsidR="00D61260" w:rsidRDefault="007021B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证券公司在与客户签订融资融券合同后，应当通知商业银行根据客户的申请，为其开立实名信用资金账户。</w:t>
      </w:r>
    </w:p>
    <w:p w14:paraId="1302A506" w14:textId="77777777" w:rsidR="00D61260" w:rsidRDefault="007021B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客户信用资金账户是证券公司客户信用交易担保资金账户的二级账户，用于记载客户交存的担保资金的明细数据。</w:t>
      </w:r>
      <w:r>
        <w:rPr>
          <w:rFonts w:ascii="仿宋_GB2312" w:eastAsia="仿宋_GB2312" w:hAnsi="仿宋_GB2312" w:cs="仿宋_GB2312" w:hint="eastAsia"/>
          <w:color w:val="000000"/>
          <w:sz w:val="32"/>
          <w:szCs w:val="32"/>
        </w:rPr>
        <w:t xml:space="preserve"> </w:t>
      </w:r>
    </w:p>
    <w:p w14:paraId="6781A22E" w14:textId="77777777" w:rsidR="00D61260" w:rsidRDefault="007021B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商业银行根据证券公司提供的清算、交</w:t>
      </w:r>
      <w:proofErr w:type="gramStart"/>
      <w:r>
        <w:rPr>
          <w:rFonts w:ascii="仿宋_GB2312" w:eastAsia="仿宋_GB2312" w:hAnsi="仿宋_GB2312" w:cs="仿宋_GB2312" w:hint="eastAsia"/>
          <w:color w:val="000000"/>
          <w:sz w:val="32"/>
          <w:szCs w:val="32"/>
        </w:rPr>
        <w:t>收结果</w:t>
      </w:r>
      <w:proofErr w:type="gramEnd"/>
      <w:r>
        <w:rPr>
          <w:rFonts w:ascii="仿宋_GB2312" w:eastAsia="仿宋_GB2312" w:hAnsi="仿宋_GB2312" w:cs="仿宋_GB2312" w:hint="eastAsia"/>
          <w:color w:val="000000"/>
          <w:sz w:val="32"/>
          <w:szCs w:val="32"/>
        </w:rPr>
        <w:t>等，对客户信用资金账户内的数据进行变更。</w:t>
      </w:r>
    </w:p>
    <w:p w14:paraId="7337B818" w14:textId="77777777" w:rsidR="00D61260" w:rsidRDefault="007021BF">
      <w:pPr>
        <w:ind w:firstLineChars="200" w:firstLine="640"/>
        <w:rPr>
          <w:rFonts w:ascii="仿宋_GB2312" w:eastAsia="仿宋_GB2312" w:hAnsi="仿宋_GB2312" w:cs="仿宋_GB2312"/>
          <w:color w:val="000000"/>
          <w:sz w:val="32"/>
          <w:szCs w:val="32"/>
        </w:rPr>
      </w:pPr>
      <w:r>
        <w:rPr>
          <w:rStyle w:val="a7"/>
          <w:rFonts w:ascii="黑体" w:eastAsia="黑体" w:hAnsi="黑体" w:cs="黑体" w:hint="eastAsia"/>
          <w:b w:val="0"/>
          <w:color w:val="000000"/>
          <w:sz w:val="32"/>
          <w:szCs w:val="32"/>
        </w:rPr>
        <w:t>第十</w:t>
      </w:r>
      <w:r>
        <w:rPr>
          <w:rStyle w:val="a7"/>
          <w:rFonts w:ascii="黑体" w:eastAsia="黑体" w:hAnsi="黑体" w:cs="黑体" w:hint="eastAsia"/>
          <w:b w:val="0"/>
          <w:color w:val="000000"/>
          <w:sz w:val="32"/>
          <w:szCs w:val="32"/>
        </w:rPr>
        <w:t>八</w:t>
      </w:r>
      <w:r>
        <w:rPr>
          <w:rStyle w:val="a7"/>
          <w:rFonts w:ascii="黑体" w:eastAsia="黑体" w:hAnsi="黑体" w:cs="黑体" w:hint="eastAsia"/>
          <w:b w:val="0"/>
          <w:color w:val="000000"/>
          <w:sz w:val="32"/>
          <w:szCs w:val="32"/>
        </w:rPr>
        <w:t>条</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证券公司向客户融资，只能使用融资专用资金账户内的资金；向客户融券，只能使用融券专用证券账户内的证券。</w:t>
      </w:r>
      <w:r>
        <w:rPr>
          <w:rFonts w:ascii="仿宋_GB2312" w:eastAsia="仿宋_GB2312" w:hAnsi="仿宋_GB2312" w:cs="仿宋_GB2312" w:hint="eastAsia"/>
          <w:color w:val="000000"/>
          <w:sz w:val="32"/>
          <w:szCs w:val="32"/>
        </w:rPr>
        <w:t xml:space="preserve"> </w:t>
      </w:r>
    </w:p>
    <w:p w14:paraId="3B9E5473" w14:textId="77777777" w:rsidR="00D61260" w:rsidRDefault="007021B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客户融资买入、融</w:t>
      </w:r>
      <w:r>
        <w:rPr>
          <w:rFonts w:ascii="仿宋_GB2312" w:eastAsia="仿宋_GB2312" w:hAnsi="仿宋_GB2312" w:cs="仿宋_GB2312" w:hint="eastAsia"/>
          <w:color w:val="000000"/>
          <w:sz w:val="32"/>
          <w:szCs w:val="32"/>
        </w:rPr>
        <w:t>券卖出的证券，不得超出证券交易所规定的范围。</w:t>
      </w:r>
      <w:r>
        <w:rPr>
          <w:rFonts w:ascii="仿宋_GB2312" w:eastAsia="仿宋_GB2312" w:hAnsi="仿宋_GB2312" w:cs="仿宋_GB2312" w:hint="eastAsia"/>
          <w:color w:val="000000"/>
          <w:sz w:val="32"/>
          <w:szCs w:val="32"/>
        </w:rPr>
        <w:t xml:space="preserve"> </w:t>
      </w:r>
    </w:p>
    <w:p w14:paraId="441A90A0" w14:textId="77777777" w:rsidR="00D61260" w:rsidRDefault="007021B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客户在融券期间卖出其持有的、与所融入证券相同的证券的，应当符合证券交易所的规定，不得以违反规定卖出该证券的方式操纵市场。</w:t>
      </w:r>
    </w:p>
    <w:p w14:paraId="4A2B2397" w14:textId="77777777" w:rsidR="00D61260" w:rsidRDefault="007021BF">
      <w:pPr>
        <w:ind w:firstLineChars="200" w:firstLine="640"/>
        <w:rPr>
          <w:rFonts w:ascii="仿宋_GB2312" w:eastAsia="仿宋_GB2312" w:hAnsi="仿宋_GB2312" w:cs="仿宋_GB2312"/>
          <w:color w:val="000000"/>
          <w:sz w:val="32"/>
          <w:szCs w:val="32"/>
        </w:rPr>
      </w:pPr>
      <w:r>
        <w:rPr>
          <w:rStyle w:val="a7"/>
          <w:rFonts w:ascii="黑体" w:eastAsia="黑体" w:hAnsi="黑体" w:cs="黑体" w:hint="eastAsia"/>
          <w:b w:val="0"/>
          <w:color w:val="000000"/>
          <w:sz w:val="32"/>
          <w:szCs w:val="32"/>
        </w:rPr>
        <w:t>第十</w:t>
      </w:r>
      <w:r>
        <w:rPr>
          <w:rStyle w:val="a7"/>
          <w:rFonts w:ascii="黑体" w:eastAsia="黑体" w:hAnsi="黑体" w:cs="黑体" w:hint="eastAsia"/>
          <w:b w:val="0"/>
          <w:color w:val="000000"/>
          <w:sz w:val="32"/>
          <w:szCs w:val="32"/>
        </w:rPr>
        <w:t>九</w:t>
      </w:r>
      <w:r>
        <w:rPr>
          <w:rStyle w:val="a7"/>
          <w:rFonts w:ascii="黑体" w:eastAsia="黑体" w:hAnsi="黑体" w:cs="黑体" w:hint="eastAsia"/>
          <w:b w:val="0"/>
          <w:color w:val="000000"/>
          <w:sz w:val="32"/>
          <w:szCs w:val="32"/>
        </w:rPr>
        <w:t>条</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证券公司经营融资融券业务，按照客户委托发出证券交易、证券划转指令的，应当保证指令真实、准确。因证券公司的过错导致指令错误，造成客户损失的，客户可以依法要求证券公司赔偿，但不影响证券交易所、证券登记结算机构正在执行或者已经完成的业务操作。</w:t>
      </w:r>
    </w:p>
    <w:p w14:paraId="74012D0C" w14:textId="77777777" w:rsidR="00D61260" w:rsidRDefault="007021BF">
      <w:pPr>
        <w:ind w:firstLineChars="200" w:firstLine="640"/>
        <w:rPr>
          <w:rFonts w:ascii="仿宋_GB2312" w:eastAsia="仿宋_GB2312" w:hAnsi="仿宋_GB2312" w:cs="仿宋_GB2312"/>
          <w:color w:val="000000"/>
          <w:sz w:val="32"/>
          <w:szCs w:val="32"/>
        </w:rPr>
      </w:pPr>
      <w:r>
        <w:rPr>
          <w:rStyle w:val="a7"/>
          <w:rFonts w:ascii="黑体" w:eastAsia="黑体" w:hAnsi="黑体" w:cs="黑体" w:hint="eastAsia"/>
          <w:b w:val="0"/>
          <w:color w:val="000000"/>
          <w:sz w:val="32"/>
          <w:szCs w:val="32"/>
        </w:rPr>
        <w:lastRenderedPageBreak/>
        <w:t>第</w:t>
      </w:r>
      <w:r>
        <w:rPr>
          <w:rStyle w:val="a7"/>
          <w:rFonts w:ascii="黑体" w:eastAsia="黑体" w:hAnsi="黑体" w:cs="黑体" w:hint="eastAsia"/>
          <w:b w:val="0"/>
          <w:color w:val="000000"/>
          <w:sz w:val="32"/>
          <w:szCs w:val="32"/>
        </w:rPr>
        <w:t>二</w:t>
      </w:r>
      <w:r>
        <w:rPr>
          <w:rStyle w:val="a7"/>
          <w:rFonts w:ascii="黑体" w:eastAsia="黑体" w:hAnsi="黑体" w:cs="黑体" w:hint="eastAsia"/>
          <w:b w:val="0"/>
          <w:color w:val="000000"/>
          <w:sz w:val="32"/>
          <w:szCs w:val="32"/>
        </w:rPr>
        <w:t>十条</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lang w:val="zh-CN"/>
        </w:rPr>
        <w:t>证券公司融资融券的金额不得超过其净资本的</w:t>
      </w:r>
      <w:r>
        <w:rPr>
          <w:rFonts w:ascii="仿宋_GB2312" w:eastAsia="仿宋_GB2312" w:hAnsi="仿宋_GB2312" w:cs="仿宋_GB2312" w:hint="eastAsia"/>
          <w:color w:val="000000"/>
          <w:sz w:val="32"/>
          <w:szCs w:val="32"/>
        </w:rPr>
        <w:t>4</w:t>
      </w:r>
      <w:r>
        <w:rPr>
          <w:rFonts w:ascii="仿宋_GB2312" w:eastAsia="仿宋_GB2312" w:hAnsi="仿宋_GB2312" w:cs="仿宋_GB2312" w:hint="eastAsia"/>
          <w:color w:val="000000"/>
          <w:sz w:val="32"/>
          <w:szCs w:val="32"/>
        </w:rPr>
        <w:t>倍。</w:t>
      </w:r>
    </w:p>
    <w:p w14:paraId="6C2A135A" w14:textId="77777777" w:rsidR="00D61260" w:rsidRDefault="007021B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证券公司向单一客户</w:t>
      </w:r>
      <w:r>
        <w:rPr>
          <w:rFonts w:ascii="仿宋_GB2312" w:eastAsia="仿宋_GB2312" w:hAnsi="仿宋_GB2312" w:cs="仿宋_GB2312" w:hint="eastAsia"/>
          <w:color w:val="000000"/>
          <w:sz w:val="32"/>
          <w:szCs w:val="32"/>
        </w:rPr>
        <w:t>或者</w:t>
      </w:r>
      <w:r>
        <w:rPr>
          <w:rFonts w:ascii="仿宋_GB2312" w:eastAsia="仿宋_GB2312" w:hAnsi="仿宋_GB2312" w:cs="仿宋_GB2312" w:hint="eastAsia"/>
          <w:color w:val="000000"/>
          <w:sz w:val="32"/>
          <w:szCs w:val="32"/>
        </w:rPr>
        <w:t>单一证券的融资、融券的金额占其净资本的比例等风险控制指标，应当符合</w:t>
      </w:r>
      <w:r>
        <w:rPr>
          <w:rFonts w:ascii="仿宋_GB2312" w:eastAsia="仿宋_GB2312" w:hAnsi="仿宋_GB2312" w:cs="仿宋_GB2312" w:hint="eastAsia"/>
          <w:color w:val="000000"/>
          <w:sz w:val="32"/>
          <w:szCs w:val="32"/>
        </w:rPr>
        <w:t>证监会和证券交易所</w:t>
      </w:r>
      <w:r>
        <w:rPr>
          <w:rFonts w:ascii="仿宋_GB2312" w:eastAsia="仿宋_GB2312" w:hAnsi="仿宋_GB2312" w:cs="仿宋_GB2312" w:hint="eastAsia"/>
          <w:color w:val="000000"/>
          <w:sz w:val="32"/>
          <w:szCs w:val="32"/>
        </w:rPr>
        <w:t>的规定。</w:t>
      </w:r>
    </w:p>
    <w:p w14:paraId="2535566A" w14:textId="77777777" w:rsidR="00D61260" w:rsidRDefault="007021BF">
      <w:pPr>
        <w:ind w:firstLineChars="200" w:firstLine="640"/>
        <w:rPr>
          <w:rFonts w:ascii="仿宋_GB2312" w:eastAsia="仿宋_GB2312" w:hAnsi="仿宋_GB2312" w:cs="仿宋_GB2312"/>
          <w:color w:val="000000"/>
          <w:sz w:val="32"/>
          <w:szCs w:val="32"/>
        </w:rPr>
      </w:pPr>
      <w:r>
        <w:rPr>
          <w:rStyle w:val="a7"/>
          <w:rFonts w:ascii="黑体" w:eastAsia="黑体" w:hAnsi="黑体" w:cs="黑体" w:hint="eastAsia"/>
          <w:b w:val="0"/>
          <w:color w:val="000000"/>
          <w:sz w:val="32"/>
          <w:szCs w:val="32"/>
        </w:rPr>
        <w:t>第二十</w:t>
      </w:r>
      <w:r>
        <w:rPr>
          <w:rStyle w:val="a7"/>
          <w:rFonts w:ascii="黑体" w:eastAsia="黑体" w:hAnsi="黑体" w:cs="黑体" w:hint="eastAsia"/>
          <w:b w:val="0"/>
          <w:color w:val="000000"/>
          <w:sz w:val="32"/>
          <w:szCs w:val="32"/>
        </w:rPr>
        <w:t>一</w:t>
      </w:r>
      <w:r>
        <w:rPr>
          <w:rStyle w:val="a7"/>
          <w:rFonts w:ascii="黑体" w:eastAsia="黑体" w:hAnsi="黑体" w:cs="黑体" w:hint="eastAsia"/>
          <w:b w:val="0"/>
          <w:color w:val="000000"/>
          <w:sz w:val="32"/>
          <w:szCs w:val="32"/>
        </w:rPr>
        <w:t>条</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客户融资买入证券的，应当以卖</w:t>
      </w:r>
      <w:proofErr w:type="gramStart"/>
      <w:r>
        <w:rPr>
          <w:rFonts w:ascii="仿宋_GB2312" w:eastAsia="仿宋_GB2312" w:hAnsi="仿宋_GB2312" w:cs="仿宋_GB2312" w:hint="eastAsia"/>
          <w:color w:val="000000"/>
          <w:sz w:val="32"/>
          <w:szCs w:val="32"/>
        </w:rPr>
        <w:t>券</w:t>
      </w:r>
      <w:proofErr w:type="gramEnd"/>
      <w:r>
        <w:rPr>
          <w:rFonts w:ascii="仿宋_GB2312" w:eastAsia="仿宋_GB2312" w:hAnsi="仿宋_GB2312" w:cs="仿宋_GB2312" w:hint="eastAsia"/>
          <w:color w:val="000000"/>
          <w:sz w:val="32"/>
          <w:szCs w:val="32"/>
        </w:rPr>
        <w:t>还款或者直接还款的方式偿还向证券公司融入的资金。</w:t>
      </w:r>
      <w:r>
        <w:rPr>
          <w:rFonts w:ascii="仿宋_GB2312" w:eastAsia="仿宋_GB2312" w:hAnsi="仿宋_GB2312" w:cs="仿宋_GB2312" w:hint="eastAsia"/>
          <w:color w:val="000000"/>
          <w:sz w:val="32"/>
          <w:szCs w:val="32"/>
        </w:rPr>
        <w:t xml:space="preserve"> </w:t>
      </w:r>
    </w:p>
    <w:p w14:paraId="0A40D795" w14:textId="77777777" w:rsidR="00D61260" w:rsidRDefault="007021B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客户融券卖出的，应当以买券还</w:t>
      </w:r>
      <w:proofErr w:type="gramStart"/>
      <w:r>
        <w:rPr>
          <w:rFonts w:ascii="仿宋_GB2312" w:eastAsia="仿宋_GB2312" w:hAnsi="仿宋_GB2312" w:cs="仿宋_GB2312" w:hint="eastAsia"/>
          <w:color w:val="000000"/>
          <w:sz w:val="32"/>
          <w:szCs w:val="32"/>
        </w:rPr>
        <w:t>券</w:t>
      </w:r>
      <w:proofErr w:type="gramEnd"/>
      <w:r>
        <w:rPr>
          <w:rFonts w:ascii="仿宋_GB2312" w:eastAsia="仿宋_GB2312" w:hAnsi="仿宋_GB2312" w:cs="仿宋_GB2312" w:hint="eastAsia"/>
          <w:color w:val="000000"/>
          <w:sz w:val="32"/>
          <w:szCs w:val="32"/>
        </w:rPr>
        <w:t>或者直接还</w:t>
      </w:r>
      <w:proofErr w:type="gramStart"/>
      <w:r>
        <w:rPr>
          <w:rFonts w:ascii="仿宋_GB2312" w:eastAsia="仿宋_GB2312" w:hAnsi="仿宋_GB2312" w:cs="仿宋_GB2312" w:hint="eastAsia"/>
          <w:color w:val="000000"/>
          <w:sz w:val="32"/>
          <w:szCs w:val="32"/>
        </w:rPr>
        <w:t>券</w:t>
      </w:r>
      <w:proofErr w:type="gramEnd"/>
      <w:r>
        <w:rPr>
          <w:rFonts w:ascii="仿宋_GB2312" w:eastAsia="仿宋_GB2312" w:hAnsi="仿宋_GB2312" w:cs="仿宋_GB2312" w:hint="eastAsia"/>
          <w:color w:val="000000"/>
          <w:sz w:val="32"/>
          <w:szCs w:val="32"/>
        </w:rPr>
        <w:t>的方式偿还向证券公司融入的证券。</w:t>
      </w:r>
    </w:p>
    <w:p w14:paraId="749B3602" w14:textId="77777777" w:rsidR="00D61260" w:rsidRDefault="007021B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客</w:t>
      </w:r>
      <w:r>
        <w:rPr>
          <w:rFonts w:ascii="仿宋_GB2312" w:eastAsia="仿宋_GB2312" w:hAnsi="仿宋_GB2312" w:cs="仿宋_GB2312" w:hint="eastAsia"/>
          <w:color w:val="000000"/>
          <w:sz w:val="32"/>
          <w:szCs w:val="32"/>
        </w:rPr>
        <w:t>户融券卖出的证券暂停交易的，可以按照约定以现金等方式偿还向证券公司融入的证券。</w:t>
      </w:r>
    </w:p>
    <w:p w14:paraId="0173E47D" w14:textId="77777777" w:rsidR="00D61260" w:rsidRDefault="007021BF">
      <w:pPr>
        <w:ind w:firstLineChars="200" w:firstLine="640"/>
        <w:rPr>
          <w:rFonts w:ascii="仿宋_GB2312" w:eastAsia="仿宋_GB2312" w:hAnsi="仿宋_GB2312" w:cs="仿宋_GB2312"/>
          <w:color w:val="000000"/>
          <w:sz w:val="32"/>
          <w:szCs w:val="32"/>
        </w:rPr>
      </w:pPr>
      <w:r>
        <w:rPr>
          <w:rStyle w:val="a7"/>
          <w:rFonts w:ascii="黑体" w:eastAsia="黑体" w:hAnsi="黑体" w:cs="黑体" w:hint="eastAsia"/>
          <w:b w:val="0"/>
          <w:color w:val="000000"/>
          <w:sz w:val="32"/>
          <w:szCs w:val="32"/>
        </w:rPr>
        <w:t>第二十</w:t>
      </w:r>
      <w:r>
        <w:rPr>
          <w:rStyle w:val="a7"/>
          <w:rFonts w:ascii="黑体" w:eastAsia="黑体" w:hAnsi="黑体" w:cs="黑体" w:hint="eastAsia"/>
          <w:b w:val="0"/>
          <w:color w:val="000000"/>
          <w:sz w:val="32"/>
          <w:szCs w:val="32"/>
        </w:rPr>
        <w:t>二</w:t>
      </w:r>
      <w:r>
        <w:rPr>
          <w:rStyle w:val="a7"/>
          <w:rFonts w:ascii="黑体" w:eastAsia="黑体" w:hAnsi="黑体" w:cs="黑体" w:hint="eastAsia"/>
          <w:b w:val="0"/>
          <w:color w:val="000000"/>
          <w:sz w:val="32"/>
          <w:szCs w:val="32"/>
        </w:rPr>
        <w:t>条</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客户融资买入或者融券卖出的证券暂停交易，且交易</w:t>
      </w:r>
      <w:proofErr w:type="gramStart"/>
      <w:r>
        <w:rPr>
          <w:rFonts w:ascii="仿宋_GB2312" w:eastAsia="仿宋_GB2312" w:hAnsi="仿宋_GB2312" w:cs="仿宋_GB2312" w:hint="eastAsia"/>
          <w:color w:val="000000"/>
          <w:sz w:val="32"/>
          <w:szCs w:val="32"/>
        </w:rPr>
        <w:t>恢复日</w:t>
      </w:r>
      <w:proofErr w:type="gramEnd"/>
      <w:r>
        <w:rPr>
          <w:rFonts w:ascii="仿宋_GB2312" w:eastAsia="仿宋_GB2312" w:hAnsi="仿宋_GB2312" w:cs="仿宋_GB2312" w:hint="eastAsia"/>
          <w:color w:val="000000"/>
          <w:sz w:val="32"/>
          <w:szCs w:val="32"/>
        </w:rPr>
        <w:t>在融资融券债务到期日之后的，融资融券的期限顺延。融资融券合同另有约定的，从其约定。</w:t>
      </w:r>
    </w:p>
    <w:p w14:paraId="56114954" w14:textId="77777777" w:rsidR="00D61260" w:rsidRDefault="007021BF">
      <w:pPr>
        <w:ind w:firstLineChars="200" w:firstLine="640"/>
        <w:rPr>
          <w:rFonts w:ascii="仿宋_GB2312" w:eastAsia="仿宋_GB2312" w:hAnsi="仿宋_GB2312" w:cs="仿宋_GB2312"/>
          <w:color w:val="000000"/>
          <w:sz w:val="32"/>
          <w:szCs w:val="32"/>
        </w:rPr>
      </w:pPr>
      <w:r>
        <w:rPr>
          <w:rStyle w:val="a7"/>
          <w:rFonts w:ascii="黑体" w:eastAsia="黑体" w:hAnsi="黑体" w:cs="黑体" w:hint="eastAsia"/>
          <w:b w:val="0"/>
          <w:color w:val="000000"/>
          <w:sz w:val="32"/>
          <w:szCs w:val="32"/>
        </w:rPr>
        <w:t>第二十三条</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客户融资买入或者融券卖出的证券预定终止交易，且最后交易日在融资融券债务到期日之前的，融资融券的期限缩短至最后交易日的前一交易日。融资融券合同另有约定的，从其约定。</w:t>
      </w:r>
    </w:p>
    <w:p w14:paraId="70370503" w14:textId="77777777" w:rsidR="00D61260" w:rsidRDefault="00D61260">
      <w:pPr>
        <w:ind w:firstLineChars="200" w:firstLine="640"/>
        <w:rPr>
          <w:rFonts w:ascii="仿宋_GB2312" w:eastAsia="仿宋_GB2312" w:hAnsi="仿宋_GB2312" w:cs="仿宋_GB2312"/>
          <w:color w:val="000000"/>
          <w:sz w:val="32"/>
          <w:szCs w:val="32"/>
        </w:rPr>
      </w:pPr>
    </w:p>
    <w:p w14:paraId="09C8462B" w14:textId="77777777" w:rsidR="00D61260" w:rsidRDefault="007021BF">
      <w:pPr>
        <w:ind w:firstLineChars="200" w:firstLine="640"/>
        <w:jc w:val="center"/>
        <w:rPr>
          <w:rStyle w:val="a7"/>
          <w:rFonts w:ascii="黑体" w:eastAsia="黑体" w:hAnsi="黑体" w:cs="黑体"/>
          <w:b w:val="0"/>
          <w:color w:val="000000"/>
          <w:sz w:val="32"/>
          <w:szCs w:val="32"/>
        </w:rPr>
      </w:pPr>
      <w:r>
        <w:rPr>
          <w:rStyle w:val="a7"/>
          <w:rFonts w:ascii="黑体" w:eastAsia="黑体" w:hAnsi="黑体" w:cs="黑体" w:hint="eastAsia"/>
          <w:b w:val="0"/>
          <w:color w:val="000000"/>
          <w:sz w:val="32"/>
          <w:szCs w:val="32"/>
        </w:rPr>
        <w:lastRenderedPageBreak/>
        <w:t>第四章</w:t>
      </w:r>
      <w:r>
        <w:rPr>
          <w:rStyle w:val="a7"/>
          <w:rFonts w:ascii="黑体" w:eastAsia="黑体" w:hAnsi="黑体" w:cs="黑体" w:hint="eastAsia"/>
          <w:b w:val="0"/>
          <w:color w:val="000000"/>
          <w:sz w:val="32"/>
          <w:szCs w:val="32"/>
        </w:rPr>
        <w:t xml:space="preserve"> </w:t>
      </w:r>
      <w:r>
        <w:rPr>
          <w:rStyle w:val="a7"/>
          <w:rFonts w:ascii="黑体" w:eastAsia="黑体" w:hAnsi="黑体" w:cs="黑体" w:hint="eastAsia"/>
          <w:b w:val="0"/>
          <w:color w:val="000000"/>
          <w:sz w:val="32"/>
          <w:szCs w:val="32"/>
        </w:rPr>
        <w:t>债权担保</w:t>
      </w:r>
    </w:p>
    <w:p w14:paraId="63389FAF" w14:textId="77777777" w:rsidR="00D61260" w:rsidRDefault="00D61260">
      <w:pPr>
        <w:jc w:val="center"/>
        <w:rPr>
          <w:rStyle w:val="a7"/>
          <w:rFonts w:ascii="黑体" w:eastAsia="黑体" w:hAnsi="黑体" w:cs="黑体"/>
          <w:b w:val="0"/>
          <w:color w:val="000000"/>
          <w:sz w:val="32"/>
          <w:szCs w:val="32"/>
        </w:rPr>
      </w:pPr>
    </w:p>
    <w:p w14:paraId="0E52E208" w14:textId="77777777" w:rsidR="00D61260" w:rsidRDefault="007021BF">
      <w:pPr>
        <w:ind w:firstLineChars="200" w:firstLine="640"/>
        <w:rPr>
          <w:rFonts w:ascii="仿宋_GB2312" w:eastAsia="仿宋_GB2312" w:hAnsi="仿宋_GB2312" w:cs="仿宋_GB2312"/>
          <w:color w:val="000000"/>
          <w:sz w:val="32"/>
          <w:szCs w:val="32"/>
        </w:rPr>
      </w:pPr>
      <w:r>
        <w:rPr>
          <w:rStyle w:val="a7"/>
          <w:rFonts w:ascii="黑体" w:eastAsia="黑体" w:hAnsi="黑体" w:cs="黑体" w:hint="eastAsia"/>
          <w:b w:val="0"/>
          <w:color w:val="000000"/>
          <w:sz w:val="32"/>
          <w:szCs w:val="32"/>
        </w:rPr>
        <w:t>第二十四条</w:t>
      </w:r>
      <w:r>
        <w:rPr>
          <w:rStyle w:val="a7"/>
          <w:rFonts w:ascii="黑体" w:eastAsia="黑体" w:hAnsi="黑体" w:cs="黑体" w:hint="eastAsia"/>
          <w:b w:val="0"/>
          <w:color w:val="000000"/>
          <w:sz w:val="32"/>
          <w:szCs w:val="32"/>
        </w:rPr>
        <w:t xml:space="preserve"> </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证券公司向客户融资、融券，应当向客户收取一定比例的保证金。保证金可以证券充抵。</w:t>
      </w:r>
    </w:p>
    <w:p w14:paraId="1CB5FE23" w14:textId="77777777" w:rsidR="00D61260" w:rsidRDefault="007021BF">
      <w:pPr>
        <w:ind w:firstLineChars="200" w:firstLine="640"/>
        <w:rPr>
          <w:rFonts w:ascii="仿宋_GB2312" w:eastAsia="仿宋_GB2312" w:hAnsi="仿宋_GB2312" w:cs="仿宋_GB2312"/>
          <w:color w:val="000000"/>
          <w:sz w:val="32"/>
          <w:szCs w:val="32"/>
        </w:rPr>
      </w:pPr>
      <w:r>
        <w:rPr>
          <w:rStyle w:val="a7"/>
          <w:rFonts w:ascii="黑体" w:eastAsia="黑体" w:hAnsi="黑体" w:cs="黑体" w:hint="eastAsia"/>
          <w:b w:val="0"/>
          <w:color w:val="000000"/>
          <w:sz w:val="32"/>
          <w:szCs w:val="32"/>
        </w:rPr>
        <w:t>第二十五条</w:t>
      </w:r>
      <w:r>
        <w:rPr>
          <w:rStyle w:val="a7"/>
          <w:rFonts w:ascii="黑体" w:eastAsia="黑体" w:hAnsi="黑体" w:cs="黑体" w:hint="eastAsia"/>
          <w:b w:val="0"/>
          <w:color w:val="000000"/>
          <w:sz w:val="32"/>
          <w:szCs w:val="32"/>
        </w:rPr>
        <w:t xml:space="preserve"> </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证券公司应当将收取的保证金以及客户融资买入的全部证券和融券卖出所得全部价款，分别存放在客户信用交易担保证券账户和客户信用交易担保资金账户，作为对该客户融资融券所生债权的担保物。</w:t>
      </w:r>
    </w:p>
    <w:p w14:paraId="0CE34528" w14:textId="77777777" w:rsidR="00D61260" w:rsidRDefault="007021BF">
      <w:pPr>
        <w:ind w:firstLineChars="200" w:firstLine="640"/>
        <w:rPr>
          <w:rFonts w:ascii="仿宋_GB2312" w:eastAsia="仿宋_GB2312" w:hAnsi="仿宋_GB2312" w:cs="仿宋_GB2312"/>
          <w:color w:val="000000"/>
          <w:sz w:val="32"/>
          <w:szCs w:val="32"/>
          <w:lang w:val="zh-CN"/>
        </w:rPr>
      </w:pPr>
      <w:r>
        <w:rPr>
          <w:rStyle w:val="a7"/>
          <w:rFonts w:ascii="黑体" w:eastAsia="黑体" w:hAnsi="黑体" w:cs="黑体" w:hint="eastAsia"/>
          <w:b w:val="0"/>
          <w:color w:val="000000"/>
          <w:sz w:val="32"/>
          <w:szCs w:val="32"/>
        </w:rPr>
        <w:t>第二十六条</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证券公司</w:t>
      </w:r>
      <w:r>
        <w:rPr>
          <w:rFonts w:ascii="仿宋_GB2312" w:eastAsia="仿宋_GB2312" w:hAnsi="仿宋_GB2312" w:cs="仿宋_GB2312" w:hint="eastAsia"/>
          <w:color w:val="000000"/>
          <w:sz w:val="32"/>
          <w:szCs w:val="32"/>
          <w:lang w:val="zh-CN"/>
        </w:rPr>
        <w:t>应当在符合证券</w:t>
      </w:r>
      <w:r>
        <w:rPr>
          <w:rFonts w:ascii="仿宋_GB2312" w:eastAsia="仿宋_GB2312" w:hAnsi="仿宋_GB2312" w:cs="仿宋_GB2312" w:hint="eastAsia"/>
          <w:color w:val="000000"/>
          <w:sz w:val="32"/>
          <w:szCs w:val="32"/>
          <w:lang w:val="zh-CN"/>
        </w:rPr>
        <w:t>交易所规定的前提下，</w:t>
      </w:r>
      <w:r>
        <w:rPr>
          <w:rFonts w:ascii="仿宋_GB2312" w:eastAsia="仿宋_GB2312" w:hAnsi="仿宋_GB2312" w:cs="仿宋_GB2312" w:hint="eastAsia"/>
          <w:color w:val="000000"/>
          <w:sz w:val="32"/>
          <w:szCs w:val="32"/>
          <w:lang w:val="zh-CN"/>
        </w:rPr>
        <w:t>根据客户信用状况、担保物质量等情况，</w:t>
      </w:r>
      <w:r>
        <w:rPr>
          <w:rFonts w:ascii="仿宋_GB2312" w:eastAsia="仿宋_GB2312" w:hAnsi="仿宋_GB2312" w:cs="仿宋_GB2312" w:hint="eastAsia"/>
          <w:color w:val="000000"/>
          <w:sz w:val="32"/>
          <w:szCs w:val="32"/>
          <w:lang w:val="zh-CN"/>
        </w:rPr>
        <w:t>与客户约定最低维持担保比例、补足担保物的期限以及违约处置方式等。</w:t>
      </w:r>
    </w:p>
    <w:p w14:paraId="05E0CB1A" w14:textId="77777777" w:rsidR="00D61260" w:rsidRDefault="007021BF">
      <w:pPr>
        <w:ind w:firstLineChars="200" w:firstLine="640"/>
        <w:rPr>
          <w:rFonts w:ascii="仿宋_GB2312" w:eastAsia="仿宋_GB2312" w:hAnsi="仿宋_GB2312" w:cs="仿宋_GB2312"/>
          <w:color w:val="000000"/>
          <w:sz w:val="32"/>
          <w:szCs w:val="32"/>
          <w:lang w:val="zh-CN"/>
        </w:rPr>
      </w:pPr>
      <w:r>
        <w:rPr>
          <w:rFonts w:ascii="仿宋_GB2312" w:eastAsia="仿宋_GB2312" w:hAnsi="仿宋_GB2312" w:cs="仿宋_GB2312" w:hint="eastAsia"/>
          <w:color w:val="000000"/>
          <w:sz w:val="32"/>
          <w:szCs w:val="32"/>
          <w:lang w:val="zh-CN"/>
        </w:rPr>
        <w:t>证券公司应当逐日计算客户交存的担保物价值与其所欠债</w:t>
      </w:r>
      <w:proofErr w:type="gramStart"/>
      <w:r>
        <w:rPr>
          <w:rFonts w:ascii="仿宋_GB2312" w:eastAsia="仿宋_GB2312" w:hAnsi="仿宋_GB2312" w:cs="仿宋_GB2312" w:hint="eastAsia"/>
          <w:color w:val="000000"/>
          <w:sz w:val="32"/>
          <w:szCs w:val="32"/>
          <w:lang w:val="zh-CN"/>
        </w:rPr>
        <w:t>务</w:t>
      </w:r>
      <w:proofErr w:type="gramEnd"/>
      <w:r>
        <w:rPr>
          <w:rFonts w:ascii="仿宋_GB2312" w:eastAsia="仿宋_GB2312" w:hAnsi="仿宋_GB2312" w:cs="仿宋_GB2312" w:hint="eastAsia"/>
          <w:color w:val="000000"/>
          <w:sz w:val="32"/>
          <w:szCs w:val="32"/>
          <w:lang w:val="zh-CN"/>
        </w:rPr>
        <w:t>的比例。当该比例低于约定的维持担保比例时，应当通知客户在约定的期限内补交担保物，客户经证券公司认可后，可以提交除可充抵保证金证券以外的其他证券、不动产、股权等资产。</w:t>
      </w:r>
      <w:r>
        <w:rPr>
          <w:rFonts w:ascii="仿宋_GB2312" w:eastAsia="仿宋_GB2312" w:hAnsi="仿宋_GB2312" w:cs="仿宋_GB2312" w:hint="eastAsia"/>
          <w:color w:val="000000"/>
          <w:sz w:val="32"/>
          <w:szCs w:val="32"/>
          <w:lang w:val="zh-CN"/>
        </w:rPr>
        <w:t xml:space="preserve"> </w:t>
      </w:r>
    </w:p>
    <w:p w14:paraId="1BDC676F" w14:textId="77777777" w:rsidR="00D61260" w:rsidRDefault="007021B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lang w:val="zh-CN"/>
        </w:rPr>
        <w:t>客户未能按期交足担保物或者到期</w:t>
      </w:r>
      <w:proofErr w:type="gramStart"/>
      <w:r>
        <w:rPr>
          <w:rFonts w:ascii="仿宋_GB2312" w:eastAsia="仿宋_GB2312" w:hAnsi="仿宋_GB2312" w:cs="仿宋_GB2312" w:hint="eastAsia"/>
          <w:color w:val="000000"/>
          <w:sz w:val="32"/>
          <w:szCs w:val="32"/>
          <w:lang w:val="zh-CN"/>
        </w:rPr>
        <w:t>未偿</w:t>
      </w:r>
      <w:proofErr w:type="gramEnd"/>
      <w:r>
        <w:rPr>
          <w:rFonts w:ascii="仿宋_GB2312" w:eastAsia="仿宋_GB2312" w:hAnsi="仿宋_GB2312" w:cs="仿宋_GB2312" w:hint="eastAsia"/>
          <w:color w:val="000000"/>
          <w:sz w:val="32"/>
          <w:szCs w:val="32"/>
          <w:lang w:val="zh-CN"/>
        </w:rPr>
        <w:t>还债务的，证券公司可以按照约定处分其担保物。</w:t>
      </w:r>
    </w:p>
    <w:p w14:paraId="7178CFA2" w14:textId="77777777" w:rsidR="00D61260" w:rsidRDefault="007021BF">
      <w:pPr>
        <w:ind w:firstLineChars="200" w:firstLine="640"/>
        <w:rPr>
          <w:rFonts w:ascii="仿宋_GB2312" w:eastAsia="仿宋_GB2312" w:hAnsi="仿宋_GB2312" w:cs="仿宋_GB2312"/>
          <w:color w:val="000000"/>
          <w:sz w:val="32"/>
          <w:szCs w:val="32"/>
          <w:lang w:val="zh-CN"/>
        </w:rPr>
      </w:pPr>
      <w:r>
        <w:rPr>
          <w:rStyle w:val="a7"/>
          <w:rFonts w:ascii="黑体" w:eastAsia="黑体" w:hAnsi="黑体" w:cs="黑体" w:hint="eastAsia"/>
          <w:b w:val="0"/>
          <w:color w:val="000000"/>
          <w:sz w:val="32"/>
          <w:szCs w:val="32"/>
        </w:rPr>
        <w:t>第二十七条</w:t>
      </w:r>
      <w:r>
        <w:rPr>
          <w:rFonts w:ascii="仿宋_GB2312" w:eastAsia="仿宋_GB2312" w:hAnsi="仿宋_GB2312" w:cs="仿宋_GB2312" w:hint="eastAsia"/>
          <w:color w:val="000000"/>
          <w:sz w:val="32"/>
          <w:szCs w:val="32"/>
          <w:lang w:val="zh-CN"/>
        </w:rPr>
        <w:t xml:space="preserve">  </w:t>
      </w:r>
      <w:r>
        <w:rPr>
          <w:rFonts w:ascii="仿宋_GB2312" w:eastAsia="仿宋_GB2312" w:hAnsi="仿宋_GB2312" w:cs="仿宋_GB2312" w:hint="eastAsia"/>
          <w:color w:val="000000"/>
          <w:sz w:val="32"/>
          <w:szCs w:val="32"/>
          <w:lang w:val="zh-CN"/>
        </w:rPr>
        <w:t>本办法第二十四条规定的保证金比例和可充抵保证金的证券的种类、折算率，第二十六条规定的最低维持担</w:t>
      </w:r>
      <w:r>
        <w:rPr>
          <w:rFonts w:ascii="仿宋_GB2312" w:eastAsia="仿宋_GB2312" w:hAnsi="仿宋_GB2312" w:cs="仿宋_GB2312" w:hint="eastAsia"/>
          <w:color w:val="000000"/>
          <w:sz w:val="32"/>
          <w:szCs w:val="32"/>
          <w:lang w:val="zh-CN"/>
        </w:rPr>
        <w:lastRenderedPageBreak/>
        <w:t>保比例和客户补交担保物的期限，由证券交易所规定。</w:t>
      </w:r>
    </w:p>
    <w:p w14:paraId="42C2708A" w14:textId="77777777" w:rsidR="00D61260" w:rsidRDefault="007021BF">
      <w:pPr>
        <w:ind w:firstLineChars="200" w:firstLine="640"/>
        <w:rPr>
          <w:rFonts w:ascii="仿宋_GB2312" w:eastAsia="仿宋_GB2312" w:hAnsi="仿宋_GB2312" w:cs="仿宋_GB2312"/>
          <w:color w:val="000000"/>
          <w:sz w:val="32"/>
          <w:szCs w:val="32"/>
          <w:lang w:val="zh-CN"/>
        </w:rPr>
      </w:pPr>
      <w:r>
        <w:rPr>
          <w:rFonts w:ascii="仿宋_GB2312" w:eastAsia="仿宋_GB2312" w:hAnsi="仿宋_GB2312" w:cs="仿宋_GB2312" w:hint="eastAsia"/>
          <w:color w:val="000000"/>
          <w:sz w:val="32"/>
          <w:szCs w:val="32"/>
          <w:lang w:val="zh-CN"/>
        </w:rPr>
        <w:t>证券交易所应当对可充抵保证金的各类证券制定不同的折算率</w:t>
      </w:r>
      <w:r>
        <w:rPr>
          <w:rFonts w:ascii="仿宋_GB2312" w:eastAsia="仿宋_GB2312" w:hAnsi="仿宋_GB2312" w:cs="仿宋_GB2312" w:hint="eastAsia"/>
          <w:color w:val="000000"/>
          <w:sz w:val="32"/>
          <w:szCs w:val="32"/>
          <w:lang w:val="zh-CN"/>
        </w:rPr>
        <w:t>要求。</w:t>
      </w:r>
    </w:p>
    <w:p w14:paraId="38642D2F" w14:textId="77777777" w:rsidR="00D61260" w:rsidRDefault="007021BF">
      <w:pPr>
        <w:ind w:firstLineChars="200" w:firstLine="640"/>
        <w:rPr>
          <w:rFonts w:ascii="仿宋_GB2312" w:eastAsia="仿宋_GB2312" w:hAnsi="仿宋_GB2312" w:cs="仿宋_GB2312"/>
          <w:color w:val="000000"/>
          <w:sz w:val="32"/>
          <w:szCs w:val="32"/>
          <w:lang w:val="zh-CN"/>
        </w:rPr>
      </w:pPr>
      <w:r>
        <w:rPr>
          <w:rFonts w:ascii="仿宋_GB2312" w:eastAsia="仿宋_GB2312" w:hAnsi="仿宋_GB2312" w:cs="仿宋_GB2312" w:hint="eastAsia"/>
          <w:color w:val="000000"/>
          <w:sz w:val="32"/>
          <w:szCs w:val="32"/>
          <w:lang w:val="zh-CN"/>
        </w:rPr>
        <w:t>证券公司在符合证券交易所规定的前提下，应当对可充抵保证金的证券折算</w:t>
      </w:r>
      <w:proofErr w:type="gramStart"/>
      <w:r>
        <w:rPr>
          <w:rFonts w:ascii="仿宋_GB2312" w:eastAsia="仿宋_GB2312" w:hAnsi="仿宋_GB2312" w:cs="仿宋_GB2312" w:hint="eastAsia"/>
          <w:color w:val="000000"/>
          <w:sz w:val="32"/>
          <w:szCs w:val="32"/>
          <w:lang w:val="zh-CN"/>
        </w:rPr>
        <w:t>率实行</w:t>
      </w:r>
      <w:proofErr w:type="gramEnd"/>
      <w:r>
        <w:rPr>
          <w:rFonts w:ascii="仿宋_GB2312" w:eastAsia="仿宋_GB2312" w:hAnsi="仿宋_GB2312" w:cs="仿宋_GB2312" w:hint="eastAsia"/>
          <w:color w:val="000000"/>
          <w:sz w:val="32"/>
          <w:szCs w:val="32"/>
          <w:lang w:val="zh-CN"/>
        </w:rPr>
        <w:t>动态管理和差异化控制。</w:t>
      </w:r>
    </w:p>
    <w:p w14:paraId="76262FC0" w14:textId="77777777" w:rsidR="00D61260" w:rsidRDefault="007021BF">
      <w:pPr>
        <w:ind w:firstLineChars="200" w:firstLine="640"/>
        <w:rPr>
          <w:rFonts w:ascii="仿宋_GB2312" w:eastAsia="仿宋_GB2312" w:hAnsi="仿宋_GB2312" w:cs="仿宋_GB2312"/>
          <w:color w:val="000000"/>
          <w:sz w:val="32"/>
          <w:szCs w:val="32"/>
        </w:rPr>
      </w:pPr>
      <w:r>
        <w:rPr>
          <w:rStyle w:val="a7"/>
          <w:rFonts w:ascii="黑体" w:eastAsia="黑体" w:hAnsi="黑体" w:cs="黑体" w:hint="eastAsia"/>
          <w:b w:val="0"/>
          <w:color w:val="000000"/>
          <w:sz w:val="32"/>
          <w:szCs w:val="32"/>
        </w:rPr>
        <w:t>第二十八条</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除下列情形外，任何人不得动用证券公司客户信用交易担保证券账户内的证券和客户信用交易担保资金账户内的资金：</w:t>
      </w:r>
    </w:p>
    <w:p w14:paraId="3202C420" w14:textId="77777777" w:rsidR="00D61260" w:rsidRDefault="007021B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（一）为客户进行融资融券交易的结算；</w:t>
      </w:r>
      <w:r>
        <w:rPr>
          <w:rFonts w:ascii="仿宋_GB2312" w:eastAsia="仿宋_GB2312" w:hAnsi="仿宋_GB2312" w:cs="仿宋_GB2312" w:hint="eastAsia"/>
          <w:color w:val="000000"/>
          <w:sz w:val="32"/>
          <w:szCs w:val="32"/>
        </w:rPr>
        <w:t xml:space="preserve"> </w:t>
      </w:r>
    </w:p>
    <w:p w14:paraId="2F2ABE57" w14:textId="77777777" w:rsidR="00D61260" w:rsidRDefault="007021B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（二）收取客户应当归还的资金、证券；</w:t>
      </w:r>
      <w:r>
        <w:rPr>
          <w:rFonts w:ascii="仿宋_GB2312" w:eastAsia="仿宋_GB2312" w:hAnsi="仿宋_GB2312" w:cs="仿宋_GB2312" w:hint="eastAsia"/>
          <w:color w:val="000000"/>
          <w:sz w:val="32"/>
          <w:szCs w:val="32"/>
        </w:rPr>
        <w:t xml:space="preserve"> </w:t>
      </w:r>
    </w:p>
    <w:p w14:paraId="15D4EAB9" w14:textId="77777777" w:rsidR="00D61260" w:rsidRDefault="007021B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（三）收取客户应当支付的利息、费用、税款；</w:t>
      </w:r>
      <w:r>
        <w:rPr>
          <w:rFonts w:ascii="仿宋_GB2312" w:eastAsia="仿宋_GB2312" w:hAnsi="仿宋_GB2312" w:cs="仿宋_GB2312" w:hint="eastAsia"/>
          <w:color w:val="000000"/>
          <w:sz w:val="32"/>
          <w:szCs w:val="32"/>
        </w:rPr>
        <w:t xml:space="preserve"> </w:t>
      </w:r>
    </w:p>
    <w:p w14:paraId="243D69E4" w14:textId="77777777" w:rsidR="00D61260" w:rsidRDefault="007021B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（四）按照本</w:t>
      </w:r>
      <w:r>
        <w:rPr>
          <w:rFonts w:ascii="仿宋_GB2312" w:eastAsia="仿宋_GB2312" w:hAnsi="仿宋_GB2312" w:cs="仿宋_GB2312" w:hint="eastAsia"/>
          <w:color w:val="000000"/>
          <w:sz w:val="32"/>
          <w:szCs w:val="32"/>
        </w:rPr>
        <w:t>办法</w:t>
      </w:r>
      <w:r>
        <w:rPr>
          <w:rFonts w:ascii="仿宋_GB2312" w:eastAsia="仿宋_GB2312" w:hAnsi="仿宋_GB2312" w:cs="仿宋_GB2312" w:hint="eastAsia"/>
          <w:color w:val="000000"/>
          <w:sz w:val="32"/>
          <w:szCs w:val="32"/>
        </w:rPr>
        <w:t>的</w:t>
      </w:r>
      <w:r>
        <w:rPr>
          <w:rFonts w:ascii="仿宋_GB2312" w:eastAsia="仿宋_GB2312" w:hAnsi="仿宋_GB2312" w:cs="仿宋_GB2312" w:hint="eastAsia"/>
          <w:color w:val="000000"/>
          <w:sz w:val="32"/>
          <w:szCs w:val="32"/>
        </w:rPr>
        <w:t>规定</w:t>
      </w:r>
      <w:r>
        <w:rPr>
          <w:rFonts w:ascii="仿宋_GB2312" w:eastAsia="仿宋_GB2312" w:hAnsi="仿宋_GB2312" w:cs="仿宋_GB2312" w:hint="eastAsia"/>
          <w:color w:val="000000"/>
          <w:sz w:val="32"/>
          <w:szCs w:val="32"/>
        </w:rPr>
        <w:t>以及与客户的约定处分担保物；</w:t>
      </w:r>
      <w:r>
        <w:rPr>
          <w:rFonts w:ascii="仿宋_GB2312" w:eastAsia="仿宋_GB2312" w:hAnsi="仿宋_GB2312" w:cs="仿宋_GB2312" w:hint="eastAsia"/>
          <w:color w:val="000000"/>
          <w:sz w:val="32"/>
          <w:szCs w:val="32"/>
        </w:rPr>
        <w:t xml:space="preserve"> </w:t>
      </w:r>
    </w:p>
    <w:p w14:paraId="63140985" w14:textId="77777777" w:rsidR="00D61260" w:rsidRDefault="007021B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（五）收取客户应当支付的违约金；</w:t>
      </w:r>
      <w:r>
        <w:rPr>
          <w:rFonts w:ascii="仿宋_GB2312" w:eastAsia="仿宋_GB2312" w:hAnsi="仿宋_GB2312" w:cs="仿宋_GB2312" w:hint="eastAsia"/>
          <w:color w:val="000000"/>
          <w:sz w:val="32"/>
          <w:szCs w:val="32"/>
        </w:rPr>
        <w:t xml:space="preserve"> </w:t>
      </w:r>
    </w:p>
    <w:p w14:paraId="12BE2E47" w14:textId="77777777" w:rsidR="00D61260" w:rsidRDefault="007021B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（六）客户提取还本付息、支付税费及违约金后的剩余证券和资金；</w:t>
      </w:r>
      <w:r>
        <w:rPr>
          <w:rFonts w:ascii="仿宋_GB2312" w:eastAsia="仿宋_GB2312" w:hAnsi="仿宋_GB2312" w:cs="仿宋_GB2312" w:hint="eastAsia"/>
          <w:color w:val="000000"/>
          <w:sz w:val="32"/>
          <w:szCs w:val="32"/>
        </w:rPr>
        <w:t xml:space="preserve"> </w:t>
      </w:r>
    </w:p>
    <w:p w14:paraId="2502100B" w14:textId="77777777" w:rsidR="00D61260" w:rsidRDefault="007021B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（七）</w:t>
      </w:r>
      <w:r>
        <w:rPr>
          <w:rFonts w:ascii="仿宋_GB2312" w:eastAsia="仿宋_GB2312" w:hAnsi="仿宋_GB2312" w:cs="仿宋_GB2312" w:hint="eastAsia"/>
          <w:color w:val="000000"/>
          <w:sz w:val="32"/>
          <w:szCs w:val="32"/>
        </w:rPr>
        <w:t>法律、行政法规和本</w:t>
      </w:r>
      <w:r>
        <w:rPr>
          <w:rFonts w:ascii="仿宋_GB2312" w:eastAsia="仿宋_GB2312" w:hAnsi="仿宋_GB2312" w:cs="仿宋_GB2312" w:hint="eastAsia"/>
          <w:color w:val="000000"/>
          <w:sz w:val="32"/>
          <w:szCs w:val="32"/>
        </w:rPr>
        <w:t>办法</w:t>
      </w:r>
      <w:r>
        <w:rPr>
          <w:rFonts w:ascii="仿宋_GB2312" w:eastAsia="仿宋_GB2312" w:hAnsi="仿宋_GB2312" w:cs="仿宋_GB2312" w:hint="eastAsia"/>
          <w:color w:val="000000"/>
          <w:sz w:val="32"/>
          <w:szCs w:val="32"/>
        </w:rPr>
        <w:t>规定的其他情形。</w:t>
      </w:r>
    </w:p>
    <w:p w14:paraId="5B2E3CF4" w14:textId="77777777" w:rsidR="00D61260" w:rsidRDefault="007021BF">
      <w:pPr>
        <w:ind w:firstLineChars="200" w:firstLine="640"/>
        <w:rPr>
          <w:rFonts w:ascii="仿宋_GB2312" w:eastAsia="仿宋_GB2312" w:hAnsi="仿宋_GB2312" w:cs="仿宋_GB2312"/>
          <w:color w:val="000000"/>
          <w:sz w:val="32"/>
          <w:szCs w:val="32"/>
        </w:rPr>
      </w:pPr>
      <w:r>
        <w:rPr>
          <w:rStyle w:val="a7"/>
          <w:rFonts w:ascii="黑体" w:eastAsia="黑体" w:hAnsi="黑体" w:cs="黑体" w:hint="eastAsia"/>
          <w:b w:val="0"/>
          <w:color w:val="000000"/>
          <w:sz w:val="32"/>
          <w:szCs w:val="32"/>
        </w:rPr>
        <w:t>第二十九条</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客户交存的担保物价值与其债务的比例，超过证券交易所规定水平的，客户可以按照证券交易所的规定和融资融券合同的约定，提取担保物。</w:t>
      </w:r>
    </w:p>
    <w:p w14:paraId="17E53702" w14:textId="77777777" w:rsidR="00D61260" w:rsidRDefault="007021BF">
      <w:pPr>
        <w:ind w:firstLineChars="200" w:firstLine="640"/>
        <w:rPr>
          <w:rFonts w:ascii="仿宋_GB2312" w:eastAsia="仿宋_GB2312" w:hAnsi="仿宋_GB2312" w:cs="仿宋_GB2312"/>
          <w:color w:val="000000"/>
          <w:sz w:val="32"/>
          <w:szCs w:val="32"/>
        </w:rPr>
      </w:pPr>
      <w:r>
        <w:rPr>
          <w:rStyle w:val="a7"/>
          <w:rFonts w:ascii="黑体" w:eastAsia="黑体" w:hAnsi="黑体" w:cs="黑体" w:hint="eastAsia"/>
          <w:b w:val="0"/>
          <w:color w:val="000000"/>
          <w:sz w:val="32"/>
          <w:szCs w:val="32"/>
        </w:rPr>
        <w:lastRenderedPageBreak/>
        <w:t>第三十条</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司法机关依法对客户信用证券账户或者信用资金账户记载的权益采取财产保全或者强制执行措施的，证券公司应当处分担保物，</w:t>
      </w:r>
      <w:proofErr w:type="gramStart"/>
      <w:r>
        <w:rPr>
          <w:rFonts w:ascii="仿宋_GB2312" w:eastAsia="仿宋_GB2312" w:hAnsi="仿宋_GB2312" w:cs="仿宋_GB2312" w:hint="eastAsia"/>
          <w:color w:val="000000"/>
          <w:sz w:val="32"/>
          <w:szCs w:val="32"/>
        </w:rPr>
        <w:t>实现因</w:t>
      </w:r>
      <w:proofErr w:type="gramEnd"/>
      <w:r>
        <w:rPr>
          <w:rFonts w:ascii="仿宋_GB2312" w:eastAsia="仿宋_GB2312" w:hAnsi="仿宋_GB2312" w:cs="仿宋_GB2312" w:hint="eastAsia"/>
          <w:color w:val="000000"/>
          <w:sz w:val="32"/>
          <w:szCs w:val="32"/>
        </w:rPr>
        <w:t>向客户融资融券所生债权</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并协助司法机关执行。</w:t>
      </w:r>
    </w:p>
    <w:p w14:paraId="4F7BFD73" w14:textId="77777777" w:rsidR="00D61260" w:rsidRDefault="00D61260">
      <w:pPr>
        <w:ind w:firstLineChars="200" w:firstLine="640"/>
        <w:rPr>
          <w:rFonts w:ascii="仿宋_GB2312" w:eastAsia="仿宋_GB2312" w:hAnsi="仿宋_GB2312" w:cs="仿宋_GB2312"/>
          <w:color w:val="000000"/>
          <w:sz w:val="32"/>
          <w:szCs w:val="32"/>
        </w:rPr>
      </w:pPr>
    </w:p>
    <w:p w14:paraId="62B707AE" w14:textId="77777777" w:rsidR="00D61260" w:rsidRDefault="007021BF">
      <w:pPr>
        <w:ind w:firstLineChars="200" w:firstLine="640"/>
        <w:jc w:val="center"/>
        <w:rPr>
          <w:rStyle w:val="a7"/>
          <w:rFonts w:ascii="黑体" w:eastAsia="黑体" w:hAnsi="黑体" w:cs="黑体"/>
          <w:b w:val="0"/>
          <w:color w:val="000000"/>
          <w:sz w:val="32"/>
          <w:szCs w:val="32"/>
        </w:rPr>
      </w:pPr>
      <w:r>
        <w:rPr>
          <w:rStyle w:val="a7"/>
          <w:rFonts w:ascii="黑体" w:eastAsia="黑体" w:hAnsi="黑体" w:cs="黑体" w:hint="eastAsia"/>
          <w:b w:val="0"/>
          <w:color w:val="000000"/>
          <w:sz w:val="32"/>
          <w:szCs w:val="32"/>
        </w:rPr>
        <w:t>第五章</w:t>
      </w:r>
      <w:r>
        <w:rPr>
          <w:rStyle w:val="a7"/>
          <w:rFonts w:ascii="黑体" w:eastAsia="黑体" w:hAnsi="黑体" w:cs="黑体" w:hint="eastAsia"/>
          <w:b w:val="0"/>
          <w:color w:val="000000"/>
          <w:sz w:val="32"/>
          <w:szCs w:val="32"/>
        </w:rPr>
        <w:t xml:space="preserve"> </w:t>
      </w:r>
      <w:r>
        <w:rPr>
          <w:rStyle w:val="a7"/>
          <w:rFonts w:ascii="黑体" w:eastAsia="黑体" w:hAnsi="黑体" w:cs="黑体" w:hint="eastAsia"/>
          <w:b w:val="0"/>
          <w:color w:val="000000"/>
          <w:sz w:val="32"/>
          <w:szCs w:val="32"/>
        </w:rPr>
        <w:t>权益处理</w:t>
      </w:r>
    </w:p>
    <w:p w14:paraId="22AE956D" w14:textId="77777777" w:rsidR="00D61260" w:rsidRDefault="00D61260">
      <w:pPr>
        <w:ind w:firstLineChars="200" w:firstLine="640"/>
        <w:rPr>
          <w:rStyle w:val="a7"/>
          <w:rFonts w:ascii="仿宋_GB2312" w:eastAsia="仿宋_GB2312" w:hAnsi="仿宋_GB2312" w:cs="仿宋_GB2312"/>
          <w:b w:val="0"/>
          <w:color w:val="000000"/>
          <w:sz w:val="32"/>
          <w:szCs w:val="32"/>
        </w:rPr>
      </w:pPr>
    </w:p>
    <w:p w14:paraId="1EA729B3" w14:textId="77777777" w:rsidR="00D61260" w:rsidRDefault="007021BF">
      <w:pPr>
        <w:tabs>
          <w:tab w:val="left" w:pos="1565"/>
          <w:tab w:val="left" w:pos="2520"/>
        </w:tabs>
        <w:ind w:firstLineChars="200" w:firstLine="640"/>
        <w:rPr>
          <w:rFonts w:ascii="仿宋_GB2312" w:eastAsia="仿宋_GB2312" w:hAnsi="仿宋_GB2312" w:cs="仿宋_GB2312"/>
          <w:color w:val="000000"/>
          <w:sz w:val="32"/>
          <w:szCs w:val="32"/>
        </w:rPr>
      </w:pPr>
      <w:r>
        <w:rPr>
          <w:rStyle w:val="a7"/>
          <w:rFonts w:ascii="黑体" w:eastAsia="黑体" w:hAnsi="黑体" w:cs="黑体" w:hint="eastAsia"/>
          <w:b w:val="0"/>
          <w:color w:val="000000"/>
          <w:sz w:val="32"/>
          <w:szCs w:val="32"/>
        </w:rPr>
        <w:t>第三十一条</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证券登记结算机构依据证券公司客户信用交易担保证券账户内的记录，确认证券公司受托持有证券的事实，并以证券公司为名义持有人，登记于证券持有人名册。</w:t>
      </w:r>
    </w:p>
    <w:p w14:paraId="0DF78D39" w14:textId="77777777" w:rsidR="00D61260" w:rsidRDefault="007021BF">
      <w:pPr>
        <w:tabs>
          <w:tab w:val="left" w:pos="1565"/>
          <w:tab w:val="left" w:pos="2520"/>
        </w:tabs>
        <w:ind w:firstLineChars="200" w:firstLine="640"/>
        <w:rPr>
          <w:rFonts w:ascii="仿宋_GB2312" w:eastAsia="仿宋_GB2312" w:hAnsi="仿宋_GB2312" w:cs="仿宋_GB2312"/>
          <w:color w:val="000000"/>
          <w:sz w:val="32"/>
          <w:szCs w:val="32"/>
        </w:rPr>
      </w:pPr>
      <w:r>
        <w:rPr>
          <w:rStyle w:val="a7"/>
          <w:rFonts w:ascii="黑体" w:eastAsia="黑体" w:hAnsi="黑体" w:cs="黑体" w:hint="eastAsia"/>
          <w:b w:val="0"/>
          <w:color w:val="000000"/>
          <w:sz w:val="32"/>
          <w:szCs w:val="32"/>
        </w:rPr>
        <w:t>第三十二条</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对客户信用交易担保证券账户记录的证券，由证券公司以自己的名义，为客户的利益，行使对证券发行人的权利。证券公司行使对证券发行人的权利，应当事先征求客户的意见</w:t>
      </w:r>
      <w:r>
        <w:rPr>
          <w:rFonts w:ascii="仿宋_GB2312" w:eastAsia="仿宋_GB2312" w:hAnsi="仿宋_GB2312" w:cs="仿宋_GB2312" w:hint="eastAsia"/>
          <w:color w:val="000000"/>
          <w:sz w:val="32"/>
          <w:szCs w:val="32"/>
        </w:rPr>
        <w:t>，并按照其意见办理。客户</w:t>
      </w:r>
      <w:proofErr w:type="gramStart"/>
      <w:r>
        <w:rPr>
          <w:rFonts w:ascii="仿宋_GB2312" w:eastAsia="仿宋_GB2312" w:hAnsi="仿宋_GB2312" w:cs="仿宋_GB2312" w:hint="eastAsia"/>
          <w:color w:val="000000"/>
          <w:sz w:val="32"/>
          <w:szCs w:val="32"/>
        </w:rPr>
        <w:t>未表达</w:t>
      </w:r>
      <w:proofErr w:type="gramEnd"/>
      <w:r>
        <w:rPr>
          <w:rFonts w:ascii="仿宋_GB2312" w:eastAsia="仿宋_GB2312" w:hAnsi="仿宋_GB2312" w:cs="仿宋_GB2312" w:hint="eastAsia"/>
          <w:color w:val="000000"/>
          <w:sz w:val="32"/>
          <w:szCs w:val="32"/>
        </w:rPr>
        <w:t>意见的，证券公司不得行使对发行人的权利。</w:t>
      </w:r>
      <w:r>
        <w:rPr>
          <w:rFonts w:ascii="仿宋_GB2312" w:eastAsia="仿宋_GB2312" w:hAnsi="仿宋_GB2312" w:cs="仿宋_GB2312" w:hint="eastAsia"/>
          <w:color w:val="000000"/>
          <w:sz w:val="32"/>
          <w:szCs w:val="32"/>
        </w:rPr>
        <w:t xml:space="preserve"> </w:t>
      </w:r>
    </w:p>
    <w:p w14:paraId="6CF18B56" w14:textId="77777777" w:rsidR="00D61260" w:rsidRDefault="007021BF">
      <w:pPr>
        <w:pStyle w:val="a6"/>
        <w:widowControl w:val="0"/>
        <w:spacing w:before="0" w:beforeAutospacing="0" w:after="0" w:afterAutospacing="0"/>
        <w:ind w:firstLineChars="200" w:firstLine="640"/>
        <w:jc w:val="both"/>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前款所称对证券发行人的权利，是指请求召开证券持有人会议、参加证券持有人会议、提案、表决、配售股份的认购、请求分配投资收益等因持有证券而产生的权利。</w:t>
      </w:r>
    </w:p>
    <w:p w14:paraId="097B54F6" w14:textId="77777777" w:rsidR="00D61260" w:rsidRDefault="007021BF">
      <w:pPr>
        <w:tabs>
          <w:tab w:val="left" w:pos="1565"/>
          <w:tab w:val="left" w:pos="2520"/>
        </w:tabs>
        <w:ind w:firstLineChars="200" w:firstLine="640"/>
        <w:rPr>
          <w:rFonts w:ascii="仿宋_GB2312" w:eastAsia="仿宋_GB2312" w:hAnsi="仿宋_GB2312" w:cs="仿宋_GB2312"/>
          <w:color w:val="000000"/>
          <w:kern w:val="0"/>
          <w:sz w:val="32"/>
          <w:szCs w:val="32"/>
        </w:rPr>
      </w:pPr>
      <w:r>
        <w:rPr>
          <w:rStyle w:val="a7"/>
          <w:rFonts w:ascii="黑体" w:eastAsia="黑体" w:hAnsi="黑体" w:cs="黑体" w:hint="eastAsia"/>
          <w:b w:val="0"/>
          <w:color w:val="000000"/>
          <w:sz w:val="32"/>
          <w:szCs w:val="32"/>
        </w:rPr>
        <w:t>第三十三条</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证券登记结算机构受证券发行人委托以证券</w:t>
      </w:r>
      <w:r>
        <w:rPr>
          <w:rFonts w:ascii="仿宋_GB2312" w:eastAsia="仿宋_GB2312" w:hAnsi="仿宋_GB2312" w:cs="仿宋_GB2312" w:hint="eastAsia"/>
          <w:color w:val="000000"/>
          <w:sz w:val="32"/>
          <w:szCs w:val="32"/>
        </w:rPr>
        <w:lastRenderedPageBreak/>
        <w:t>形式分派投资收益的，应当将分派的证券记录在证券公司客户信用交易担保证券账户内，并相应变更客户信用证券账</w:t>
      </w:r>
      <w:r>
        <w:rPr>
          <w:rFonts w:ascii="仿宋_GB2312" w:eastAsia="仿宋_GB2312" w:hAnsi="仿宋_GB2312" w:cs="仿宋_GB2312" w:hint="eastAsia"/>
          <w:color w:val="000000"/>
          <w:kern w:val="0"/>
          <w:sz w:val="32"/>
          <w:szCs w:val="32"/>
        </w:rPr>
        <w:t>户的明细数据。</w:t>
      </w:r>
      <w:r>
        <w:rPr>
          <w:rFonts w:ascii="仿宋_GB2312" w:eastAsia="仿宋_GB2312" w:hAnsi="仿宋_GB2312" w:cs="仿宋_GB2312" w:hint="eastAsia"/>
          <w:color w:val="000000"/>
          <w:kern w:val="0"/>
          <w:sz w:val="32"/>
          <w:szCs w:val="32"/>
        </w:rPr>
        <w:t xml:space="preserve"> </w:t>
      </w:r>
    </w:p>
    <w:p w14:paraId="5B771870" w14:textId="77777777" w:rsidR="00D61260" w:rsidRDefault="007021BF">
      <w:pPr>
        <w:pStyle w:val="a6"/>
        <w:widowControl w:val="0"/>
        <w:spacing w:before="0" w:beforeAutospacing="0" w:after="0" w:afterAutospacing="0"/>
        <w:ind w:firstLineChars="200" w:firstLine="640"/>
        <w:jc w:val="both"/>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证券登记结算机构受证券发行人委托以现金形式分派投资收益的，应当将分派的资金划入证券公司信用交易资金交收账户。证券公司应当在资金到账后，通知商业银行对客户信用资金账户的明细数据进行变更。</w:t>
      </w:r>
    </w:p>
    <w:p w14:paraId="02F16DF0" w14:textId="77777777" w:rsidR="00D61260" w:rsidRDefault="007021BF">
      <w:pPr>
        <w:tabs>
          <w:tab w:val="left" w:pos="1565"/>
          <w:tab w:val="left" w:pos="2520"/>
        </w:tabs>
        <w:ind w:firstLineChars="200" w:firstLine="640"/>
        <w:rPr>
          <w:rFonts w:ascii="仿宋_GB2312" w:eastAsia="仿宋_GB2312" w:hAnsi="仿宋_GB2312" w:cs="仿宋_GB2312"/>
          <w:color w:val="000000"/>
          <w:sz w:val="32"/>
          <w:szCs w:val="32"/>
        </w:rPr>
      </w:pPr>
      <w:r>
        <w:rPr>
          <w:rStyle w:val="a7"/>
          <w:rFonts w:ascii="黑体" w:eastAsia="黑体" w:hAnsi="黑体" w:cs="黑体" w:hint="eastAsia"/>
          <w:b w:val="0"/>
          <w:color w:val="000000"/>
          <w:sz w:val="32"/>
          <w:szCs w:val="32"/>
        </w:rPr>
        <w:t>第三十四条</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客户融入证券后、归还证券前，证券发行人分配投资收益、向证券持有人配售或者无偿派发证券、发行证券持有人有优先认购权的证券的，客户应当按照融资融券合同的约</w:t>
      </w:r>
      <w:r>
        <w:rPr>
          <w:rFonts w:ascii="仿宋_GB2312" w:eastAsia="仿宋_GB2312" w:hAnsi="仿宋_GB2312" w:cs="仿宋_GB2312" w:hint="eastAsia"/>
          <w:color w:val="000000"/>
          <w:sz w:val="32"/>
          <w:szCs w:val="32"/>
        </w:rPr>
        <w:t>定，在偿还债务时，向证券公司支付与所融入证券可得利益相等的证券或者资金。</w:t>
      </w:r>
    </w:p>
    <w:p w14:paraId="03133D39" w14:textId="77777777" w:rsidR="00D61260" w:rsidRDefault="007021BF">
      <w:pPr>
        <w:tabs>
          <w:tab w:val="left" w:pos="1565"/>
          <w:tab w:val="left" w:pos="2520"/>
        </w:tabs>
        <w:ind w:firstLineChars="200" w:firstLine="640"/>
        <w:rPr>
          <w:rFonts w:ascii="仿宋_GB2312" w:eastAsia="仿宋_GB2312" w:hAnsi="仿宋_GB2312" w:cs="仿宋_GB2312"/>
          <w:color w:val="000000"/>
          <w:sz w:val="32"/>
          <w:szCs w:val="32"/>
        </w:rPr>
      </w:pPr>
      <w:r>
        <w:rPr>
          <w:rStyle w:val="a7"/>
          <w:rFonts w:ascii="黑体" w:eastAsia="黑体" w:hAnsi="黑体" w:cs="黑体" w:hint="eastAsia"/>
          <w:b w:val="0"/>
          <w:color w:val="000000"/>
          <w:sz w:val="32"/>
          <w:szCs w:val="32"/>
        </w:rPr>
        <w:t>第三十五条</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证券公司通过客户信用交易担保证券账户持有的股票不计入其自有股票，证券公司无须因该账户内股票数量的变动而履行相应的信息报告、披露或者要约收购义务。</w:t>
      </w:r>
    </w:p>
    <w:p w14:paraId="14206D8F" w14:textId="77777777" w:rsidR="00D61260" w:rsidRDefault="007021BF">
      <w:pPr>
        <w:pStyle w:val="a6"/>
        <w:widowControl w:val="0"/>
        <w:spacing w:before="0" w:beforeAutospacing="0" w:after="0" w:afterAutospacing="0"/>
        <w:ind w:firstLineChars="200" w:firstLine="640"/>
        <w:jc w:val="both"/>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客户及其一致行动人通过普通证券账户和信用证券账户合计持有一家上市公司股票及其权益的数量或者其增减变动达到规定的比例时，应当依法履行相应的信息报告、披露或者要约收购义务。</w:t>
      </w:r>
    </w:p>
    <w:p w14:paraId="3B17B3C1" w14:textId="77777777" w:rsidR="00D61260" w:rsidRDefault="00D61260">
      <w:pPr>
        <w:pStyle w:val="a6"/>
        <w:widowControl w:val="0"/>
        <w:spacing w:before="0" w:beforeAutospacing="0" w:after="0" w:afterAutospacing="0"/>
        <w:ind w:firstLineChars="200" w:firstLine="640"/>
        <w:jc w:val="both"/>
        <w:rPr>
          <w:rFonts w:ascii="仿宋_GB2312" w:eastAsia="仿宋_GB2312" w:hAnsi="仿宋_GB2312" w:cs="仿宋_GB2312"/>
          <w:color w:val="000000"/>
          <w:sz w:val="32"/>
          <w:szCs w:val="32"/>
        </w:rPr>
      </w:pPr>
    </w:p>
    <w:p w14:paraId="1757B6CC" w14:textId="77777777" w:rsidR="00D61260" w:rsidRDefault="007021BF">
      <w:pPr>
        <w:ind w:firstLineChars="200" w:firstLine="640"/>
        <w:jc w:val="center"/>
        <w:rPr>
          <w:rStyle w:val="a7"/>
          <w:rFonts w:ascii="黑体" w:eastAsia="黑体" w:hAnsi="黑体" w:cs="黑体"/>
          <w:b w:val="0"/>
          <w:color w:val="000000"/>
          <w:sz w:val="32"/>
          <w:szCs w:val="32"/>
        </w:rPr>
      </w:pPr>
      <w:r>
        <w:rPr>
          <w:rStyle w:val="a7"/>
          <w:rFonts w:ascii="黑体" w:eastAsia="黑体" w:hAnsi="黑体" w:cs="黑体" w:hint="eastAsia"/>
          <w:b w:val="0"/>
          <w:color w:val="000000"/>
          <w:sz w:val="32"/>
          <w:szCs w:val="32"/>
        </w:rPr>
        <w:t>第六章</w:t>
      </w:r>
      <w:r>
        <w:rPr>
          <w:rStyle w:val="a7"/>
          <w:rFonts w:ascii="黑体" w:eastAsia="黑体" w:hAnsi="黑体" w:cs="黑体" w:hint="eastAsia"/>
          <w:b w:val="0"/>
          <w:color w:val="000000"/>
          <w:sz w:val="32"/>
          <w:szCs w:val="32"/>
        </w:rPr>
        <w:t xml:space="preserve"> </w:t>
      </w:r>
      <w:r>
        <w:rPr>
          <w:rStyle w:val="a7"/>
          <w:rFonts w:ascii="黑体" w:eastAsia="黑体" w:hAnsi="黑体" w:cs="黑体" w:hint="eastAsia"/>
          <w:b w:val="0"/>
          <w:color w:val="000000"/>
          <w:sz w:val="32"/>
          <w:szCs w:val="32"/>
        </w:rPr>
        <w:t>监督管理</w:t>
      </w:r>
    </w:p>
    <w:p w14:paraId="1B0C5C8B" w14:textId="77777777" w:rsidR="00D61260" w:rsidRDefault="00D61260">
      <w:pPr>
        <w:tabs>
          <w:tab w:val="left" w:pos="1565"/>
          <w:tab w:val="left" w:pos="2520"/>
        </w:tabs>
        <w:ind w:firstLineChars="200" w:firstLine="640"/>
        <w:rPr>
          <w:rFonts w:ascii="仿宋_GB2312" w:eastAsia="仿宋_GB2312" w:hAnsi="仿宋_GB2312" w:cs="仿宋_GB2312"/>
          <w:color w:val="000000"/>
          <w:sz w:val="32"/>
          <w:szCs w:val="32"/>
        </w:rPr>
      </w:pPr>
    </w:p>
    <w:p w14:paraId="44470F52" w14:textId="77777777" w:rsidR="00D61260" w:rsidRDefault="007021BF">
      <w:pPr>
        <w:tabs>
          <w:tab w:val="left" w:pos="1565"/>
          <w:tab w:val="left" w:pos="2520"/>
        </w:tabs>
        <w:ind w:firstLineChars="200" w:firstLine="640"/>
        <w:rPr>
          <w:rFonts w:ascii="仿宋_GB2312" w:eastAsia="仿宋_GB2312" w:hAnsi="仿宋_GB2312" w:cs="仿宋_GB2312"/>
          <w:color w:val="000000"/>
          <w:sz w:val="32"/>
          <w:szCs w:val="32"/>
        </w:rPr>
      </w:pPr>
      <w:r>
        <w:rPr>
          <w:rStyle w:val="a7"/>
          <w:rFonts w:ascii="黑体" w:eastAsia="黑体" w:hAnsi="黑体" w:cs="黑体" w:hint="eastAsia"/>
          <w:b w:val="0"/>
          <w:color w:val="000000"/>
          <w:sz w:val="32"/>
          <w:szCs w:val="32"/>
        </w:rPr>
        <w:t>第三十六条</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证券交易所</w:t>
      </w:r>
      <w:r>
        <w:rPr>
          <w:rFonts w:ascii="仿宋_GB2312" w:eastAsia="仿宋_GB2312" w:hAnsi="仿宋_GB2312" w:cs="仿宋_GB2312" w:hint="eastAsia"/>
          <w:color w:val="000000"/>
          <w:sz w:val="32"/>
          <w:szCs w:val="32"/>
        </w:rPr>
        <w:t>应当</w:t>
      </w:r>
      <w:r>
        <w:rPr>
          <w:rFonts w:ascii="仿宋_GB2312" w:eastAsia="仿宋_GB2312" w:hAnsi="仿宋_GB2312" w:cs="仿宋_GB2312" w:hint="eastAsia"/>
          <w:color w:val="000000"/>
          <w:sz w:val="32"/>
          <w:szCs w:val="32"/>
        </w:rPr>
        <w:t>根据市场发展情况，对融资融券业务保证金比例、标的证券范围、可充抵保证金</w:t>
      </w:r>
      <w:r>
        <w:rPr>
          <w:rFonts w:ascii="仿宋_GB2312" w:eastAsia="仿宋_GB2312" w:hAnsi="仿宋_GB2312" w:cs="仿宋_GB2312" w:hint="eastAsia"/>
          <w:color w:val="000000"/>
          <w:sz w:val="32"/>
          <w:szCs w:val="32"/>
        </w:rPr>
        <w:t>的</w:t>
      </w:r>
      <w:r>
        <w:rPr>
          <w:rFonts w:ascii="仿宋_GB2312" w:eastAsia="仿宋_GB2312" w:hAnsi="仿宋_GB2312" w:cs="仿宋_GB2312" w:hint="eastAsia"/>
          <w:color w:val="000000"/>
          <w:sz w:val="32"/>
          <w:szCs w:val="32"/>
        </w:rPr>
        <w:t>证券</w:t>
      </w:r>
      <w:r>
        <w:rPr>
          <w:rFonts w:ascii="仿宋_GB2312" w:eastAsia="仿宋_GB2312" w:hAnsi="仿宋_GB2312" w:cs="仿宋_GB2312" w:hint="eastAsia"/>
          <w:color w:val="000000"/>
          <w:sz w:val="32"/>
          <w:szCs w:val="32"/>
        </w:rPr>
        <w:t>种类及</w:t>
      </w:r>
      <w:r>
        <w:rPr>
          <w:rFonts w:ascii="仿宋_GB2312" w:eastAsia="仿宋_GB2312" w:hAnsi="仿宋_GB2312" w:cs="仿宋_GB2312" w:hint="eastAsia"/>
          <w:color w:val="000000"/>
          <w:sz w:val="32"/>
          <w:szCs w:val="32"/>
        </w:rPr>
        <w:t>折算率、</w:t>
      </w:r>
      <w:r>
        <w:rPr>
          <w:rFonts w:ascii="仿宋_GB2312" w:eastAsia="仿宋_GB2312" w:hAnsi="仿宋_GB2312" w:cs="仿宋_GB2312" w:hint="eastAsia"/>
          <w:color w:val="000000"/>
          <w:sz w:val="32"/>
          <w:szCs w:val="32"/>
        </w:rPr>
        <w:t>最低</w:t>
      </w:r>
      <w:r>
        <w:rPr>
          <w:rFonts w:ascii="仿宋_GB2312" w:eastAsia="仿宋_GB2312" w:hAnsi="仿宋_GB2312" w:cs="仿宋_GB2312" w:hint="eastAsia"/>
          <w:color w:val="000000"/>
          <w:sz w:val="32"/>
          <w:szCs w:val="32"/>
        </w:rPr>
        <w:t>维持担保比例等进行动态调整</w:t>
      </w:r>
      <w:r>
        <w:rPr>
          <w:rFonts w:ascii="仿宋_GB2312" w:eastAsia="仿宋_GB2312" w:hAnsi="仿宋_GB2312" w:cs="仿宋_GB2312" w:hint="eastAsia"/>
          <w:color w:val="000000"/>
          <w:sz w:val="32"/>
          <w:szCs w:val="32"/>
        </w:rPr>
        <w:t>，实施逆周期调节</w:t>
      </w:r>
      <w:r>
        <w:rPr>
          <w:rFonts w:ascii="仿宋_GB2312" w:eastAsia="仿宋_GB2312" w:hAnsi="仿宋_GB2312" w:cs="仿宋_GB2312" w:hint="eastAsia"/>
          <w:color w:val="000000"/>
          <w:sz w:val="32"/>
          <w:szCs w:val="32"/>
        </w:rPr>
        <w:t>。</w:t>
      </w:r>
    </w:p>
    <w:p w14:paraId="752399EC" w14:textId="77777777" w:rsidR="00D61260" w:rsidRDefault="007021BF">
      <w:pPr>
        <w:tabs>
          <w:tab w:val="left" w:pos="1565"/>
          <w:tab w:val="left" w:pos="2520"/>
        </w:tabs>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lang w:val="zh-CN"/>
        </w:rPr>
        <w:t>证券交易所可以对单一证券的市场融资买入量、融券卖出量和担保物持有量占其市场流通量的比例、融券卖出的价格</w:t>
      </w:r>
      <w:proofErr w:type="gramStart"/>
      <w:r>
        <w:rPr>
          <w:rFonts w:ascii="仿宋_GB2312" w:eastAsia="仿宋_GB2312" w:hAnsi="仿宋_GB2312" w:cs="仿宋_GB2312" w:hint="eastAsia"/>
          <w:color w:val="000000"/>
          <w:sz w:val="32"/>
          <w:szCs w:val="32"/>
          <w:lang w:val="zh-CN"/>
        </w:rPr>
        <w:t>作出</w:t>
      </w:r>
      <w:proofErr w:type="gramEnd"/>
      <w:r>
        <w:rPr>
          <w:rFonts w:ascii="仿宋_GB2312" w:eastAsia="仿宋_GB2312" w:hAnsi="仿宋_GB2312" w:cs="仿宋_GB2312" w:hint="eastAsia"/>
          <w:color w:val="000000"/>
          <w:sz w:val="32"/>
          <w:szCs w:val="32"/>
          <w:lang w:val="zh-CN"/>
        </w:rPr>
        <w:t>限制性规定。</w:t>
      </w:r>
    </w:p>
    <w:p w14:paraId="71D4EA78" w14:textId="77777777" w:rsidR="00D61260" w:rsidRDefault="007021BF">
      <w:pPr>
        <w:tabs>
          <w:tab w:val="left" w:pos="1565"/>
          <w:tab w:val="left" w:pos="2520"/>
        </w:tabs>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证券公司应当在符合监管要求的前提下，根据市场情况</w:t>
      </w:r>
      <w:r>
        <w:rPr>
          <w:rFonts w:ascii="仿宋_GB2312" w:eastAsia="仿宋_GB2312" w:hAnsi="仿宋_GB2312" w:cs="仿宋_GB2312" w:hint="eastAsia"/>
          <w:color w:val="000000"/>
          <w:sz w:val="32"/>
          <w:szCs w:val="32"/>
        </w:rPr>
        <w:t>、客户</w:t>
      </w:r>
      <w:r>
        <w:rPr>
          <w:rFonts w:ascii="仿宋_GB2312" w:eastAsia="仿宋_GB2312" w:hAnsi="仿宋_GB2312" w:cs="仿宋_GB2312" w:hint="eastAsia"/>
          <w:color w:val="000000"/>
          <w:sz w:val="32"/>
          <w:szCs w:val="32"/>
        </w:rPr>
        <w:t>和</w:t>
      </w:r>
      <w:r>
        <w:rPr>
          <w:rFonts w:ascii="仿宋_GB2312" w:eastAsia="仿宋_GB2312" w:hAnsi="仿宋_GB2312" w:cs="仿宋_GB2312" w:hint="eastAsia"/>
          <w:color w:val="000000"/>
          <w:sz w:val="32"/>
          <w:szCs w:val="32"/>
        </w:rPr>
        <w:t>自身</w:t>
      </w:r>
      <w:r>
        <w:rPr>
          <w:rFonts w:ascii="仿宋_GB2312" w:eastAsia="仿宋_GB2312" w:hAnsi="仿宋_GB2312" w:cs="仿宋_GB2312" w:hint="eastAsia"/>
          <w:color w:val="000000"/>
          <w:sz w:val="32"/>
          <w:szCs w:val="32"/>
        </w:rPr>
        <w:t>风险承受能力，对融资融券业务保证金比例、标的证券范围、可充抵保证金</w:t>
      </w:r>
      <w:r>
        <w:rPr>
          <w:rFonts w:ascii="仿宋_GB2312" w:eastAsia="仿宋_GB2312" w:hAnsi="仿宋_GB2312" w:cs="仿宋_GB2312" w:hint="eastAsia"/>
          <w:color w:val="000000"/>
          <w:sz w:val="32"/>
          <w:szCs w:val="32"/>
        </w:rPr>
        <w:t>的</w:t>
      </w:r>
      <w:r>
        <w:rPr>
          <w:rFonts w:ascii="仿宋_GB2312" w:eastAsia="仿宋_GB2312" w:hAnsi="仿宋_GB2312" w:cs="仿宋_GB2312" w:hint="eastAsia"/>
          <w:color w:val="000000"/>
          <w:sz w:val="32"/>
          <w:szCs w:val="32"/>
        </w:rPr>
        <w:t>证券</w:t>
      </w:r>
      <w:r>
        <w:rPr>
          <w:rFonts w:ascii="仿宋_GB2312" w:eastAsia="仿宋_GB2312" w:hAnsi="仿宋_GB2312" w:cs="仿宋_GB2312" w:hint="eastAsia"/>
          <w:color w:val="000000"/>
          <w:sz w:val="32"/>
          <w:szCs w:val="32"/>
        </w:rPr>
        <w:t>种类及</w:t>
      </w:r>
      <w:r>
        <w:rPr>
          <w:rFonts w:ascii="仿宋_GB2312" w:eastAsia="仿宋_GB2312" w:hAnsi="仿宋_GB2312" w:cs="仿宋_GB2312" w:hint="eastAsia"/>
          <w:color w:val="000000"/>
          <w:sz w:val="32"/>
          <w:szCs w:val="32"/>
        </w:rPr>
        <w:t>折算率、最低维持担保比例和业务集中度等进行动态调整</w:t>
      </w:r>
      <w:r>
        <w:rPr>
          <w:rFonts w:ascii="仿宋_GB2312" w:eastAsia="仿宋_GB2312" w:hAnsi="仿宋_GB2312" w:cs="仿宋_GB2312" w:hint="eastAsia"/>
          <w:color w:val="000000"/>
          <w:sz w:val="32"/>
          <w:szCs w:val="32"/>
        </w:rPr>
        <w:t>和差异化控制</w:t>
      </w:r>
      <w:r>
        <w:rPr>
          <w:rFonts w:ascii="仿宋_GB2312" w:eastAsia="仿宋_GB2312" w:hAnsi="仿宋_GB2312" w:cs="仿宋_GB2312" w:hint="eastAsia"/>
          <w:color w:val="000000"/>
          <w:sz w:val="32"/>
          <w:szCs w:val="32"/>
        </w:rPr>
        <w:t>。</w:t>
      </w:r>
    </w:p>
    <w:p w14:paraId="1033E1A0" w14:textId="77777777" w:rsidR="00D61260" w:rsidRDefault="007021BF">
      <w:pPr>
        <w:tabs>
          <w:tab w:val="left" w:pos="1565"/>
          <w:tab w:val="left" w:pos="2520"/>
        </w:tabs>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业务集中度包括：向全体客户融资、融券的金额占净资本的比例，单一证券的融资、融券的金额占净资本的比例，接受单只担保证券的市值占该证券总市值的比例，单一客户提交单只担保证券的市值占该客户担保物市值的比例等。</w:t>
      </w:r>
    </w:p>
    <w:p w14:paraId="31637D7C" w14:textId="77777777" w:rsidR="00D61260" w:rsidRDefault="007021BF">
      <w:pPr>
        <w:tabs>
          <w:tab w:val="left" w:pos="1565"/>
          <w:tab w:val="left" w:pos="2520"/>
        </w:tabs>
        <w:ind w:firstLineChars="200" w:firstLine="640"/>
        <w:rPr>
          <w:rFonts w:ascii="仿宋_GB2312" w:eastAsia="仿宋_GB2312" w:hAnsi="仿宋_GB2312" w:cs="仿宋_GB2312"/>
          <w:color w:val="000000"/>
          <w:sz w:val="32"/>
          <w:szCs w:val="32"/>
          <w:lang w:val="zh-CN"/>
        </w:rPr>
      </w:pPr>
      <w:r>
        <w:rPr>
          <w:rStyle w:val="a7"/>
          <w:rFonts w:ascii="黑体" w:eastAsia="黑体" w:hAnsi="黑体" w:cs="黑体" w:hint="eastAsia"/>
          <w:b w:val="0"/>
          <w:color w:val="000000"/>
          <w:sz w:val="32"/>
          <w:szCs w:val="32"/>
        </w:rPr>
        <w:t>第三十七条</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lang w:val="zh-CN"/>
        </w:rPr>
        <w:t>证券公司开展融资融券业务，应当建立完备的管理制度、操作流程和风险识别、评估与控制体系，确保风险可</w:t>
      </w:r>
      <w:r>
        <w:rPr>
          <w:rFonts w:ascii="仿宋_GB2312" w:eastAsia="仿宋_GB2312" w:hAnsi="仿宋_GB2312" w:cs="仿宋_GB2312" w:hint="eastAsia"/>
          <w:color w:val="000000"/>
          <w:sz w:val="32"/>
          <w:szCs w:val="32"/>
          <w:lang w:val="zh-CN"/>
        </w:rPr>
        <w:lastRenderedPageBreak/>
        <w:t>测、可控、可承受。</w:t>
      </w:r>
    </w:p>
    <w:p w14:paraId="50D1C707" w14:textId="77777777" w:rsidR="00D61260" w:rsidRDefault="007021BF">
      <w:pPr>
        <w:tabs>
          <w:tab w:val="left" w:pos="1565"/>
          <w:tab w:val="left" w:pos="2520"/>
        </w:tabs>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lang w:val="zh-CN"/>
        </w:rPr>
        <w:t>证券公司应当对融资融券业务实行集中统一管理。融资融券业务的决策和主要管理职责应当由证券公司总部承担。</w:t>
      </w:r>
    </w:p>
    <w:p w14:paraId="1ACD2E3D" w14:textId="77777777" w:rsidR="00D61260" w:rsidRDefault="007021BF">
      <w:pPr>
        <w:tabs>
          <w:tab w:val="left" w:pos="1565"/>
          <w:tab w:val="left" w:pos="2520"/>
        </w:tabs>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证券公司应当建立健全融资融券业务压力测试机制，定期、不定期对融资融券业务的流</w:t>
      </w:r>
      <w:r>
        <w:rPr>
          <w:rFonts w:ascii="仿宋_GB2312" w:eastAsia="仿宋_GB2312" w:hAnsi="仿宋_GB2312" w:cs="仿宋_GB2312" w:hint="eastAsia"/>
          <w:color w:val="000000"/>
          <w:sz w:val="32"/>
          <w:szCs w:val="32"/>
        </w:rPr>
        <w:t>动性风险、信用风险、市场风险、技术系统风险等进行压力测试，根据压力测试结果对</w:t>
      </w:r>
      <w:r>
        <w:rPr>
          <w:rFonts w:ascii="仿宋_GB2312" w:eastAsia="仿宋_GB2312" w:hAnsi="仿宋_GB2312" w:cs="仿宋_GB2312" w:hint="eastAsia"/>
          <w:color w:val="000000"/>
          <w:sz w:val="32"/>
          <w:szCs w:val="32"/>
        </w:rPr>
        <w:t>本办法</w:t>
      </w:r>
      <w:r>
        <w:rPr>
          <w:rFonts w:ascii="仿宋_GB2312" w:eastAsia="仿宋_GB2312" w:hAnsi="仿宋_GB2312" w:cs="仿宋_GB2312" w:hint="eastAsia"/>
          <w:color w:val="000000"/>
          <w:sz w:val="32"/>
          <w:szCs w:val="32"/>
        </w:rPr>
        <w:t>第三十</w:t>
      </w:r>
      <w:r>
        <w:rPr>
          <w:rFonts w:ascii="仿宋_GB2312" w:eastAsia="仿宋_GB2312" w:hAnsi="仿宋_GB2312" w:cs="仿宋_GB2312" w:hint="eastAsia"/>
          <w:color w:val="000000"/>
          <w:sz w:val="32"/>
          <w:szCs w:val="32"/>
        </w:rPr>
        <w:t>六</w:t>
      </w:r>
      <w:r>
        <w:rPr>
          <w:rFonts w:ascii="仿宋_GB2312" w:eastAsia="仿宋_GB2312" w:hAnsi="仿宋_GB2312" w:cs="仿宋_GB2312" w:hint="eastAsia"/>
          <w:color w:val="000000"/>
          <w:sz w:val="32"/>
          <w:szCs w:val="32"/>
        </w:rPr>
        <w:t>条第三款</w:t>
      </w:r>
      <w:r>
        <w:rPr>
          <w:rFonts w:ascii="仿宋_GB2312" w:eastAsia="仿宋_GB2312" w:hAnsi="仿宋_GB2312" w:cs="仿宋_GB2312" w:hint="eastAsia"/>
          <w:color w:val="000000"/>
          <w:sz w:val="32"/>
          <w:szCs w:val="32"/>
        </w:rPr>
        <w:t>所规定的本公司</w:t>
      </w:r>
      <w:r>
        <w:rPr>
          <w:rFonts w:ascii="仿宋_GB2312" w:eastAsia="仿宋_GB2312" w:hAnsi="仿宋_GB2312" w:cs="仿宋_GB2312" w:hint="eastAsia"/>
          <w:color w:val="000000"/>
          <w:sz w:val="32"/>
          <w:szCs w:val="32"/>
        </w:rPr>
        <w:t>相关指标进行优化和调整。</w:t>
      </w:r>
    </w:p>
    <w:p w14:paraId="4C7393B4" w14:textId="77777777" w:rsidR="00D61260" w:rsidRDefault="007021BF">
      <w:pPr>
        <w:tabs>
          <w:tab w:val="left" w:pos="1565"/>
          <w:tab w:val="left" w:pos="2520"/>
        </w:tabs>
        <w:ind w:firstLineChars="200" w:firstLine="640"/>
        <w:rPr>
          <w:rFonts w:ascii="仿宋_GB2312" w:eastAsia="仿宋_GB2312" w:hAnsi="仿宋_GB2312" w:cs="仿宋_GB2312"/>
          <w:color w:val="000000"/>
          <w:sz w:val="32"/>
          <w:szCs w:val="32"/>
        </w:rPr>
      </w:pPr>
      <w:r>
        <w:rPr>
          <w:rStyle w:val="a7"/>
          <w:rFonts w:ascii="黑体" w:eastAsia="黑体" w:hAnsi="黑体" w:cs="黑体" w:hint="eastAsia"/>
          <w:b w:val="0"/>
          <w:color w:val="000000"/>
          <w:sz w:val="32"/>
          <w:szCs w:val="32"/>
        </w:rPr>
        <w:t>第三十八条</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证券交易所应当按照业务规则，采取措施，对融资融券交易的指令进行前端检查，对买卖证券的种类、融券卖出的价格等违反规定的交易指令，予以拒绝。</w:t>
      </w:r>
      <w:r>
        <w:rPr>
          <w:rFonts w:ascii="仿宋_GB2312" w:eastAsia="仿宋_GB2312" w:hAnsi="仿宋_GB2312" w:cs="仿宋_GB2312" w:hint="eastAsia"/>
          <w:color w:val="000000"/>
          <w:sz w:val="32"/>
          <w:szCs w:val="32"/>
        </w:rPr>
        <w:t xml:space="preserve"> </w:t>
      </w:r>
    </w:p>
    <w:p w14:paraId="08F64D6A" w14:textId="77777777" w:rsidR="00D61260" w:rsidRDefault="007021BF">
      <w:pPr>
        <w:pStyle w:val="a6"/>
        <w:widowControl w:val="0"/>
        <w:spacing w:before="0" w:beforeAutospacing="0" w:after="0" w:afterAutospacing="0"/>
        <w:ind w:firstLineChars="200" w:firstLine="640"/>
        <w:jc w:val="both"/>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单一证券的市场融资买入量</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融券卖出量或者担保物持有量占其市场流通量的比例达到规定的最高</w:t>
      </w:r>
      <w:r>
        <w:rPr>
          <w:rFonts w:ascii="仿宋_GB2312" w:eastAsia="仿宋_GB2312" w:hAnsi="仿宋_GB2312" w:cs="仿宋_GB2312" w:hint="eastAsia"/>
          <w:color w:val="000000"/>
          <w:sz w:val="32"/>
          <w:szCs w:val="32"/>
        </w:rPr>
        <w:t>限制比例</w:t>
      </w:r>
      <w:r>
        <w:rPr>
          <w:rFonts w:ascii="仿宋_GB2312" w:eastAsia="仿宋_GB2312" w:hAnsi="仿宋_GB2312" w:cs="仿宋_GB2312" w:hint="eastAsia"/>
          <w:color w:val="000000"/>
          <w:sz w:val="32"/>
          <w:szCs w:val="32"/>
        </w:rPr>
        <w:t>的，证券交易所可以暂停接受该种证券的融资买入指令或者融券卖出指令。</w:t>
      </w:r>
    </w:p>
    <w:p w14:paraId="6C0499FF" w14:textId="77777777" w:rsidR="00D61260" w:rsidRDefault="007021BF">
      <w:pPr>
        <w:tabs>
          <w:tab w:val="left" w:pos="1565"/>
          <w:tab w:val="left" w:pos="2520"/>
        </w:tabs>
        <w:ind w:firstLineChars="200" w:firstLine="640"/>
        <w:rPr>
          <w:rFonts w:ascii="仿宋_GB2312" w:eastAsia="仿宋_GB2312" w:hAnsi="仿宋_GB2312" w:cs="仿宋_GB2312"/>
          <w:color w:val="000000"/>
          <w:sz w:val="32"/>
          <w:szCs w:val="32"/>
        </w:rPr>
      </w:pPr>
      <w:r>
        <w:rPr>
          <w:rStyle w:val="a7"/>
          <w:rFonts w:ascii="黑体" w:eastAsia="黑体" w:hAnsi="黑体" w:cs="黑体" w:hint="eastAsia"/>
          <w:b w:val="0"/>
          <w:color w:val="000000"/>
          <w:sz w:val="32"/>
          <w:szCs w:val="32"/>
        </w:rPr>
        <w:t>第三十九条</w:t>
      </w:r>
      <w:r>
        <w:rPr>
          <w:rStyle w:val="a7"/>
          <w:rFonts w:ascii="黑体" w:eastAsia="黑体" w:hAnsi="黑体" w:cs="黑体" w:hint="eastAsia"/>
          <w:b w:val="0"/>
          <w:color w:val="000000"/>
          <w:sz w:val="32"/>
          <w:szCs w:val="32"/>
        </w:rPr>
        <w:t xml:space="preserve">  </w:t>
      </w:r>
      <w:r>
        <w:rPr>
          <w:rFonts w:ascii="仿宋_GB2312" w:eastAsia="仿宋_GB2312" w:hAnsi="仿宋_GB2312" w:cs="仿宋_GB2312" w:hint="eastAsia"/>
          <w:color w:val="000000"/>
          <w:sz w:val="32"/>
          <w:szCs w:val="32"/>
        </w:rPr>
        <w:t>融资融券交易活动出现异常，已经或者可能危及市场稳定，有必要暂停交易的，证券交易所应当按照业务规则的规定，暂停部分或者全部证券的融资融券交易并公告。</w:t>
      </w:r>
    </w:p>
    <w:p w14:paraId="0794B836" w14:textId="77777777" w:rsidR="00D61260" w:rsidRDefault="007021BF">
      <w:pPr>
        <w:tabs>
          <w:tab w:val="left" w:pos="1565"/>
          <w:tab w:val="left" w:pos="2520"/>
        </w:tabs>
        <w:ind w:firstLineChars="200" w:firstLine="640"/>
        <w:rPr>
          <w:rFonts w:ascii="仿宋_GB2312" w:eastAsia="仿宋_GB2312" w:hAnsi="仿宋_GB2312" w:cs="仿宋_GB2312"/>
          <w:color w:val="000000"/>
          <w:sz w:val="32"/>
          <w:szCs w:val="32"/>
        </w:rPr>
      </w:pPr>
      <w:r>
        <w:rPr>
          <w:rStyle w:val="a7"/>
          <w:rFonts w:ascii="黑体" w:eastAsia="黑体" w:hAnsi="黑体" w:cs="黑体" w:hint="eastAsia"/>
          <w:b w:val="0"/>
          <w:color w:val="000000"/>
          <w:sz w:val="32"/>
          <w:szCs w:val="32"/>
        </w:rPr>
        <w:t>第四十条</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证券登记结算机构应当按照业务规则，对与融资融券交易有关的证券划转和证券公司信用交易资金交收账户内的资金划转情况进行监督。对违反规定的证券和资金划转指令，</w:t>
      </w:r>
      <w:r>
        <w:rPr>
          <w:rFonts w:ascii="仿宋_GB2312" w:eastAsia="仿宋_GB2312" w:hAnsi="仿宋_GB2312" w:cs="仿宋_GB2312" w:hint="eastAsia"/>
          <w:color w:val="000000"/>
          <w:sz w:val="32"/>
          <w:szCs w:val="32"/>
        </w:rPr>
        <w:lastRenderedPageBreak/>
        <w:t>予以拒绝；发现异常情况的，应当要求证券公司</w:t>
      </w:r>
      <w:proofErr w:type="gramStart"/>
      <w:r>
        <w:rPr>
          <w:rFonts w:ascii="仿宋_GB2312" w:eastAsia="仿宋_GB2312" w:hAnsi="仿宋_GB2312" w:cs="仿宋_GB2312" w:hint="eastAsia"/>
          <w:color w:val="000000"/>
          <w:sz w:val="32"/>
          <w:szCs w:val="32"/>
        </w:rPr>
        <w:t>作出</w:t>
      </w:r>
      <w:proofErr w:type="gramEnd"/>
      <w:r>
        <w:rPr>
          <w:rFonts w:ascii="仿宋_GB2312" w:eastAsia="仿宋_GB2312" w:hAnsi="仿宋_GB2312" w:cs="仿宋_GB2312" w:hint="eastAsia"/>
          <w:color w:val="000000"/>
          <w:sz w:val="32"/>
          <w:szCs w:val="32"/>
        </w:rPr>
        <w:t>说明，并向证监会及该公司</w:t>
      </w:r>
      <w:r>
        <w:rPr>
          <w:rFonts w:ascii="仿宋_GB2312" w:eastAsia="仿宋_GB2312" w:hAnsi="仿宋_GB2312" w:cs="仿宋_GB2312" w:hint="eastAsia"/>
          <w:color w:val="000000"/>
          <w:sz w:val="32"/>
          <w:szCs w:val="32"/>
        </w:rPr>
        <w:t>住所地</w:t>
      </w:r>
      <w:r>
        <w:rPr>
          <w:rFonts w:ascii="仿宋_GB2312" w:eastAsia="仿宋_GB2312" w:hAnsi="仿宋_GB2312" w:cs="仿宋_GB2312" w:hint="eastAsia"/>
          <w:color w:val="000000"/>
          <w:sz w:val="32"/>
          <w:szCs w:val="32"/>
        </w:rPr>
        <w:t>证监会派出机构报告。</w:t>
      </w:r>
    </w:p>
    <w:p w14:paraId="6F6BAABC" w14:textId="77777777" w:rsidR="00D61260" w:rsidRDefault="007021BF">
      <w:pPr>
        <w:tabs>
          <w:tab w:val="left" w:pos="1565"/>
          <w:tab w:val="left" w:pos="2520"/>
        </w:tabs>
        <w:ind w:firstLineChars="200" w:firstLine="640"/>
        <w:rPr>
          <w:rFonts w:ascii="仿宋_GB2312" w:eastAsia="仿宋_GB2312" w:hAnsi="仿宋_GB2312" w:cs="仿宋_GB2312"/>
          <w:color w:val="000000"/>
          <w:sz w:val="32"/>
          <w:szCs w:val="32"/>
        </w:rPr>
      </w:pPr>
      <w:r>
        <w:rPr>
          <w:rStyle w:val="a7"/>
          <w:rFonts w:ascii="黑体" w:eastAsia="黑体" w:hAnsi="黑体" w:cs="黑体" w:hint="eastAsia"/>
          <w:b w:val="0"/>
          <w:color w:val="000000"/>
          <w:sz w:val="32"/>
          <w:szCs w:val="32"/>
        </w:rPr>
        <w:t>第四十一条</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中国</w:t>
      </w:r>
      <w:r>
        <w:rPr>
          <w:rFonts w:ascii="仿宋_GB2312" w:eastAsia="仿宋_GB2312" w:hAnsi="仿宋_GB2312" w:cs="仿宋_GB2312" w:hint="eastAsia"/>
          <w:color w:val="000000"/>
          <w:sz w:val="32"/>
          <w:szCs w:val="32"/>
        </w:rPr>
        <w:t>证券金融公司应当按照业务规则，要求证券公司及时、准确、真实、完整报送融资融券业务有关</w:t>
      </w:r>
      <w:r>
        <w:rPr>
          <w:rFonts w:ascii="仿宋_GB2312" w:eastAsia="仿宋_GB2312" w:hAnsi="仿宋_GB2312" w:cs="仿宋_GB2312" w:hint="eastAsia"/>
          <w:color w:val="000000"/>
          <w:sz w:val="32"/>
          <w:szCs w:val="32"/>
        </w:rPr>
        <w:t>数据信息；对证券公司融资融券数据进行统计分析，编制定期报告和专项报告，报送证监会；监测监控融资融券业务风险，对发现的重大业务风险情况，及时报告证监会。</w:t>
      </w:r>
    </w:p>
    <w:p w14:paraId="1081D434" w14:textId="77777777" w:rsidR="00D61260" w:rsidRDefault="007021BF">
      <w:pPr>
        <w:tabs>
          <w:tab w:val="left" w:pos="1565"/>
          <w:tab w:val="left" w:pos="2520"/>
        </w:tabs>
        <w:ind w:firstLineChars="200" w:firstLine="640"/>
        <w:rPr>
          <w:rFonts w:ascii="仿宋_GB2312" w:eastAsia="仿宋_GB2312" w:hAnsi="仿宋_GB2312" w:cs="仿宋_GB2312"/>
          <w:color w:val="000000"/>
          <w:sz w:val="32"/>
          <w:szCs w:val="32"/>
        </w:rPr>
      </w:pPr>
      <w:r>
        <w:rPr>
          <w:rStyle w:val="a7"/>
          <w:rFonts w:ascii="黑体" w:eastAsia="黑体" w:hAnsi="黑体" w:cs="黑体" w:hint="eastAsia"/>
          <w:b w:val="0"/>
          <w:color w:val="000000"/>
          <w:sz w:val="32"/>
          <w:szCs w:val="32"/>
        </w:rPr>
        <w:t>第四十二条</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证券公司融资融券业务涉及的客户信用交易资金应</w:t>
      </w:r>
      <w:r>
        <w:rPr>
          <w:rFonts w:ascii="仿宋_GB2312" w:eastAsia="仿宋_GB2312" w:hAnsi="仿宋_GB2312" w:cs="仿宋_GB2312" w:hint="eastAsia"/>
          <w:color w:val="000000"/>
          <w:sz w:val="32"/>
          <w:szCs w:val="32"/>
        </w:rPr>
        <w:t>当</w:t>
      </w:r>
      <w:r>
        <w:rPr>
          <w:rFonts w:ascii="仿宋_GB2312" w:eastAsia="仿宋_GB2312" w:hAnsi="仿宋_GB2312" w:cs="仿宋_GB2312" w:hint="eastAsia"/>
          <w:color w:val="000000"/>
          <w:sz w:val="32"/>
          <w:szCs w:val="32"/>
        </w:rPr>
        <w:t>纳入证券市场交易结算资金监控系统，证券公司、存管银行、登记结算</w:t>
      </w:r>
      <w:r>
        <w:rPr>
          <w:rFonts w:ascii="仿宋_GB2312" w:eastAsia="仿宋_GB2312" w:hAnsi="仿宋_GB2312" w:cs="仿宋_GB2312" w:hint="eastAsia"/>
          <w:color w:val="000000"/>
          <w:sz w:val="32"/>
          <w:szCs w:val="32"/>
        </w:rPr>
        <w:t>机构</w:t>
      </w:r>
      <w:r>
        <w:rPr>
          <w:rFonts w:ascii="仿宋_GB2312" w:eastAsia="仿宋_GB2312" w:hAnsi="仿宋_GB2312" w:cs="仿宋_GB2312" w:hint="eastAsia"/>
          <w:color w:val="000000"/>
          <w:sz w:val="32"/>
          <w:szCs w:val="32"/>
        </w:rPr>
        <w:t>等应</w:t>
      </w:r>
      <w:r>
        <w:rPr>
          <w:rFonts w:ascii="仿宋_GB2312" w:eastAsia="仿宋_GB2312" w:hAnsi="仿宋_GB2312" w:cs="仿宋_GB2312" w:hint="eastAsia"/>
          <w:color w:val="000000"/>
          <w:sz w:val="32"/>
          <w:szCs w:val="32"/>
        </w:rPr>
        <w:t>当</w:t>
      </w:r>
      <w:r>
        <w:rPr>
          <w:rFonts w:ascii="仿宋_GB2312" w:eastAsia="仿宋_GB2312" w:hAnsi="仿宋_GB2312" w:cs="仿宋_GB2312" w:hint="eastAsia"/>
          <w:color w:val="000000"/>
          <w:sz w:val="32"/>
          <w:szCs w:val="32"/>
        </w:rPr>
        <w:t>按要求向中国证券投资者保护基金公司报送相关数据信息。</w:t>
      </w:r>
    </w:p>
    <w:p w14:paraId="5FB68390" w14:textId="77777777" w:rsidR="00D61260" w:rsidRDefault="007021BF">
      <w:pPr>
        <w:tabs>
          <w:tab w:val="left" w:pos="1565"/>
          <w:tab w:val="left" w:pos="2520"/>
        </w:tabs>
        <w:ind w:firstLineChars="200" w:firstLine="640"/>
        <w:rPr>
          <w:rFonts w:ascii="仿宋_GB2312" w:eastAsia="仿宋_GB2312" w:hAnsi="仿宋_GB2312" w:cs="仿宋_GB2312"/>
          <w:color w:val="000000"/>
          <w:sz w:val="32"/>
          <w:szCs w:val="32"/>
        </w:rPr>
      </w:pPr>
      <w:r>
        <w:rPr>
          <w:rStyle w:val="a7"/>
          <w:rFonts w:ascii="黑体" w:eastAsia="黑体" w:hAnsi="黑体" w:cs="黑体" w:hint="eastAsia"/>
          <w:b w:val="0"/>
          <w:color w:val="000000"/>
          <w:sz w:val="32"/>
          <w:szCs w:val="32"/>
        </w:rPr>
        <w:t>第四十三条</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负责客户信用资金存管的商业银行应当按照客户信用资金存管协议的约定，对证券公司违反规定的资金划拨指令予以拒绝；发现异常情况的，应当要求证券公司</w:t>
      </w:r>
      <w:proofErr w:type="gramStart"/>
      <w:r>
        <w:rPr>
          <w:rFonts w:ascii="仿宋_GB2312" w:eastAsia="仿宋_GB2312" w:hAnsi="仿宋_GB2312" w:cs="仿宋_GB2312" w:hint="eastAsia"/>
          <w:color w:val="000000"/>
          <w:sz w:val="32"/>
          <w:szCs w:val="32"/>
        </w:rPr>
        <w:t>作出</w:t>
      </w:r>
      <w:proofErr w:type="gramEnd"/>
      <w:r>
        <w:rPr>
          <w:rFonts w:ascii="仿宋_GB2312" w:eastAsia="仿宋_GB2312" w:hAnsi="仿宋_GB2312" w:cs="仿宋_GB2312" w:hint="eastAsia"/>
          <w:color w:val="000000"/>
          <w:sz w:val="32"/>
          <w:szCs w:val="32"/>
        </w:rPr>
        <w:t>说明，并向证监会</w:t>
      </w:r>
      <w:r>
        <w:rPr>
          <w:rFonts w:ascii="仿宋_GB2312" w:eastAsia="仿宋_GB2312" w:hAnsi="仿宋_GB2312" w:cs="仿宋_GB2312" w:hint="eastAsia"/>
          <w:color w:val="000000"/>
          <w:sz w:val="32"/>
          <w:szCs w:val="32"/>
        </w:rPr>
        <w:t>及该公司</w:t>
      </w:r>
      <w:r>
        <w:rPr>
          <w:rFonts w:ascii="仿宋_GB2312" w:eastAsia="仿宋_GB2312" w:hAnsi="仿宋_GB2312" w:cs="仿宋_GB2312" w:hint="eastAsia"/>
          <w:color w:val="000000"/>
          <w:sz w:val="32"/>
          <w:szCs w:val="32"/>
        </w:rPr>
        <w:t>住所地</w:t>
      </w:r>
      <w:r>
        <w:rPr>
          <w:rFonts w:ascii="仿宋_GB2312" w:eastAsia="仿宋_GB2312" w:hAnsi="仿宋_GB2312" w:cs="仿宋_GB2312" w:hint="eastAsia"/>
          <w:color w:val="000000"/>
          <w:sz w:val="32"/>
          <w:szCs w:val="32"/>
        </w:rPr>
        <w:t>证监会派出机构报告。</w:t>
      </w:r>
    </w:p>
    <w:p w14:paraId="77E21FBF" w14:textId="77777777" w:rsidR="00D61260" w:rsidRDefault="007021BF">
      <w:pPr>
        <w:tabs>
          <w:tab w:val="left" w:pos="1565"/>
          <w:tab w:val="left" w:pos="2520"/>
        </w:tabs>
        <w:ind w:firstLineChars="200" w:firstLine="640"/>
        <w:rPr>
          <w:rFonts w:ascii="仿宋_GB2312" w:eastAsia="仿宋_GB2312" w:hAnsi="仿宋_GB2312" w:cs="仿宋_GB2312"/>
          <w:color w:val="000000"/>
          <w:sz w:val="32"/>
          <w:szCs w:val="32"/>
        </w:rPr>
      </w:pPr>
      <w:r>
        <w:rPr>
          <w:rStyle w:val="a7"/>
          <w:rFonts w:ascii="黑体" w:eastAsia="黑体" w:hAnsi="黑体" w:cs="黑体" w:hint="eastAsia"/>
          <w:b w:val="0"/>
          <w:color w:val="000000"/>
          <w:sz w:val="32"/>
          <w:szCs w:val="32"/>
        </w:rPr>
        <w:t>第四十四条</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证券公司应当按照融资融券合同约定的方式，向客户送交对账单，并为其提供信用证券账户和信用资金账户内数据的查询服务。</w:t>
      </w:r>
      <w:r>
        <w:rPr>
          <w:rFonts w:ascii="仿宋_GB2312" w:eastAsia="仿宋_GB2312" w:hAnsi="仿宋_GB2312" w:cs="仿宋_GB2312" w:hint="eastAsia"/>
          <w:color w:val="000000"/>
          <w:sz w:val="32"/>
          <w:szCs w:val="32"/>
        </w:rPr>
        <w:t xml:space="preserve"> </w:t>
      </w:r>
    </w:p>
    <w:p w14:paraId="38E8ECEE" w14:textId="77777777" w:rsidR="00D61260" w:rsidRDefault="007021BF">
      <w:pPr>
        <w:pStyle w:val="a6"/>
        <w:widowControl w:val="0"/>
        <w:spacing w:before="0" w:beforeAutospacing="0" w:after="0" w:afterAutospacing="0"/>
        <w:ind w:firstLineChars="200" w:firstLine="640"/>
        <w:jc w:val="both"/>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证券登记结算机构应当为客户提供其信用证券账户内数据</w:t>
      </w:r>
      <w:r>
        <w:rPr>
          <w:rFonts w:ascii="仿宋_GB2312" w:eastAsia="仿宋_GB2312" w:hAnsi="仿宋_GB2312" w:cs="仿宋_GB2312" w:hint="eastAsia"/>
          <w:color w:val="000000"/>
          <w:sz w:val="32"/>
          <w:szCs w:val="32"/>
        </w:rPr>
        <w:lastRenderedPageBreak/>
        <w:t>的查询服务。负责客户信用资金存管的商业银行应当按照客户信用资金存管协议的约定，为客户提供其信用资金账户内数据的查询服务。</w:t>
      </w:r>
    </w:p>
    <w:p w14:paraId="5AD63AC1" w14:textId="77777777" w:rsidR="00D61260" w:rsidRDefault="007021BF">
      <w:pPr>
        <w:pStyle w:val="a6"/>
        <w:widowControl w:val="0"/>
        <w:spacing w:before="0" w:beforeAutospacing="0" w:after="0" w:afterAutospacing="0"/>
        <w:ind w:firstLineChars="200" w:firstLine="640"/>
        <w:jc w:val="both"/>
        <w:rPr>
          <w:rFonts w:ascii="仿宋_GB2312" w:eastAsia="仿宋_GB2312" w:hAnsi="仿宋_GB2312" w:cs="仿宋_GB2312"/>
          <w:color w:val="000000"/>
          <w:sz w:val="32"/>
          <w:szCs w:val="32"/>
        </w:rPr>
      </w:pPr>
      <w:r>
        <w:rPr>
          <w:rStyle w:val="a7"/>
          <w:rFonts w:ascii="黑体" w:eastAsia="黑体" w:hAnsi="黑体" w:cs="黑体" w:hint="eastAsia"/>
          <w:b w:val="0"/>
          <w:color w:val="000000"/>
          <w:kern w:val="2"/>
          <w:sz w:val="32"/>
          <w:szCs w:val="32"/>
        </w:rPr>
        <w:t>第四十五条</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证券公司应当通过有效的途径，及时告知客户融资、融券的收费标准及其变动情况。</w:t>
      </w:r>
    </w:p>
    <w:p w14:paraId="6798E536" w14:textId="77777777" w:rsidR="00D61260" w:rsidRDefault="007021BF">
      <w:pPr>
        <w:tabs>
          <w:tab w:val="left" w:pos="1565"/>
          <w:tab w:val="left" w:pos="2520"/>
        </w:tabs>
        <w:ind w:firstLineChars="200" w:firstLine="640"/>
        <w:rPr>
          <w:rFonts w:ascii="仿宋_GB2312" w:eastAsia="仿宋_GB2312" w:hAnsi="仿宋_GB2312" w:cs="仿宋_GB2312"/>
          <w:color w:val="000000"/>
          <w:sz w:val="32"/>
          <w:szCs w:val="32"/>
        </w:rPr>
      </w:pPr>
      <w:r>
        <w:rPr>
          <w:rStyle w:val="a7"/>
          <w:rFonts w:ascii="黑体" w:eastAsia="黑体" w:hAnsi="黑体" w:cs="黑体" w:hint="eastAsia"/>
          <w:b w:val="0"/>
          <w:color w:val="000000"/>
          <w:sz w:val="32"/>
          <w:szCs w:val="32"/>
        </w:rPr>
        <w:t>第四十六条</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证券公司应当按照证券交易所的规定，在每日收市后向其报告当日客户融资融券交易的有关信息。证券交易所应当对证券公司报送的信息进行汇总、统计，并在次一交易日开市前予以公告。</w:t>
      </w:r>
    </w:p>
    <w:p w14:paraId="6F9E466B" w14:textId="77777777" w:rsidR="00D61260" w:rsidRDefault="007021BF">
      <w:pPr>
        <w:tabs>
          <w:tab w:val="left" w:pos="1565"/>
          <w:tab w:val="left" w:pos="2520"/>
        </w:tabs>
        <w:ind w:firstLineChars="200" w:firstLine="640"/>
        <w:rPr>
          <w:rFonts w:ascii="仿宋_GB2312" w:eastAsia="仿宋_GB2312" w:hAnsi="仿宋_GB2312" w:cs="仿宋_GB2312"/>
          <w:color w:val="000000"/>
          <w:sz w:val="32"/>
          <w:szCs w:val="32"/>
        </w:rPr>
      </w:pPr>
      <w:r>
        <w:rPr>
          <w:rStyle w:val="a7"/>
          <w:rFonts w:ascii="黑体" w:eastAsia="黑体" w:hAnsi="黑体" w:cs="黑体" w:hint="eastAsia"/>
          <w:b w:val="0"/>
          <w:color w:val="000000"/>
          <w:sz w:val="32"/>
          <w:szCs w:val="32"/>
        </w:rPr>
        <w:t>第四十七条</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证监会及其派出机构、中国证券业协会、证券交易所、证券登记结算机构、</w:t>
      </w:r>
      <w:r>
        <w:rPr>
          <w:rFonts w:ascii="仿宋_GB2312" w:eastAsia="仿宋_GB2312" w:hAnsi="仿宋_GB2312" w:cs="仿宋_GB2312" w:hint="eastAsia"/>
          <w:color w:val="000000"/>
          <w:sz w:val="32"/>
          <w:szCs w:val="32"/>
        </w:rPr>
        <w:t>中国</w:t>
      </w:r>
      <w:r>
        <w:rPr>
          <w:rFonts w:ascii="仿宋_GB2312" w:eastAsia="仿宋_GB2312" w:hAnsi="仿宋_GB2312" w:cs="仿宋_GB2312" w:hint="eastAsia"/>
          <w:color w:val="000000"/>
          <w:sz w:val="32"/>
          <w:szCs w:val="32"/>
        </w:rPr>
        <w:t>证券金融公司依照规定履行证券公司融资融券业务监管、自律或者监测分析</w:t>
      </w:r>
      <w:r>
        <w:rPr>
          <w:rFonts w:ascii="仿宋_GB2312" w:eastAsia="仿宋_GB2312" w:hAnsi="仿宋_GB2312" w:cs="仿宋_GB2312" w:hint="eastAsia"/>
          <w:color w:val="000000"/>
          <w:sz w:val="32"/>
          <w:szCs w:val="32"/>
        </w:rPr>
        <w:t>职责，可以要求证券公司提供与融资融券业务有关的信息、资料。</w:t>
      </w:r>
    </w:p>
    <w:p w14:paraId="2600761A" w14:textId="77777777" w:rsidR="00D61260" w:rsidRDefault="007021BF">
      <w:pPr>
        <w:tabs>
          <w:tab w:val="left" w:pos="1565"/>
          <w:tab w:val="left" w:pos="2520"/>
        </w:tabs>
        <w:ind w:firstLineChars="200" w:firstLine="640"/>
        <w:rPr>
          <w:rFonts w:ascii="仿宋_GB2312" w:eastAsia="仿宋_GB2312" w:hAnsi="仿宋_GB2312" w:cs="仿宋_GB2312"/>
          <w:color w:val="000000"/>
          <w:sz w:val="32"/>
          <w:szCs w:val="32"/>
        </w:rPr>
      </w:pPr>
      <w:r>
        <w:rPr>
          <w:rStyle w:val="a7"/>
          <w:rFonts w:ascii="黑体" w:eastAsia="黑体" w:hAnsi="黑体" w:cs="黑体" w:hint="eastAsia"/>
          <w:b w:val="0"/>
          <w:color w:val="000000"/>
          <w:sz w:val="32"/>
          <w:szCs w:val="32"/>
        </w:rPr>
        <w:t>第四十八条</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证监会派出机构按照辖区监管责任制的要求，依法对证券公司及其分支机构的融资融券业务活动中涉及的客户选择、合同签订、授信</w:t>
      </w:r>
      <w:r>
        <w:rPr>
          <w:rFonts w:ascii="仿宋_GB2312" w:eastAsia="仿宋_GB2312" w:hAnsi="仿宋_GB2312" w:cs="仿宋_GB2312" w:hint="eastAsia"/>
          <w:color w:val="000000"/>
          <w:sz w:val="32"/>
          <w:szCs w:val="32"/>
        </w:rPr>
        <w:t>额度的确定、担保物的收取和管理、补交担保物的通知，以及处分担保物等事项进行非现场检查和现场检查。</w:t>
      </w:r>
    </w:p>
    <w:p w14:paraId="7ABF8767" w14:textId="77777777" w:rsidR="00D61260" w:rsidRDefault="007021BF">
      <w:pPr>
        <w:tabs>
          <w:tab w:val="left" w:pos="1565"/>
          <w:tab w:val="left" w:pos="2520"/>
        </w:tabs>
        <w:ind w:firstLineChars="200" w:firstLine="640"/>
        <w:rPr>
          <w:rFonts w:ascii="仿宋_GB2312" w:eastAsia="仿宋_GB2312" w:hAnsi="仿宋_GB2312" w:cs="仿宋_GB2312"/>
          <w:color w:val="000000"/>
          <w:sz w:val="32"/>
          <w:szCs w:val="32"/>
          <w:lang w:val="zh-CN"/>
        </w:rPr>
      </w:pPr>
      <w:r>
        <w:rPr>
          <w:rStyle w:val="a7"/>
          <w:rFonts w:ascii="黑体" w:eastAsia="黑体" w:hAnsi="黑体" w:cs="黑体" w:hint="eastAsia"/>
          <w:b w:val="0"/>
          <w:color w:val="000000"/>
          <w:sz w:val="32"/>
          <w:szCs w:val="32"/>
        </w:rPr>
        <w:t>第四十九条</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lang w:val="zh-CN"/>
        </w:rPr>
        <w:t>对违反本办法规定的证券公司或者其分支机</w:t>
      </w:r>
      <w:r>
        <w:rPr>
          <w:rFonts w:ascii="仿宋_GB2312" w:eastAsia="仿宋_GB2312" w:hAnsi="仿宋_GB2312" w:cs="仿宋_GB2312" w:hint="eastAsia"/>
          <w:color w:val="000000"/>
          <w:sz w:val="32"/>
          <w:szCs w:val="32"/>
          <w:lang w:val="zh-CN"/>
        </w:rPr>
        <w:lastRenderedPageBreak/>
        <w:t>构，证监会或者其派出机构可采取责令改正、监管谈话、出具警示函、责令公开说明、责令参加培训、责令定期报告、暂不受理与行政许可有关的文件、暂停部分或者全部业务、撤销业务许可等相关监管措施；依法应</w:t>
      </w:r>
      <w:proofErr w:type="gramStart"/>
      <w:r>
        <w:rPr>
          <w:rFonts w:ascii="仿宋_GB2312" w:eastAsia="仿宋_GB2312" w:hAnsi="仿宋_GB2312" w:cs="仿宋_GB2312" w:hint="eastAsia"/>
          <w:color w:val="000000"/>
          <w:sz w:val="32"/>
          <w:szCs w:val="32"/>
          <w:lang w:val="zh-CN"/>
        </w:rPr>
        <w:t>予行</w:t>
      </w:r>
      <w:proofErr w:type="gramEnd"/>
      <w:r>
        <w:rPr>
          <w:rFonts w:ascii="仿宋_GB2312" w:eastAsia="仿宋_GB2312" w:hAnsi="仿宋_GB2312" w:cs="仿宋_GB2312" w:hint="eastAsia"/>
          <w:color w:val="000000"/>
          <w:sz w:val="32"/>
          <w:szCs w:val="32"/>
          <w:lang w:val="zh-CN"/>
        </w:rPr>
        <w:t>政处罚的，依照《证券法》、《行政处罚法》等法律法规和证监会的有关规定进行处罚；涉嫌犯罪的，依法移送司法机关，追究其刑事责任。</w:t>
      </w:r>
    </w:p>
    <w:p w14:paraId="20BA70F5" w14:textId="77777777" w:rsidR="00D61260" w:rsidRDefault="00D61260">
      <w:pPr>
        <w:tabs>
          <w:tab w:val="left" w:pos="1565"/>
          <w:tab w:val="left" w:pos="2520"/>
        </w:tabs>
        <w:ind w:firstLineChars="200" w:firstLine="640"/>
        <w:rPr>
          <w:rFonts w:ascii="仿宋_GB2312" w:eastAsia="仿宋_GB2312" w:hAnsi="仿宋_GB2312" w:cs="仿宋_GB2312"/>
          <w:color w:val="000000"/>
          <w:sz w:val="32"/>
          <w:szCs w:val="32"/>
          <w:lang w:val="zh-CN"/>
        </w:rPr>
      </w:pPr>
    </w:p>
    <w:p w14:paraId="2B8C2845" w14:textId="77777777" w:rsidR="00D61260" w:rsidRDefault="007021BF">
      <w:pPr>
        <w:tabs>
          <w:tab w:val="left" w:pos="1565"/>
          <w:tab w:val="left" w:pos="2520"/>
        </w:tabs>
        <w:ind w:firstLineChars="200" w:firstLine="640"/>
        <w:jc w:val="center"/>
        <w:rPr>
          <w:rStyle w:val="a7"/>
          <w:rFonts w:ascii="黑体" w:eastAsia="黑体" w:hAnsi="黑体" w:cs="黑体"/>
          <w:b w:val="0"/>
          <w:color w:val="000000"/>
          <w:sz w:val="32"/>
          <w:szCs w:val="32"/>
        </w:rPr>
      </w:pPr>
      <w:r>
        <w:rPr>
          <w:rStyle w:val="a7"/>
          <w:rFonts w:ascii="黑体" w:eastAsia="黑体" w:hAnsi="黑体" w:cs="黑体" w:hint="eastAsia"/>
          <w:b w:val="0"/>
          <w:color w:val="000000"/>
          <w:sz w:val="32"/>
          <w:szCs w:val="32"/>
        </w:rPr>
        <w:t>第七章</w:t>
      </w:r>
      <w:r>
        <w:rPr>
          <w:rStyle w:val="a7"/>
          <w:rFonts w:ascii="黑体" w:eastAsia="黑体" w:hAnsi="黑体" w:cs="黑体" w:hint="eastAsia"/>
          <w:b w:val="0"/>
          <w:color w:val="000000"/>
          <w:sz w:val="32"/>
          <w:szCs w:val="32"/>
        </w:rPr>
        <w:t xml:space="preserve"> </w:t>
      </w:r>
      <w:r>
        <w:rPr>
          <w:rStyle w:val="a7"/>
          <w:rFonts w:ascii="黑体" w:eastAsia="黑体" w:hAnsi="黑体" w:cs="黑体" w:hint="eastAsia"/>
          <w:b w:val="0"/>
          <w:color w:val="000000"/>
          <w:sz w:val="32"/>
          <w:szCs w:val="32"/>
        </w:rPr>
        <w:t>附</w:t>
      </w:r>
      <w:r>
        <w:rPr>
          <w:rStyle w:val="a7"/>
          <w:rFonts w:ascii="黑体" w:eastAsia="黑体" w:hAnsi="黑体" w:cs="黑体" w:hint="eastAsia"/>
          <w:b w:val="0"/>
          <w:color w:val="000000"/>
          <w:sz w:val="32"/>
          <w:szCs w:val="32"/>
        </w:rPr>
        <w:t xml:space="preserve">  </w:t>
      </w:r>
      <w:r>
        <w:rPr>
          <w:rStyle w:val="a7"/>
          <w:rFonts w:ascii="黑体" w:eastAsia="黑体" w:hAnsi="黑体" w:cs="黑体" w:hint="eastAsia"/>
          <w:b w:val="0"/>
          <w:color w:val="000000"/>
          <w:sz w:val="32"/>
          <w:szCs w:val="32"/>
        </w:rPr>
        <w:t>则</w:t>
      </w:r>
    </w:p>
    <w:p w14:paraId="3AF19A8F" w14:textId="77777777" w:rsidR="00D61260" w:rsidRDefault="00D61260">
      <w:pPr>
        <w:tabs>
          <w:tab w:val="left" w:pos="1565"/>
          <w:tab w:val="left" w:pos="2520"/>
        </w:tabs>
        <w:ind w:firstLineChars="200" w:firstLine="640"/>
        <w:rPr>
          <w:rFonts w:ascii="仿宋_GB2312" w:eastAsia="仿宋_GB2312" w:hAnsi="仿宋_GB2312" w:cs="仿宋_GB2312"/>
          <w:color w:val="000000"/>
          <w:sz w:val="32"/>
          <w:szCs w:val="32"/>
        </w:rPr>
      </w:pPr>
    </w:p>
    <w:p w14:paraId="61C34254" w14:textId="77777777" w:rsidR="00D61260" w:rsidRDefault="007021BF">
      <w:pPr>
        <w:tabs>
          <w:tab w:val="left" w:pos="1565"/>
          <w:tab w:val="left" w:pos="2520"/>
        </w:tabs>
        <w:ind w:firstLineChars="200" w:firstLine="640"/>
        <w:rPr>
          <w:rFonts w:ascii="仿宋_GB2312" w:eastAsia="仿宋_GB2312" w:hAnsi="仿宋_GB2312" w:cs="仿宋_GB2312"/>
          <w:color w:val="000000"/>
          <w:sz w:val="32"/>
          <w:szCs w:val="32"/>
        </w:rPr>
      </w:pPr>
      <w:r>
        <w:rPr>
          <w:rStyle w:val="a7"/>
          <w:rFonts w:ascii="黑体" w:eastAsia="黑体" w:hAnsi="黑体" w:cs="黑体" w:hint="eastAsia"/>
          <w:b w:val="0"/>
          <w:color w:val="000000"/>
          <w:sz w:val="32"/>
          <w:szCs w:val="32"/>
        </w:rPr>
        <w:t>第五十条</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负责客户信用资金存管的商业银行，应当是按照规定可以存管证券公司客户交易结算资金的商业银行。</w:t>
      </w:r>
    </w:p>
    <w:p w14:paraId="1AD47D50" w14:textId="77777777" w:rsidR="00D61260" w:rsidRDefault="007021BF">
      <w:pPr>
        <w:tabs>
          <w:tab w:val="left" w:pos="1565"/>
          <w:tab w:val="left" w:pos="2520"/>
        </w:tabs>
        <w:ind w:firstLineChars="200" w:firstLine="640"/>
        <w:rPr>
          <w:rFonts w:ascii="仿宋_GB2312" w:eastAsia="仿宋_GB2312" w:hAnsi="仿宋_GB2312" w:cs="仿宋_GB2312"/>
          <w:color w:val="000000"/>
          <w:sz w:val="32"/>
          <w:szCs w:val="32"/>
        </w:rPr>
      </w:pPr>
      <w:r>
        <w:rPr>
          <w:rStyle w:val="a7"/>
          <w:rFonts w:ascii="黑体" w:eastAsia="黑体" w:hAnsi="黑体" w:cs="黑体" w:hint="eastAsia"/>
          <w:b w:val="0"/>
          <w:color w:val="000000"/>
          <w:sz w:val="32"/>
          <w:szCs w:val="32"/>
        </w:rPr>
        <w:t>第五十一条</w:t>
      </w:r>
      <w:r>
        <w:rPr>
          <w:rStyle w:val="a7"/>
          <w:rFonts w:ascii="黑体" w:eastAsia="黑体" w:hAnsi="黑体" w:cs="黑体" w:hint="eastAsia"/>
          <w:b w:val="0"/>
          <w:color w:val="000000"/>
          <w:sz w:val="32"/>
          <w:szCs w:val="32"/>
        </w:rPr>
        <w:t xml:space="preserve"> </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本办法所称专业机构投资者是指：</w:t>
      </w:r>
      <w:r>
        <w:rPr>
          <w:rFonts w:ascii="仿宋_GB2312" w:eastAsia="仿宋_GB2312" w:hAnsi="仿宋_GB2312" w:cs="仿宋_GB2312" w:hint="eastAsia"/>
          <w:color w:val="000000"/>
          <w:sz w:val="32"/>
          <w:szCs w:val="32"/>
        </w:rPr>
        <w:t>经国家金融监管部门批准设立的</w:t>
      </w:r>
      <w:r>
        <w:rPr>
          <w:rFonts w:ascii="仿宋_GB2312" w:eastAsia="仿宋_GB2312" w:hAnsi="仿宋_GB2312" w:cs="仿宋_GB2312" w:hint="eastAsia"/>
          <w:color w:val="000000"/>
          <w:sz w:val="32"/>
          <w:szCs w:val="32"/>
        </w:rPr>
        <w:t>金融机构，包括</w:t>
      </w:r>
      <w:r>
        <w:rPr>
          <w:rFonts w:ascii="仿宋_GB2312" w:eastAsia="仿宋_GB2312" w:hAnsi="仿宋_GB2312" w:cs="仿宋_GB2312" w:hint="eastAsia"/>
          <w:color w:val="000000"/>
          <w:sz w:val="32"/>
          <w:szCs w:val="32"/>
        </w:rPr>
        <w:t>商业银行、证券公司、基金管理公司、期货公司、信托公司</w:t>
      </w:r>
      <w:r>
        <w:rPr>
          <w:rFonts w:ascii="仿宋_GB2312" w:eastAsia="仿宋_GB2312" w:hAnsi="仿宋_GB2312" w:cs="仿宋_GB2312" w:hint="eastAsia"/>
          <w:color w:val="000000"/>
          <w:sz w:val="32"/>
          <w:szCs w:val="32"/>
        </w:rPr>
        <w:t>和保险公司等；上述金融机构管理的金融产品；经证监会或者其授权机构登记备案的私募基金管理机构及其管理的私募基金产品；证监会认可的其他投资者。</w:t>
      </w:r>
    </w:p>
    <w:p w14:paraId="64D83602" w14:textId="77777777" w:rsidR="00D61260" w:rsidRDefault="007021BF">
      <w:pPr>
        <w:tabs>
          <w:tab w:val="left" w:pos="1565"/>
          <w:tab w:val="left" w:pos="2520"/>
        </w:tabs>
        <w:ind w:firstLineChars="200" w:firstLine="640"/>
        <w:rPr>
          <w:rFonts w:ascii="仿宋_GB2312" w:eastAsia="仿宋_GB2312" w:hAnsi="仿宋_GB2312" w:cs="仿宋_GB2312"/>
          <w:color w:val="000000"/>
          <w:sz w:val="32"/>
          <w:szCs w:val="32"/>
        </w:rPr>
      </w:pPr>
      <w:r>
        <w:rPr>
          <w:rStyle w:val="a7"/>
          <w:rFonts w:ascii="黑体" w:eastAsia="黑体" w:hAnsi="黑体" w:cs="黑体" w:hint="eastAsia"/>
          <w:b w:val="0"/>
          <w:color w:val="000000"/>
          <w:sz w:val="32"/>
          <w:szCs w:val="32"/>
        </w:rPr>
        <w:t>第五十二条</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证券交易所、证券登记结算机构和中国证券业协会依照本</w:t>
      </w:r>
      <w:r>
        <w:rPr>
          <w:rFonts w:ascii="仿宋_GB2312" w:eastAsia="仿宋_GB2312" w:hAnsi="仿宋_GB2312" w:cs="仿宋_GB2312" w:hint="eastAsia"/>
          <w:color w:val="000000"/>
          <w:sz w:val="32"/>
          <w:szCs w:val="32"/>
        </w:rPr>
        <w:t>办法</w:t>
      </w:r>
      <w:r>
        <w:rPr>
          <w:rFonts w:ascii="仿宋_GB2312" w:eastAsia="仿宋_GB2312" w:hAnsi="仿宋_GB2312" w:cs="仿宋_GB2312" w:hint="eastAsia"/>
          <w:color w:val="000000"/>
          <w:sz w:val="32"/>
          <w:szCs w:val="32"/>
        </w:rPr>
        <w:t>的</w:t>
      </w:r>
      <w:r>
        <w:rPr>
          <w:rFonts w:ascii="仿宋_GB2312" w:eastAsia="仿宋_GB2312" w:hAnsi="仿宋_GB2312" w:cs="仿宋_GB2312" w:hint="eastAsia"/>
          <w:color w:val="000000"/>
          <w:sz w:val="32"/>
          <w:szCs w:val="32"/>
        </w:rPr>
        <w:t>规定</w:t>
      </w:r>
      <w:r>
        <w:rPr>
          <w:rFonts w:ascii="仿宋_GB2312" w:eastAsia="仿宋_GB2312" w:hAnsi="仿宋_GB2312" w:cs="仿宋_GB2312" w:hint="eastAsia"/>
          <w:color w:val="000000"/>
          <w:sz w:val="32"/>
          <w:szCs w:val="32"/>
        </w:rPr>
        <w:t>，制定融资融券的业务规则和自律规则，报证监会批准后实施。</w:t>
      </w:r>
    </w:p>
    <w:p w14:paraId="559CE3A9" w14:textId="77777777" w:rsidR="00D61260" w:rsidRDefault="007021BF">
      <w:pPr>
        <w:widowControl/>
        <w:tabs>
          <w:tab w:val="left" w:pos="1440"/>
          <w:tab w:val="left" w:pos="1800"/>
        </w:tabs>
        <w:ind w:firstLineChars="213" w:firstLine="682"/>
        <w:rPr>
          <w:rFonts w:ascii="仿宋_GB2312" w:eastAsia="仿宋_GB2312" w:hAnsi="仿宋_GB2312" w:cs="仿宋_GB2312"/>
          <w:kern w:val="0"/>
          <w:sz w:val="32"/>
          <w:szCs w:val="32"/>
        </w:rPr>
      </w:pPr>
      <w:r>
        <w:rPr>
          <w:rStyle w:val="a7"/>
          <w:rFonts w:ascii="黑体" w:eastAsia="黑体" w:hAnsi="黑体" w:cs="黑体" w:hint="eastAsia"/>
          <w:b w:val="0"/>
          <w:color w:val="000000"/>
          <w:sz w:val="32"/>
          <w:szCs w:val="32"/>
        </w:rPr>
        <w:lastRenderedPageBreak/>
        <w:t>第五十三条</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本</w:t>
      </w:r>
      <w:r>
        <w:rPr>
          <w:rFonts w:ascii="仿宋_GB2312" w:eastAsia="仿宋_GB2312" w:hAnsi="仿宋_GB2312" w:cs="仿宋_GB2312" w:hint="eastAsia"/>
          <w:color w:val="000000"/>
          <w:sz w:val="32"/>
          <w:szCs w:val="32"/>
        </w:rPr>
        <w:t>办法</w:t>
      </w:r>
      <w:r>
        <w:rPr>
          <w:rFonts w:ascii="仿宋_GB2312" w:eastAsia="仿宋_GB2312" w:hAnsi="仿宋_GB2312" w:cs="仿宋_GB2312" w:hint="eastAsia"/>
          <w:color w:val="000000"/>
          <w:sz w:val="32"/>
          <w:szCs w:val="32"/>
        </w:rPr>
        <w:t>自</w:t>
      </w:r>
      <w:r>
        <w:rPr>
          <w:rFonts w:ascii="仿宋_GB2312" w:eastAsia="仿宋_GB2312" w:hAnsi="仿宋_GB2312" w:cs="仿宋_GB2312" w:hint="eastAsia"/>
          <w:color w:val="000000"/>
          <w:sz w:val="32"/>
          <w:szCs w:val="32"/>
        </w:rPr>
        <w:t>公布之日</w:t>
      </w:r>
      <w:r>
        <w:rPr>
          <w:rFonts w:ascii="仿宋_GB2312" w:eastAsia="仿宋_GB2312" w:hAnsi="仿宋_GB2312" w:cs="仿宋_GB2312" w:hint="eastAsia"/>
          <w:color w:val="000000"/>
          <w:sz w:val="32"/>
          <w:szCs w:val="32"/>
        </w:rPr>
        <w:t>起施行。</w:t>
      </w:r>
      <w:r>
        <w:rPr>
          <w:rFonts w:ascii="仿宋_GB2312" w:eastAsia="仿宋_GB2312" w:hAnsi="仿宋_GB2312" w:cs="仿宋_GB2312" w:hint="eastAsia"/>
          <w:color w:val="000000"/>
          <w:sz w:val="32"/>
          <w:szCs w:val="32"/>
        </w:rPr>
        <w:t>2011</w:t>
      </w:r>
      <w:r>
        <w:rPr>
          <w:rFonts w:ascii="仿宋_GB2312" w:eastAsia="仿宋_GB2312" w:hAnsi="仿宋_GB2312" w:cs="仿宋_GB2312" w:hint="eastAsia"/>
          <w:color w:val="000000"/>
          <w:sz w:val="32"/>
          <w:szCs w:val="32"/>
        </w:rPr>
        <w:t>年</w:t>
      </w:r>
      <w:r>
        <w:rPr>
          <w:rFonts w:ascii="仿宋_GB2312" w:eastAsia="仿宋_GB2312" w:hAnsi="仿宋_GB2312" w:cs="仿宋_GB2312" w:hint="eastAsia"/>
          <w:color w:val="000000"/>
          <w:sz w:val="32"/>
          <w:szCs w:val="32"/>
        </w:rPr>
        <w:t>10</w:t>
      </w:r>
      <w:r>
        <w:rPr>
          <w:rFonts w:ascii="仿宋_GB2312" w:eastAsia="仿宋_GB2312" w:hAnsi="仿宋_GB2312" w:cs="仿宋_GB2312" w:hint="eastAsia"/>
          <w:color w:val="000000"/>
          <w:sz w:val="32"/>
          <w:szCs w:val="32"/>
        </w:rPr>
        <w:t>月</w:t>
      </w:r>
      <w:r>
        <w:rPr>
          <w:rFonts w:ascii="仿宋_GB2312" w:eastAsia="仿宋_GB2312" w:hAnsi="仿宋_GB2312" w:cs="仿宋_GB2312" w:hint="eastAsia"/>
          <w:color w:val="000000"/>
          <w:sz w:val="32"/>
          <w:szCs w:val="32"/>
        </w:rPr>
        <w:t>26</w:t>
      </w:r>
      <w:r>
        <w:rPr>
          <w:rFonts w:ascii="仿宋_GB2312" w:eastAsia="仿宋_GB2312" w:hAnsi="仿宋_GB2312" w:cs="仿宋_GB2312" w:hint="eastAsia"/>
          <w:color w:val="000000"/>
          <w:sz w:val="32"/>
          <w:szCs w:val="32"/>
        </w:rPr>
        <w:t>日发布的</w:t>
      </w:r>
      <w:r>
        <w:rPr>
          <w:rFonts w:ascii="仿宋_GB2312" w:eastAsia="仿宋_GB2312" w:hAnsi="仿宋_GB2312" w:cs="仿宋_GB2312" w:hint="eastAsia"/>
          <w:color w:val="000000"/>
          <w:sz w:val="32"/>
          <w:szCs w:val="32"/>
        </w:rPr>
        <w:t>《证券公司融资融券业务管理办法》（证监会公告</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201</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31</w:t>
      </w:r>
      <w:r>
        <w:rPr>
          <w:rFonts w:ascii="仿宋_GB2312" w:eastAsia="仿宋_GB2312" w:hAnsi="仿宋_GB2312" w:cs="仿宋_GB2312" w:hint="eastAsia"/>
          <w:sz w:val="32"/>
          <w:szCs w:val="32"/>
        </w:rPr>
        <w:t>号</w:t>
      </w:r>
      <w:r>
        <w:rPr>
          <w:rFonts w:ascii="仿宋_GB2312" w:eastAsia="仿宋_GB2312" w:hAnsi="仿宋_GB2312" w:cs="仿宋_GB2312" w:hint="eastAsia"/>
          <w:color w:val="000000"/>
          <w:sz w:val="32"/>
          <w:szCs w:val="32"/>
        </w:rPr>
        <w:t>）同时废止。</w:t>
      </w:r>
    </w:p>
    <w:p w14:paraId="7ED6AAAD" w14:textId="77777777" w:rsidR="00D61260" w:rsidRDefault="00D61260">
      <w:pPr>
        <w:ind w:firstLineChars="200" w:firstLine="640"/>
        <w:rPr>
          <w:rFonts w:ascii="仿宋_GB2312" w:eastAsia="仿宋_GB2312" w:hAnsi="仿宋_GB2312" w:cs="仿宋_GB2312"/>
          <w:color w:val="333333"/>
          <w:sz w:val="32"/>
          <w:szCs w:val="32"/>
          <w:shd w:val="clear" w:color="auto" w:fill="FFFFFF"/>
        </w:rPr>
      </w:pPr>
    </w:p>
    <w:sectPr w:rsidR="00D61260">
      <w:headerReference w:type="default" r:id="rId7"/>
      <w:footerReference w:type="default" r:id="rId8"/>
      <w:pgSz w:w="11906" w:h="16838"/>
      <w:pgMar w:top="1962" w:right="1474" w:bottom="1848" w:left="1587" w:header="851" w:footer="992" w:gutter="0"/>
      <w:pgNumType w:fmt="numberInDash"/>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965114" w14:textId="77777777" w:rsidR="007021BF" w:rsidRDefault="007021BF">
      <w:r>
        <w:separator/>
      </w:r>
    </w:p>
  </w:endnote>
  <w:endnote w:type="continuationSeparator" w:id="0">
    <w:p w14:paraId="0D908ED9" w14:textId="77777777" w:rsidR="007021BF" w:rsidRDefault="007021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方正小标宋简体">
    <w:altName w:val="微软雅黑"/>
    <w:charset w:val="86"/>
    <w:family w:val="auto"/>
    <w:pitch w:val="default"/>
    <w:sig w:usb0="00000000" w:usb1="00000000" w:usb2="00000012" w:usb3="00000000" w:csb0="00040001" w:csb1="00000000"/>
  </w:font>
  <w:font w:name="楷体_GB2312">
    <w:altName w:val="楷体"/>
    <w:charset w:val="86"/>
    <w:family w:val="auto"/>
    <w:pitch w:val="default"/>
    <w:sig w:usb0="00000000" w:usb1="00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charset w:val="86"/>
    <w:family w:val="auto"/>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7194A" w14:textId="77777777" w:rsidR="00D61260" w:rsidRDefault="007021BF">
    <w:pPr>
      <w:pStyle w:val="a5"/>
      <w:ind w:leftChars="2280" w:left="4788" w:firstLineChars="2000" w:firstLine="6400"/>
      <w:rPr>
        <w:rFonts w:eastAsia="仿宋"/>
        <w:sz w:val="32"/>
        <w:szCs w:val="48"/>
      </w:rPr>
    </w:pPr>
    <w:r>
      <w:rPr>
        <w:noProof/>
        <w:sz w:val="32"/>
      </w:rPr>
      <mc:AlternateContent>
        <mc:Choice Requires="wps">
          <w:drawing>
            <wp:anchor distT="0" distB="0" distL="114300" distR="114300" simplePos="0" relativeHeight="251662336" behindDoc="0" locked="0" layoutInCell="1" allowOverlap="1" wp14:anchorId="7E7B7EC3" wp14:editId="62BAF599">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358FC4" w14:textId="77777777" w:rsidR="00D61260" w:rsidRDefault="007021BF">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Pr>
                              <w:rFonts w:ascii="宋体" w:eastAsia="宋体" w:hAnsi="宋体" w:cs="宋体" w:hint="eastAsia"/>
                              <w:sz w:val="28"/>
                              <w:szCs w:val="28"/>
                            </w:rPr>
                            <w:t>- 1 -</w:t>
                          </w:r>
                          <w:r>
                            <w:rPr>
                              <w:rFonts w:ascii="宋体" w:eastAsia="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7E7B7EC3" id="_x0000_t202" coordsize="21600,21600" o:spt="202" path="m,l,21600r21600,l21600,xe">
              <v:stroke joinstyle="miter"/>
              <v:path gradientshapeok="t" o:connecttype="rect"/>
            </v:shapetype>
            <v:shape id="文本框 8" o:spid="_x0000_s1027" type="#_x0000_t202" style="position:absolute;left:0;text-align:left;margin-left:92.8pt;margin-top:0;width:2in;height:2in;z-index:251662336;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38358FC4" w14:textId="77777777" w:rsidR="00D61260" w:rsidRDefault="007021BF">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Pr>
                        <w:rFonts w:ascii="宋体" w:eastAsia="宋体" w:hAnsi="宋体" w:cs="宋体" w:hint="eastAsia"/>
                        <w:sz w:val="28"/>
                        <w:szCs w:val="28"/>
                      </w:rPr>
                      <w:t>- 1 -</w:t>
                    </w:r>
                    <w:r>
                      <w:rPr>
                        <w:rFonts w:ascii="宋体" w:eastAsia="宋体" w:hAnsi="宋体" w:cs="宋体" w:hint="eastAsia"/>
                        <w:sz w:val="28"/>
                        <w:szCs w:val="28"/>
                      </w:rPr>
                      <w:fldChar w:fldCharType="end"/>
                    </w:r>
                  </w:p>
                </w:txbxContent>
              </v:textbox>
              <w10:wrap anchorx="margin"/>
            </v:shape>
          </w:pict>
        </mc:Fallback>
      </mc:AlternateContent>
    </w:r>
    <w:r>
      <w:rPr>
        <w:rFonts w:eastAsia="仿宋" w:hint="eastAsia"/>
        <w:sz w:val="32"/>
        <w:szCs w:val="48"/>
      </w:rPr>
      <w:t xml:space="preserve">  </w:t>
    </w:r>
  </w:p>
  <w:p w14:paraId="2452239F" w14:textId="77777777" w:rsidR="00D61260" w:rsidRDefault="007021BF">
    <w:pPr>
      <w:pStyle w:val="a5"/>
      <w:wordWrap w:val="0"/>
      <w:ind w:leftChars="2280" w:left="4788" w:firstLineChars="2000" w:firstLine="6400"/>
      <w:jc w:val="right"/>
      <w:rPr>
        <w:rFonts w:ascii="宋体" w:eastAsia="宋体" w:hAnsi="宋体" w:cs="宋体"/>
        <w:b/>
        <w:bCs/>
        <w:color w:val="005192"/>
        <w:sz w:val="28"/>
        <w:szCs w:val="44"/>
      </w:rPr>
    </w:pPr>
    <w:r>
      <w:rPr>
        <w:noProof/>
        <w:color w:val="FAFAFA"/>
        <w:sz w:val="32"/>
      </w:rPr>
      <mc:AlternateContent>
        <mc:Choice Requires="wps">
          <w:drawing>
            <wp:anchor distT="0" distB="0" distL="114300" distR="114300" simplePos="0" relativeHeight="251661312" behindDoc="0" locked="0" layoutInCell="1" allowOverlap="1" wp14:anchorId="396CEB0A" wp14:editId="2281AD29">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8F7571B" id="直接连接符 5" o:spid="_x0000_s1026" style="position:absolute;left:0;text-align:left;z-index:251661312;visibility:visible;mso-wrap-style:square;mso-wrap-distance-left:9pt;mso-wrap-distance-top:0;mso-wrap-distance-right:9pt;mso-wrap-distance-bottom:0;mso-position-horizontal:absolute;mso-position-horizontal-relative:text;mso-position-vertical:absolute;mso-position-vertical-relative:text" from="0,5.85pt" to="442.2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" strokecolor="#005192" strokeweight="1.75pt">
              <v:stroke joinstyle="miter"/>
            </v:line>
          </w:pict>
        </mc:Fallback>
      </mc:AlternateContent>
    </w:r>
    <w:r>
      <w:rPr>
        <w:rFonts w:eastAsia="仿宋" w:hint="eastAsia"/>
        <w:color w:val="FAFAFA"/>
        <w:sz w:val="32"/>
        <w:szCs w:val="48"/>
      </w:rPr>
      <w:t>X</w:t>
    </w:r>
    <w:r>
      <w:rPr>
        <w:rFonts w:ascii="宋体" w:eastAsia="宋体" w:hAnsi="宋体" w:cs="宋体" w:hint="eastAsia"/>
        <w:b/>
        <w:bCs/>
        <w:color w:val="005192"/>
        <w:sz w:val="28"/>
        <w:szCs w:val="44"/>
      </w:rPr>
      <w:t>证监会发布</w:t>
    </w:r>
    <w:r>
      <w:rPr>
        <w:rFonts w:ascii="宋体" w:eastAsia="宋体" w:hAnsi="宋体" w:cs="宋体" w:hint="eastAsia"/>
        <w:b/>
        <w:bCs/>
        <w:color w:val="005192"/>
        <w:sz w:val="28"/>
        <w:szCs w:val="44"/>
      </w:rPr>
      <w:t xml:space="preserve">     </w:t>
    </w:r>
  </w:p>
  <w:p w14:paraId="7E2D486D" w14:textId="77777777" w:rsidR="00D61260" w:rsidRDefault="00D61260">
    <w:pPr>
      <w:pStyle w:val="a5"/>
      <w:wordWrap w:val="0"/>
      <w:ind w:leftChars="2280" w:left="4788" w:firstLineChars="2000" w:firstLine="5622"/>
      <w:jc w:val="right"/>
      <w:rPr>
        <w:rFonts w:ascii="宋体" w:eastAsia="宋体" w:hAnsi="宋体" w:cs="宋体"/>
        <w:b/>
        <w:bCs/>
        <w:color w:val="005192"/>
        <w:sz w:val="28"/>
        <w:szCs w:val="4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56AD47" w14:textId="77777777" w:rsidR="007021BF" w:rsidRDefault="007021BF">
      <w:r>
        <w:separator/>
      </w:r>
    </w:p>
  </w:footnote>
  <w:footnote w:type="continuationSeparator" w:id="0">
    <w:p w14:paraId="4EE7F528" w14:textId="77777777" w:rsidR="007021BF" w:rsidRDefault="007021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31F9B" w14:textId="77777777" w:rsidR="00D61260" w:rsidRDefault="007021BF">
    <w:pPr>
      <w:pStyle w:val="a5"/>
      <w:textAlignment w:val="center"/>
      <w:rPr>
        <w:rFonts w:ascii="宋体" w:eastAsia="宋体" w:hAnsi="宋体" w:cs="宋体"/>
        <w:b/>
        <w:bCs/>
        <w:color w:val="005192"/>
        <w:sz w:val="32"/>
      </w:rPr>
    </w:pPr>
    <w:r>
      <w:rPr>
        <w:rFonts w:ascii="宋体" w:eastAsia="宋体" w:hAnsi="宋体" w:cs="宋体" w:hint="eastAsia"/>
        <w:b/>
        <w:bCs/>
        <w:noProof/>
        <w:color w:val="005192"/>
        <w:sz w:val="32"/>
      </w:rPr>
      <mc:AlternateContent>
        <mc:Choice Requires="wps">
          <w:drawing>
            <wp:anchor distT="0" distB="0" distL="114300" distR="114300" simplePos="0" relativeHeight="251660288" behindDoc="0" locked="0" layoutInCell="1" allowOverlap="1" wp14:anchorId="0E86761D" wp14:editId="576DE776">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4D27DDF" id="直接连接符 4" o:spid="_x0000_s1026" style="position:absolute;left:0;text-align:left;z-index:251660288;visibility:visible;mso-wrap-style:square;mso-wrap-distance-left:9pt;mso-wrap-distance-top:0;mso-wrap-distance-right:9pt;mso-wrap-distance-bottom:0;mso-position-horizontal:absolute;mso-position-horizontal-relative:text;mso-position-vertical:absolute;mso-position-vertical-relative:text" from="-.3pt,54.35pt" to="442.25pt,5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" strokecolor="#005192" strokeweight="1.75pt">
              <v:stroke joinstyle="miter"/>
            </v:line>
          </w:pict>
        </mc:Fallback>
      </mc:AlternateContent>
    </w:r>
  </w:p>
  <w:p w14:paraId="70904709" w14:textId="77777777" w:rsidR="00D61260" w:rsidRDefault="007021BF">
    <w:pPr>
      <w:pStyle w:val="a5"/>
      <w:textAlignment w:val="center"/>
      <w:rPr>
        <w:rFonts w:ascii="宋体" w:eastAsia="宋体" w:hAnsi="宋体" w:cs="宋体"/>
        <w:b/>
        <w:bCs/>
        <w:color w:val="005192"/>
        <w:sz w:val="32"/>
        <w:szCs w:val="32"/>
      </w:rPr>
    </w:pPr>
    <w:r>
      <w:rPr>
        <w:rFonts w:ascii="宋体" w:eastAsia="宋体" w:hAnsi="宋体" w:cs="宋体" w:hint="eastAsia"/>
        <w:b/>
        <w:bCs/>
        <w:noProof/>
        <w:color w:val="005192"/>
        <w:sz w:val="32"/>
      </w:rPr>
      <w:drawing>
        <wp:inline distT="0" distB="0" distL="114300" distR="114300" wp14:anchorId="2E558B29" wp14:editId="22C86FF3">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ascii="宋体" w:eastAsia="宋体" w:hAnsi="宋体" w:cs="宋体" w:hint="eastAsia"/>
        <w:b/>
        <w:bCs/>
        <w:color w:val="005192"/>
        <w:sz w:val="32"/>
      </w:rPr>
      <w:t>证监会</w:t>
    </w:r>
    <w:r>
      <w:rPr>
        <w:rFonts w:ascii="宋体" w:eastAsia="宋体" w:hAnsi="宋体" w:cs="宋体" w:hint="eastAsia"/>
        <w:b/>
        <w:bCs/>
        <w:color w:val="005192"/>
        <w:sz w:val="32"/>
        <w:szCs w:val="32"/>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DDCD6867"/>
    <w:rsid w:val="00172A27"/>
    <w:rsid w:val="003B45A3"/>
    <w:rsid w:val="007021BF"/>
    <w:rsid w:val="00D61260"/>
    <w:rsid w:val="019E71BD"/>
    <w:rsid w:val="04B679C3"/>
    <w:rsid w:val="080F63D8"/>
    <w:rsid w:val="09341458"/>
    <w:rsid w:val="0B0912D7"/>
    <w:rsid w:val="152D2DCA"/>
    <w:rsid w:val="1DEC284C"/>
    <w:rsid w:val="1E4379D3"/>
    <w:rsid w:val="1E6523AC"/>
    <w:rsid w:val="22440422"/>
    <w:rsid w:val="31A15F24"/>
    <w:rsid w:val="395347B5"/>
    <w:rsid w:val="39A232A0"/>
    <w:rsid w:val="39E745AA"/>
    <w:rsid w:val="3B5A6BBB"/>
    <w:rsid w:val="3EDA13A6"/>
    <w:rsid w:val="42F058B7"/>
    <w:rsid w:val="436109F6"/>
    <w:rsid w:val="43F46458"/>
    <w:rsid w:val="441A38D4"/>
    <w:rsid w:val="4BC77339"/>
    <w:rsid w:val="4C9236C5"/>
    <w:rsid w:val="505C172E"/>
    <w:rsid w:val="52F46F0B"/>
    <w:rsid w:val="53D8014D"/>
    <w:rsid w:val="55E064E0"/>
    <w:rsid w:val="572C6D10"/>
    <w:rsid w:val="58C14A7E"/>
    <w:rsid w:val="5B983092"/>
    <w:rsid w:val="5DC34279"/>
    <w:rsid w:val="608816D1"/>
    <w:rsid w:val="60EF4E7F"/>
    <w:rsid w:val="665233C1"/>
    <w:rsid w:val="6AD9688B"/>
    <w:rsid w:val="6D0E3F22"/>
    <w:rsid w:val="7C9011D9"/>
    <w:rsid w:val="7DC651C5"/>
    <w:rsid w:val="7FCC2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7F9114CA"/>
  <w15:docId w15:val="{BF0DE6E7-3B33-4AFF-AA94-9BEBC6FDB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6">
    <w:name w:val="Normal (Web)"/>
    <w:basedOn w:val="a"/>
    <w:qFormat/>
    <w:pPr>
      <w:widowControl/>
      <w:spacing w:before="100" w:beforeAutospacing="1" w:after="100" w:afterAutospacing="1"/>
      <w:jc w:val="left"/>
    </w:pPr>
    <w:rPr>
      <w:rFonts w:ascii="宋体" w:eastAsia="宋体" w:hAnsi="宋体"/>
      <w:kern w:val="0"/>
      <w:sz w:val="24"/>
    </w:rPr>
  </w:style>
  <w:style w:type="paragraph" w:customStyle="1" w:styleId="ParaChar">
    <w:name w:val="默认段落字体 Para Char"/>
    <w:basedOn w:val="a"/>
    <w:qFormat/>
    <w:pPr>
      <w:tabs>
        <w:tab w:val="left" w:pos="360"/>
      </w:tabs>
      <w:spacing w:before="312" w:after="312" w:line="360" w:lineRule="auto"/>
    </w:pPr>
  </w:style>
  <w:style w:type="character" w:styleId="a7">
    <w:name w:val="Strong"/>
    <w:basedOn w:val="a0"/>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1181</Words>
  <Characters>6737</Characters>
  <Application>Microsoft Office Word</Application>
  <DocSecurity>0</DocSecurity>
  <Lines>56</Lines>
  <Paragraphs>15</Paragraphs>
  <ScaleCrop>false</ScaleCrop>
  <Company/>
  <LinksUpToDate>false</LinksUpToDate>
  <CharactersWithSpaces>7903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SS SS</cp:lastModifiedBy>
  <cp:revision>2</cp:revision>
  <cp:lastPrinted>2021-10-26T11:30:00Z</cp:lastPrinted>
  <dcterms:created xsi:type="dcterms:W3CDTF">2021-12-16T06:49:00Z</dcterms:created>
  <dcterms:modified xsi:type="dcterms:W3CDTF">2021-12-16T06:49:00Z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2052-10.8.2.7090</vt:lpwstr>
  </property>
  <property fmtid="{D5CDD505-2E9C-101B-9397-08002B2CF9AE}" pid="3" name="ICV">
    <vt:lpwstr>48C61CB29D3F4D9384F5922CF0F7FFB4</vt:lpwstr>
  </property>
</Properties>
</file>