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D363" w14:textId="77777777" w:rsidR="00A9705C" w:rsidRDefault="009B7995">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03FFDD9E" wp14:editId="09E5AF1F">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125A2BBF" w14:textId="77777777" w:rsidR="00A9705C" w:rsidRDefault="00A9705C">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3FFDD9E"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125A2BBF" w14:textId="77777777" w:rsidR="00A9705C" w:rsidRDefault="00A9705C">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22E162CB" w14:textId="77777777" w:rsidR="00A9705C" w:rsidRDefault="00A9705C">
      <w:pPr>
        <w:rPr>
          <w:rFonts w:asciiTheme="minorEastAsia" w:hAnsiTheme="minorEastAsia" w:cstheme="minorEastAsia"/>
          <w:sz w:val="44"/>
          <w:szCs w:val="44"/>
        </w:rPr>
      </w:pPr>
    </w:p>
    <w:p w14:paraId="3B97D9D1" w14:textId="77777777" w:rsidR="00A9705C" w:rsidRDefault="009B7995">
      <w:pPr>
        <w:jc w:val="center"/>
        <w:rPr>
          <w:rFonts w:asciiTheme="minorEastAsia" w:hAnsiTheme="minorEastAsia" w:cstheme="minorEastAsia"/>
          <w:sz w:val="44"/>
          <w:szCs w:val="44"/>
        </w:rPr>
      </w:pPr>
      <w:r>
        <w:rPr>
          <w:rFonts w:asciiTheme="minorEastAsia" w:hAnsiTheme="minorEastAsia" w:cstheme="minorEastAsia" w:hint="eastAsia"/>
          <w:sz w:val="44"/>
          <w:szCs w:val="44"/>
        </w:rPr>
        <w:t>私募投资基金监督管理暂行办法</w:t>
      </w:r>
    </w:p>
    <w:p w14:paraId="4B8BF91F" w14:textId="77777777" w:rsidR="00A9705C" w:rsidRDefault="009B7995">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2014</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21</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105</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2014</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21</w:t>
      </w:r>
      <w:r>
        <w:rPr>
          <w:rFonts w:ascii="楷体_GB2312" w:eastAsia="楷体_GB2312" w:hAnsi="楷体_GB2312" w:cs="楷体_GB2312"/>
          <w:color w:val="333333"/>
          <w:sz w:val="32"/>
          <w:szCs w:val="32"/>
          <w:shd w:val="clear" w:color="auto" w:fill="FFFFFF"/>
        </w:rPr>
        <w:t>日起施行）</w:t>
      </w:r>
    </w:p>
    <w:p w14:paraId="53E0FE11" w14:textId="77777777" w:rsidR="00A9705C" w:rsidRDefault="00A9705C">
      <w:pPr>
        <w:rPr>
          <w:rFonts w:ascii="宋体" w:eastAsia="宋体" w:hAnsi="宋体" w:cs="宋体"/>
          <w:color w:val="333333"/>
          <w:sz w:val="36"/>
          <w:szCs w:val="36"/>
          <w:shd w:val="clear" w:color="auto" w:fill="FFFFFF"/>
        </w:rPr>
      </w:pPr>
    </w:p>
    <w:p w14:paraId="797FA9EA"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第一章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总</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31A66ABF"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5859FB39"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为了规范私募投资基金活动，保护投资者及相关当事人的合法权益，促进私募投资基金行业健康发展，根据《证券投资基金法</w:t>
      </w:r>
      <w:proofErr w:type="gramStart"/>
      <w:r>
        <w:rPr>
          <w:rFonts w:ascii="仿宋_GB2312" w:eastAsia="仿宋_GB2312" w:hAnsi="仿宋_GB2312" w:cs="仿宋_GB2312" w:hint="eastAsia"/>
          <w:color w:val="333333"/>
          <w:sz w:val="32"/>
          <w:szCs w:val="32"/>
          <w:shd w:val="clear" w:color="auto" w:fill="FFFFFF"/>
        </w:rPr>
        <w:t>》</w:t>
      </w:r>
      <w:proofErr w:type="gramEnd"/>
      <w:r>
        <w:rPr>
          <w:rFonts w:ascii="仿宋_GB2312" w:eastAsia="仿宋_GB2312" w:hAnsi="仿宋_GB2312" w:cs="仿宋_GB2312" w:hint="eastAsia"/>
          <w:color w:val="333333"/>
          <w:sz w:val="32"/>
          <w:szCs w:val="32"/>
          <w:shd w:val="clear" w:color="auto" w:fill="FFFFFF"/>
        </w:rPr>
        <w:t>、《国务院关于进一步促进资本市场健康发展的若干意见》，制定本办法。</w:t>
      </w:r>
    </w:p>
    <w:p w14:paraId="0F07B1BF"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本办法所称私募投资基金（以下简称私募基金），是指在中华人民共和国境内，以非公开方式向投资者募集资金设立的投资基金。</w:t>
      </w:r>
    </w:p>
    <w:p w14:paraId="353A9F6A"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私募基金财产的投资包括买卖股票、股权、债券、期货、期权、基金份额及投资合同约定的其他投资标的。</w:t>
      </w:r>
    </w:p>
    <w:p w14:paraId="250273B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非公开募集资金，以进行投资活动为目的设立的公司或者合伙企业，资产由基金管理人或者普通合伙人管理的，其登记备</w:t>
      </w:r>
      <w:r>
        <w:rPr>
          <w:rFonts w:ascii="仿宋_GB2312" w:eastAsia="仿宋_GB2312" w:hAnsi="仿宋_GB2312" w:cs="仿宋_GB2312" w:hint="eastAsia"/>
          <w:color w:val="333333"/>
          <w:sz w:val="32"/>
          <w:szCs w:val="32"/>
          <w:shd w:val="clear" w:color="auto" w:fill="FFFFFF"/>
        </w:rPr>
        <w:t>案、</w:t>
      </w:r>
      <w:r>
        <w:rPr>
          <w:rFonts w:ascii="仿宋_GB2312" w:eastAsia="仿宋_GB2312" w:hAnsi="仿宋_GB2312" w:cs="仿宋_GB2312" w:hint="eastAsia"/>
          <w:color w:val="333333"/>
          <w:sz w:val="32"/>
          <w:szCs w:val="32"/>
          <w:shd w:val="clear" w:color="auto" w:fill="FFFFFF"/>
        </w:rPr>
        <w:lastRenderedPageBreak/>
        <w:t>资金募集和投资运作适用本办法。</w:t>
      </w:r>
    </w:p>
    <w:p w14:paraId="6A1EBF0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证券公司、基金管理公司、期货公司及其子公司从事私募基金业务适用本办法，其他法律法规和中国证券监督管理委员会（以下简称中国证监会）有关规定对上述机构从事私募基金业务另有规定的，适用其规定。</w:t>
      </w:r>
    </w:p>
    <w:p w14:paraId="389421B3"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第三条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从事私募基金业务，应当遵循自愿、公平、诚实信用原则，维护投资者合法权益，不得损害国家利益和社会公共利益。</w:t>
      </w:r>
    </w:p>
    <w:p w14:paraId="25DDB0E9"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第四条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私募基金管理人和从事私募基金托管业务的机构（以下简称私募基金托管人）管理、运用私募基金财产，从事私募基金销售业务的机构（以下简称私募基金销售机构）及其他私募服</w:t>
      </w:r>
      <w:r>
        <w:rPr>
          <w:rFonts w:ascii="仿宋_GB2312" w:eastAsia="仿宋_GB2312" w:hAnsi="仿宋_GB2312" w:cs="仿宋_GB2312" w:hint="eastAsia"/>
          <w:color w:val="333333"/>
          <w:sz w:val="32"/>
          <w:szCs w:val="32"/>
          <w:shd w:val="clear" w:color="auto" w:fill="FFFFFF"/>
        </w:rPr>
        <w:t>务机构从事私募基金服务活动，应当恪尽职守，履行诚实信用、谨慎勤勉的义务。</w:t>
      </w:r>
    </w:p>
    <w:p w14:paraId="44D8AF2A"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私募基金从业人员应当遵守法律、行政法规，恪守职业道德和行为规范。</w:t>
      </w:r>
    </w:p>
    <w:p w14:paraId="47C4B3E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中国证监会及其派出机构依照《证券投资基金法》、本办法和中国证监会的其他有关规定，对私募基金业务活动实施监督管理。</w:t>
      </w:r>
    </w:p>
    <w:p w14:paraId="60366FFF"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设立私募基金管理机构和发行私募基金不设行政审批，允许</w:t>
      </w:r>
      <w:r>
        <w:rPr>
          <w:rFonts w:ascii="仿宋_GB2312" w:eastAsia="仿宋_GB2312" w:hAnsi="仿宋_GB2312" w:cs="仿宋_GB2312" w:hint="eastAsia"/>
          <w:color w:val="333333"/>
          <w:sz w:val="32"/>
          <w:szCs w:val="32"/>
          <w:shd w:val="clear" w:color="auto" w:fill="FFFFFF"/>
        </w:rPr>
        <w:lastRenderedPageBreak/>
        <w:t>各</w:t>
      </w:r>
      <w:proofErr w:type="gramStart"/>
      <w:r>
        <w:rPr>
          <w:rFonts w:ascii="仿宋_GB2312" w:eastAsia="仿宋_GB2312" w:hAnsi="仿宋_GB2312" w:cs="仿宋_GB2312" w:hint="eastAsia"/>
          <w:color w:val="333333"/>
          <w:sz w:val="32"/>
          <w:szCs w:val="32"/>
          <w:shd w:val="clear" w:color="auto" w:fill="FFFFFF"/>
        </w:rPr>
        <w:t>类发行</w:t>
      </w:r>
      <w:proofErr w:type="gramEnd"/>
      <w:r>
        <w:rPr>
          <w:rFonts w:ascii="仿宋_GB2312" w:eastAsia="仿宋_GB2312" w:hAnsi="仿宋_GB2312" w:cs="仿宋_GB2312" w:hint="eastAsia"/>
          <w:color w:val="333333"/>
          <w:sz w:val="32"/>
          <w:szCs w:val="32"/>
          <w:shd w:val="clear" w:color="auto" w:fill="FFFFFF"/>
        </w:rPr>
        <w:t>主体在依法合</w:t>
      </w:r>
      <w:proofErr w:type="gramStart"/>
      <w:r>
        <w:rPr>
          <w:rFonts w:ascii="仿宋_GB2312" w:eastAsia="仿宋_GB2312" w:hAnsi="仿宋_GB2312" w:cs="仿宋_GB2312" w:hint="eastAsia"/>
          <w:color w:val="333333"/>
          <w:sz w:val="32"/>
          <w:szCs w:val="32"/>
          <w:shd w:val="clear" w:color="auto" w:fill="FFFFFF"/>
        </w:rPr>
        <w:t>规</w:t>
      </w:r>
      <w:proofErr w:type="gramEnd"/>
      <w:r>
        <w:rPr>
          <w:rFonts w:ascii="仿宋_GB2312" w:eastAsia="仿宋_GB2312" w:hAnsi="仿宋_GB2312" w:cs="仿宋_GB2312" w:hint="eastAsia"/>
          <w:color w:val="333333"/>
          <w:sz w:val="32"/>
          <w:szCs w:val="32"/>
          <w:shd w:val="clear" w:color="auto" w:fill="FFFFFF"/>
        </w:rPr>
        <w:t>的基础上，向累计不超过法律规定数量的投资者发行私募基金。建立健全私募基金发行监管制度，切实强化事中事后监管，依法严厉打击以私募基金为名的各类非法集资活动。</w:t>
      </w:r>
    </w:p>
    <w:p w14:paraId="237363A1"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建立促进经营机构规</w:t>
      </w:r>
      <w:r>
        <w:rPr>
          <w:rFonts w:ascii="仿宋_GB2312" w:eastAsia="仿宋_GB2312" w:hAnsi="仿宋_GB2312" w:cs="仿宋_GB2312" w:hint="eastAsia"/>
          <w:color w:val="333333"/>
          <w:sz w:val="32"/>
          <w:szCs w:val="32"/>
          <w:shd w:val="clear" w:color="auto" w:fill="FFFFFF"/>
        </w:rPr>
        <w:t>范开展私募基金业务的风险控制和自律管理制度，以及各类私募基金的统一监测系统。</w:t>
      </w:r>
    </w:p>
    <w:p w14:paraId="1CC1D0B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券投资基金业协会（以下简称基金业协会）依照《证券投资基金法》、本办法、中国证监会其他有关规定和基金业协会自律规则，对私募基金业开展行业自律，协调行业关系，提供行业服务，促进行业发展。</w:t>
      </w:r>
    </w:p>
    <w:p w14:paraId="52718D72"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694C1D63"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第二章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登记备案</w:t>
      </w:r>
    </w:p>
    <w:p w14:paraId="28104A0A"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w:t>
      </w:r>
    </w:p>
    <w:p w14:paraId="13F52AC4"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各类私募基金管理人应当根据基金业协会的规定，向基金业协会申请登记，报送以下基本信息：</w:t>
      </w:r>
    </w:p>
    <w:p w14:paraId="3F765F7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（一）工商登记和营业执照正副本复印件</w:t>
      </w:r>
      <w:r>
        <w:rPr>
          <w:rFonts w:ascii="仿宋_GB2312" w:eastAsia="仿宋_GB2312" w:hAnsi="仿宋_GB2312" w:cs="仿宋_GB2312" w:hint="eastAsia"/>
          <w:color w:val="333333"/>
          <w:sz w:val="32"/>
          <w:szCs w:val="32"/>
          <w:shd w:val="clear" w:color="auto" w:fill="FFFFFF"/>
        </w:rPr>
        <w:t>;</w:t>
      </w:r>
    </w:p>
    <w:p w14:paraId="3B395643"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（二）公司章程或者合伙协议；</w:t>
      </w:r>
    </w:p>
    <w:p w14:paraId="21AF0FC0"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（三）主要股东或者合伙人名单；</w:t>
      </w:r>
    </w:p>
    <w:p w14:paraId="53FBF032"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（四）高级管理人员的基本信息；</w:t>
      </w:r>
    </w:p>
    <w:p w14:paraId="033A97E4"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（五）基金业协会规定的其他信息。</w:t>
      </w:r>
    </w:p>
    <w:p w14:paraId="79E1C49D"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基金业协会应当在私募基金管理人登记材料齐备后的</w:t>
      </w:r>
      <w:r>
        <w:rPr>
          <w:rFonts w:ascii="仿宋_GB2312" w:eastAsia="仿宋_GB2312" w:hAnsi="仿宋_GB2312" w:cs="仿宋_GB2312" w:hint="eastAsia"/>
          <w:color w:val="333333"/>
          <w:sz w:val="32"/>
          <w:szCs w:val="32"/>
          <w:shd w:val="clear" w:color="auto" w:fill="FFFFFF"/>
        </w:rPr>
        <w:t>20</w:t>
      </w:r>
      <w:r>
        <w:rPr>
          <w:rFonts w:ascii="仿宋_GB2312" w:eastAsia="仿宋_GB2312" w:hAnsi="仿宋_GB2312" w:cs="仿宋_GB2312" w:hint="eastAsia"/>
          <w:color w:val="333333"/>
          <w:sz w:val="32"/>
          <w:szCs w:val="32"/>
          <w:shd w:val="clear" w:color="auto" w:fill="FFFFFF"/>
        </w:rPr>
        <w:t>个工作日内，通过网站公告私募基金管理人名单及其基本情况的方式，为私募基金管理人办结登记手续。</w:t>
      </w:r>
    </w:p>
    <w:p w14:paraId="6540C37B"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各类私募基金募集完毕，私募基金管理人应当根据基金业协会的规定，办理基金备案手续，报送以下基本信息：</w:t>
      </w:r>
    </w:p>
    <w:p w14:paraId="00982D9D"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（一）主要投资方向及根据主要投资方向注明的基金类别；</w:t>
      </w:r>
    </w:p>
    <w:p w14:paraId="691A9109"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（二）基金合同、公司章程或者合伙协议。资金募集过程中向投资者提供基金招募说明书的，应当报送基金招募说明书。以公司、合伙等企业形式设立的私募基金，还应当报送工商登记和营业执照正副本复印件；</w:t>
      </w:r>
    </w:p>
    <w:p w14:paraId="3B3AFE8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（三）采取委托管理方式的，应当报送委托管理协议。委托托管机构托管基金财产的，还应当报送托管协议；</w:t>
      </w:r>
    </w:p>
    <w:p w14:paraId="61437ACD"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（四）基金业协会规定的其他信息。</w:t>
      </w:r>
    </w:p>
    <w:p w14:paraId="74CAEAAD"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基金业协会应当在私募基金备案材料齐备后的</w:t>
      </w:r>
      <w:r>
        <w:rPr>
          <w:rFonts w:ascii="仿宋_GB2312" w:eastAsia="仿宋_GB2312" w:hAnsi="仿宋_GB2312" w:cs="仿宋_GB2312" w:hint="eastAsia"/>
          <w:color w:val="333333"/>
          <w:sz w:val="32"/>
          <w:szCs w:val="32"/>
          <w:shd w:val="clear" w:color="auto" w:fill="FFFFFF"/>
        </w:rPr>
        <w:t>20</w:t>
      </w:r>
      <w:r>
        <w:rPr>
          <w:rFonts w:ascii="仿宋_GB2312" w:eastAsia="仿宋_GB2312" w:hAnsi="仿宋_GB2312" w:cs="仿宋_GB2312" w:hint="eastAsia"/>
          <w:color w:val="333333"/>
          <w:sz w:val="32"/>
          <w:szCs w:val="32"/>
          <w:shd w:val="clear" w:color="auto" w:fill="FFFFFF"/>
        </w:rPr>
        <w:t>个工作日内，通过网站公告私募基金名单及其基本情况的方式，为私募基金办结备案手续。</w:t>
      </w:r>
    </w:p>
    <w:p w14:paraId="2799F7BE"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基金业协会为私募基金管理人和私募基金办理登记备案不构成对</w:t>
      </w:r>
      <w:r>
        <w:rPr>
          <w:rFonts w:ascii="仿宋_GB2312" w:eastAsia="仿宋_GB2312" w:hAnsi="仿宋_GB2312" w:cs="仿宋_GB2312" w:hint="eastAsia"/>
          <w:color w:val="333333"/>
          <w:sz w:val="32"/>
          <w:szCs w:val="32"/>
          <w:shd w:val="clear" w:color="auto" w:fill="FFFFFF"/>
        </w:rPr>
        <w:t>私募基金管理人投资能力、持续合</w:t>
      </w:r>
      <w:proofErr w:type="gramStart"/>
      <w:r>
        <w:rPr>
          <w:rFonts w:ascii="仿宋_GB2312" w:eastAsia="仿宋_GB2312" w:hAnsi="仿宋_GB2312" w:cs="仿宋_GB2312" w:hint="eastAsia"/>
          <w:color w:val="333333"/>
          <w:sz w:val="32"/>
          <w:szCs w:val="32"/>
          <w:shd w:val="clear" w:color="auto" w:fill="FFFFFF"/>
        </w:rPr>
        <w:t>规</w:t>
      </w:r>
      <w:proofErr w:type="gramEnd"/>
      <w:r>
        <w:rPr>
          <w:rFonts w:ascii="仿宋_GB2312" w:eastAsia="仿宋_GB2312" w:hAnsi="仿宋_GB2312" w:cs="仿宋_GB2312" w:hint="eastAsia"/>
          <w:color w:val="333333"/>
          <w:sz w:val="32"/>
          <w:szCs w:val="32"/>
          <w:shd w:val="clear" w:color="auto" w:fill="FFFFFF"/>
        </w:rPr>
        <w:t>情况的认</w:t>
      </w:r>
      <w:r>
        <w:rPr>
          <w:rFonts w:ascii="仿宋_GB2312" w:eastAsia="仿宋_GB2312" w:hAnsi="仿宋_GB2312" w:cs="仿宋_GB2312" w:hint="eastAsia"/>
          <w:color w:val="333333"/>
          <w:sz w:val="32"/>
          <w:szCs w:val="32"/>
          <w:shd w:val="clear" w:color="auto" w:fill="FFFFFF"/>
        </w:rPr>
        <w:lastRenderedPageBreak/>
        <w:t>可；不作为对基金财产安全的保证。</w:t>
      </w:r>
    </w:p>
    <w:p w14:paraId="58C2087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私募基金管理人依法解散、被依法撤销、或者被依法宣告破产的，其法定代表人或者普通合伙人应当在</w:t>
      </w:r>
      <w:r>
        <w:rPr>
          <w:rFonts w:ascii="仿宋_GB2312" w:eastAsia="仿宋_GB2312" w:hAnsi="仿宋_GB2312" w:cs="仿宋_GB2312" w:hint="eastAsia"/>
          <w:color w:val="333333"/>
          <w:sz w:val="32"/>
          <w:szCs w:val="32"/>
          <w:shd w:val="clear" w:color="auto" w:fill="FFFFFF"/>
        </w:rPr>
        <w:t>20</w:t>
      </w:r>
      <w:r>
        <w:rPr>
          <w:rFonts w:ascii="仿宋_GB2312" w:eastAsia="仿宋_GB2312" w:hAnsi="仿宋_GB2312" w:cs="仿宋_GB2312" w:hint="eastAsia"/>
          <w:color w:val="333333"/>
          <w:sz w:val="32"/>
          <w:szCs w:val="32"/>
          <w:shd w:val="clear" w:color="auto" w:fill="FFFFFF"/>
        </w:rPr>
        <w:t>个工作日内向基金业协会报告，基金业协会应当及时注销基金管理人登记并通过网站公告。</w:t>
      </w:r>
    </w:p>
    <w:p w14:paraId="26CBB245"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6F82D043"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第三章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合格投资者</w:t>
      </w:r>
    </w:p>
    <w:p w14:paraId="087C9A52"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2F38F88F"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私募基金应当向合格投资者募集，单只私募基金的投资者人数累计不得超过《证券投资基金法》、《公司法》、《合伙企业法》等法律规定的特定数量。</w:t>
      </w:r>
    </w:p>
    <w:p w14:paraId="37A4455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投资者转让基金份额的，受让人应当为合格投资者</w:t>
      </w:r>
      <w:proofErr w:type="gramStart"/>
      <w:r>
        <w:rPr>
          <w:rFonts w:ascii="仿宋_GB2312" w:eastAsia="仿宋_GB2312" w:hAnsi="仿宋_GB2312" w:cs="仿宋_GB2312" w:hint="eastAsia"/>
          <w:color w:val="333333"/>
          <w:sz w:val="32"/>
          <w:szCs w:val="32"/>
          <w:shd w:val="clear" w:color="auto" w:fill="FFFFFF"/>
        </w:rPr>
        <w:t>且基金</w:t>
      </w:r>
      <w:proofErr w:type="gramEnd"/>
      <w:r>
        <w:rPr>
          <w:rFonts w:ascii="仿宋_GB2312" w:eastAsia="仿宋_GB2312" w:hAnsi="仿宋_GB2312" w:cs="仿宋_GB2312" w:hint="eastAsia"/>
          <w:color w:val="333333"/>
          <w:sz w:val="32"/>
          <w:szCs w:val="32"/>
          <w:shd w:val="clear" w:color="auto" w:fill="FFFFFF"/>
        </w:rPr>
        <w:t>份额受让后投资者人数应当符合前</w:t>
      </w:r>
      <w:r>
        <w:rPr>
          <w:rFonts w:ascii="仿宋_GB2312" w:eastAsia="仿宋_GB2312" w:hAnsi="仿宋_GB2312" w:cs="仿宋_GB2312" w:hint="eastAsia"/>
          <w:color w:val="333333"/>
          <w:sz w:val="32"/>
          <w:szCs w:val="32"/>
          <w:shd w:val="clear" w:color="auto" w:fill="FFFFFF"/>
        </w:rPr>
        <w:t>款规定。</w:t>
      </w:r>
    </w:p>
    <w:p w14:paraId="3404E7B5"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私募基金的合格投资者是指具备相应风险识别能力和风险承担能力，投资于单只私募基金的金额不低于</w:t>
      </w:r>
      <w:r>
        <w:rPr>
          <w:rFonts w:ascii="仿宋_GB2312" w:eastAsia="仿宋_GB2312" w:hAnsi="仿宋_GB2312" w:cs="仿宋_GB2312" w:hint="eastAsia"/>
          <w:color w:val="333333"/>
          <w:sz w:val="32"/>
          <w:szCs w:val="32"/>
          <w:shd w:val="clear" w:color="auto" w:fill="FFFFFF"/>
        </w:rPr>
        <w:t>100</w:t>
      </w:r>
      <w:r>
        <w:rPr>
          <w:rFonts w:ascii="仿宋_GB2312" w:eastAsia="仿宋_GB2312" w:hAnsi="仿宋_GB2312" w:cs="仿宋_GB2312" w:hint="eastAsia"/>
          <w:color w:val="333333"/>
          <w:sz w:val="32"/>
          <w:szCs w:val="32"/>
          <w:shd w:val="clear" w:color="auto" w:fill="FFFFFF"/>
        </w:rPr>
        <w:t>万元且符合下列相关标准的单位和个人：</w:t>
      </w:r>
    </w:p>
    <w:p w14:paraId="3B39E112"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（一）净资产不低于</w:t>
      </w:r>
      <w:r>
        <w:rPr>
          <w:rFonts w:ascii="仿宋_GB2312" w:eastAsia="仿宋_GB2312" w:hAnsi="仿宋_GB2312" w:cs="仿宋_GB2312" w:hint="eastAsia"/>
          <w:color w:val="333333"/>
          <w:sz w:val="32"/>
          <w:szCs w:val="32"/>
          <w:shd w:val="clear" w:color="auto" w:fill="FFFFFF"/>
        </w:rPr>
        <w:t>1000</w:t>
      </w:r>
      <w:r>
        <w:rPr>
          <w:rFonts w:ascii="仿宋_GB2312" w:eastAsia="仿宋_GB2312" w:hAnsi="仿宋_GB2312" w:cs="仿宋_GB2312" w:hint="eastAsia"/>
          <w:color w:val="333333"/>
          <w:sz w:val="32"/>
          <w:szCs w:val="32"/>
          <w:shd w:val="clear" w:color="auto" w:fill="FFFFFF"/>
        </w:rPr>
        <w:t>万元的单位；</w:t>
      </w:r>
    </w:p>
    <w:p w14:paraId="367C52F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（二）金融资产不低于</w:t>
      </w:r>
      <w:r>
        <w:rPr>
          <w:rFonts w:ascii="仿宋_GB2312" w:eastAsia="仿宋_GB2312" w:hAnsi="仿宋_GB2312" w:cs="仿宋_GB2312" w:hint="eastAsia"/>
          <w:color w:val="333333"/>
          <w:sz w:val="32"/>
          <w:szCs w:val="32"/>
          <w:shd w:val="clear" w:color="auto" w:fill="FFFFFF"/>
        </w:rPr>
        <w:t>300</w:t>
      </w:r>
      <w:r>
        <w:rPr>
          <w:rFonts w:ascii="仿宋_GB2312" w:eastAsia="仿宋_GB2312" w:hAnsi="仿宋_GB2312" w:cs="仿宋_GB2312" w:hint="eastAsia"/>
          <w:color w:val="333333"/>
          <w:sz w:val="32"/>
          <w:szCs w:val="32"/>
          <w:shd w:val="clear" w:color="auto" w:fill="FFFFFF"/>
        </w:rPr>
        <w:t>万元或者最近三年个人年均收入不低于</w:t>
      </w:r>
      <w:r>
        <w:rPr>
          <w:rFonts w:ascii="仿宋_GB2312" w:eastAsia="仿宋_GB2312" w:hAnsi="仿宋_GB2312" w:cs="仿宋_GB2312" w:hint="eastAsia"/>
          <w:color w:val="333333"/>
          <w:sz w:val="32"/>
          <w:szCs w:val="32"/>
          <w:shd w:val="clear" w:color="auto" w:fill="FFFFFF"/>
        </w:rPr>
        <w:t>50</w:t>
      </w:r>
      <w:r>
        <w:rPr>
          <w:rFonts w:ascii="仿宋_GB2312" w:eastAsia="仿宋_GB2312" w:hAnsi="仿宋_GB2312" w:cs="仿宋_GB2312" w:hint="eastAsia"/>
          <w:color w:val="333333"/>
          <w:sz w:val="32"/>
          <w:szCs w:val="32"/>
          <w:shd w:val="clear" w:color="auto" w:fill="FFFFFF"/>
        </w:rPr>
        <w:t>万元的个人。</w:t>
      </w:r>
    </w:p>
    <w:p w14:paraId="5A87CF5B"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前款所称金融资产包括银行存款、股票、债券、基金份额、资产管理计划、银行理财产品、信托计划、保险产品、期货权益等。</w:t>
      </w:r>
    </w:p>
    <w:p w14:paraId="272AB90A"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下列投资者视为合格投资者：</w:t>
      </w:r>
    </w:p>
    <w:p w14:paraId="2D098C73"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社会保障基金、企业年金等养老基金，慈善基金等社会公益基金；</w:t>
      </w:r>
    </w:p>
    <w:p w14:paraId="625DED1E"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依法设立并在基金业协会备</w:t>
      </w:r>
      <w:r>
        <w:rPr>
          <w:rFonts w:ascii="仿宋_GB2312" w:eastAsia="仿宋_GB2312" w:hAnsi="仿宋_GB2312" w:cs="仿宋_GB2312" w:hint="eastAsia"/>
          <w:color w:val="333333"/>
          <w:sz w:val="32"/>
          <w:szCs w:val="32"/>
          <w:shd w:val="clear" w:color="auto" w:fill="FFFFFF"/>
        </w:rPr>
        <w:t>案的投资计划；</w:t>
      </w:r>
    </w:p>
    <w:p w14:paraId="485E93D4"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投资于所管理私募基金的私募基金管理人及其从业人员；</w:t>
      </w:r>
    </w:p>
    <w:p w14:paraId="6F5A167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（四）中国证监会规定的其他投资者。</w:t>
      </w:r>
    </w:p>
    <w:p w14:paraId="6E1D9785"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以合伙企业、契约等非法人形式，通过汇集多数投资者的资金直接或者间接投资于私募基金的，私募基金管理人或者私募基金销售机构应当穿透核查最终投资者是否为合格投资者，并合并计算投资者人数。但是，符合本条第（一）、（二）、（四）项规定的投资者投资私募基金的，不再穿透核查最终投资者是否为合格投资者和合并计算投资者人数。</w:t>
      </w:r>
    </w:p>
    <w:p w14:paraId="004AA88E"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4B30FDF7"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第四章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资金募集</w:t>
      </w:r>
    </w:p>
    <w:p w14:paraId="318BD748"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5CCEB242"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私募基金管理人、私募基金销售机构不得向合格</w:t>
      </w:r>
      <w:r>
        <w:rPr>
          <w:rFonts w:ascii="仿宋_GB2312" w:eastAsia="仿宋_GB2312" w:hAnsi="仿宋_GB2312" w:cs="仿宋_GB2312" w:hint="eastAsia"/>
          <w:color w:val="333333"/>
          <w:sz w:val="32"/>
          <w:szCs w:val="32"/>
          <w:shd w:val="clear" w:color="auto" w:fill="FFFFFF"/>
        </w:rPr>
        <w:lastRenderedPageBreak/>
        <w:t>投资者之外的单位和个人募集资金，不得通过报刊、电台、电视、互联网等公众传播媒体或者讲座、报告会、分析会和布告、传单、手机短信、微信、</w:t>
      </w:r>
      <w:proofErr w:type="gramStart"/>
      <w:r>
        <w:rPr>
          <w:rFonts w:ascii="仿宋_GB2312" w:eastAsia="仿宋_GB2312" w:hAnsi="仿宋_GB2312" w:cs="仿宋_GB2312" w:hint="eastAsia"/>
          <w:color w:val="333333"/>
          <w:sz w:val="32"/>
          <w:szCs w:val="32"/>
          <w:shd w:val="clear" w:color="auto" w:fill="FFFFFF"/>
        </w:rPr>
        <w:t>博客和</w:t>
      </w:r>
      <w:proofErr w:type="gramEnd"/>
      <w:r>
        <w:rPr>
          <w:rFonts w:ascii="仿宋_GB2312" w:eastAsia="仿宋_GB2312" w:hAnsi="仿宋_GB2312" w:cs="仿宋_GB2312" w:hint="eastAsia"/>
          <w:color w:val="333333"/>
          <w:sz w:val="32"/>
          <w:szCs w:val="32"/>
          <w:shd w:val="clear" w:color="auto" w:fill="FFFFFF"/>
        </w:rPr>
        <w:t>电子邮件等方式，向不特定对象宣传推介。</w:t>
      </w:r>
    </w:p>
    <w:p w14:paraId="0099644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私募基金管理人、私募基金销售机构不得向投资者承诺投资本金不受损失或者承诺最低收益。</w:t>
      </w:r>
    </w:p>
    <w:p w14:paraId="17A974AE"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第十六条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私募基金管理人自行销售私募基金的，应当采取问卷调查等方式，对投资者的风险识别能力和风险承担能力进行评估，由投资者书面承诺符合合格投资者条件；应当制作风险揭示书，由投资者签字确认。</w:t>
      </w:r>
    </w:p>
    <w:p w14:paraId="5AEDEC1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私募基金管理人委托销售机构销售私募基金的，私募基金销售机构应当采取前款规定的评估、确认等措施。</w:t>
      </w:r>
    </w:p>
    <w:p w14:paraId="7487DCA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投资者风险识别能力和承担能力问卷及风险揭示书的内容与格式指引，由基金业协会按照不同类别私募基金的特点制定。</w:t>
      </w:r>
    </w:p>
    <w:p w14:paraId="1B28D92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私募基金管理人自行销售或者委托销售机构销售私募基金，应当自行或者委托第三方机构对私募基金进行风险评级，向风险识别能力和风险承担能力相匹配的投资者推介私募基金。</w:t>
      </w:r>
    </w:p>
    <w:p w14:paraId="0920330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投资者应当如实填写风险识别能力和承担能力</w:t>
      </w:r>
      <w:r>
        <w:rPr>
          <w:rFonts w:ascii="仿宋_GB2312" w:eastAsia="仿宋_GB2312" w:hAnsi="仿宋_GB2312" w:cs="仿宋_GB2312" w:hint="eastAsia"/>
          <w:color w:val="333333"/>
          <w:sz w:val="32"/>
          <w:szCs w:val="32"/>
          <w:shd w:val="clear" w:color="auto" w:fill="FFFFFF"/>
        </w:rPr>
        <w:lastRenderedPageBreak/>
        <w:t>问卷，如实承诺资产或者收入情况，并对其真实性、准确性和完整性负责。填写虚假信息或者提</w:t>
      </w:r>
      <w:r>
        <w:rPr>
          <w:rFonts w:ascii="仿宋_GB2312" w:eastAsia="仿宋_GB2312" w:hAnsi="仿宋_GB2312" w:cs="仿宋_GB2312" w:hint="eastAsia"/>
          <w:color w:val="333333"/>
          <w:sz w:val="32"/>
          <w:szCs w:val="32"/>
          <w:shd w:val="clear" w:color="auto" w:fill="FFFFFF"/>
        </w:rPr>
        <w:t>供虚假承诺文件的，应当承担相应责任。</w:t>
      </w:r>
    </w:p>
    <w:p w14:paraId="3353007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第十九条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投资者应当确保投资资金来源合法，不得非法汇集他人资金投资私募基金。</w:t>
      </w:r>
    </w:p>
    <w:p w14:paraId="1245BC69"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1859C032"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第五章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投资运作</w:t>
      </w:r>
    </w:p>
    <w:p w14:paraId="462EEC8B"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11357B0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募集私募证券基金，应当制定并签订基金合同、公司章程或者合伙协议（以下统称基金合同）。基金合同应当符合《证券投资基金法》第九十三条、第九十四条规定。</w:t>
      </w:r>
    </w:p>
    <w:p w14:paraId="4BBE3A13"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募集其他种类私募基金，基金合同应当参照《证券投资基金法》第九十三条、第九十四条规定，明确约定各方当事人的权利、义务和相关事宜。</w:t>
      </w:r>
    </w:p>
    <w:p w14:paraId="5BC6C604"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第二十一条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除基金合同另有约定外，私募基金应当由基金托管人托管。</w:t>
      </w:r>
    </w:p>
    <w:p w14:paraId="73A75C7E"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基金合同约定私募</w:t>
      </w:r>
      <w:r>
        <w:rPr>
          <w:rFonts w:ascii="仿宋_GB2312" w:eastAsia="仿宋_GB2312" w:hAnsi="仿宋_GB2312" w:cs="仿宋_GB2312" w:hint="eastAsia"/>
          <w:color w:val="333333"/>
          <w:sz w:val="32"/>
          <w:szCs w:val="32"/>
          <w:shd w:val="clear" w:color="auto" w:fill="FFFFFF"/>
        </w:rPr>
        <w:t>基金不进行托管的，应当在基金合同中明确保障私募基金财产安全的制度措施和纠纷解决机制。</w:t>
      </w:r>
    </w:p>
    <w:p w14:paraId="76945431"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同一私募基金管理人管理不同类别私募基金</w:t>
      </w:r>
      <w:r>
        <w:rPr>
          <w:rFonts w:ascii="仿宋_GB2312" w:eastAsia="仿宋_GB2312" w:hAnsi="仿宋_GB2312" w:cs="仿宋_GB2312" w:hint="eastAsia"/>
          <w:color w:val="333333"/>
          <w:sz w:val="32"/>
          <w:szCs w:val="32"/>
          <w:shd w:val="clear" w:color="auto" w:fill="FFFFFF"/>
        </w:rPr>
        <w:lastRenderedPageBreak/>
        <w:t>的，应当坚持专业化管理原则；管理可能导致利益输送或者利益冲突的不同私募基金的，应当建立防范利益输送和利益冲突的机制。</w:t>
      </w:r>
    </w:p>
    <w:p w14:paraId="336ED6E9"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私募基金管理人、私募基金托管人、私募基金销售机构及其他私募服务机构及其从业人员从事私募基金业务，不得有以下行为：</w:t>
      </w:r>
    </w:p>
    <w:p w14:paraId="3E376CE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（一）将其固有财产或者他人财产混同于基金财产从事投资活动；</w:t>
      </w:r>
    </w:p>
    <w:p w14:paraId="6F59C5F6"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（二）不公平地对待其管理的不同基金财产；</w:t>
      </w:r>
    </w:p>
    <w:p w14:paraId="620C6BB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（三）利用基金财产或者职务</w:t>
      </w:r>
      <w:r>
        <w:rPr>
          <w:rFonts w:ascii="仿宋_GB2312" w:eastAsia="仿宋_GB2312" w:hAnsi="仿宋_GB2312" w:cs="仿宋_GB2312" w:hint="eastAsia"/>
          <w:color w:val="333333"/>
          <w:sz w:val="32"/>
          <w:szCs w:val="32"/>
          <w:shd w:val="clear" w:color="auto" w:fill="FFFFFF"/>
        </w:rPr>
        <w:t>之便，为本人或者投资者以外的人牟取利益，进行利益输送；</w:t>
      </w:r>
    </w:p>
    <w:p w14:paraId="118D6DB4"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（四）侵占、挪用基金财产；</w:t>
      </w:r>
    </w:p>
    <w:p w14:paraId="79B64F8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（五）泄露因职务便利获取的未公开信息，利用该信息从事或者明示、暗示他人从事相关的交易活动；</w:t>
      </w:r>
    </w:p>
    <w:p w14:paraId="6215F6A3"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（六）从事损害基金财产和投资者利益的投资活动；</w:t>
      </w:r>
    </w:p>
    <w:p w14:paraId="7FA3AA25"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（七）玩忽职守，不按照规定履行职责；</w:t>
      </w:r>
    </w:p>
    <w:p w14:paraId="44C352F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（八）从事内幕交易、操纵交易价格及其他不正当交易活动；</w:t>
      </w:r>
    </w:p>
    <w:p w14:paraId="14529B95"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（九）法律、行政法规和中国证监会规定禁止的其他行为。</w:t>
      </w:r>
    </w:p>
    <w:p w14:paraId="4027726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私募基金管理人、私募基金托管人应当按照合</w:t>
      </w:r>
      <w:r>
        <w:rPr>
          <w:rFonts w:ascii="仿宋_GB2312" w:eastAsia="仿宋_GB2312" w:hAnsi="仿宋_GB2312" w:cs="仿宋_GB2312" w:hint="eastAsia"/>
          <w:color w:val="333333"/>
          <w:sz w:val="32"/>
          <w:szCs w:val="32"/>
          <w:shd w:val="clear" w:color="auto" w:fill="FFFFFF"/>
        </w:rPr>
        <w:lastRenderedPageBreak/>
        <w:t>同约定，如实向投资者披露基金投资、资产负债、投资收益分配、基金承担的费用和业绩报酬、可能存在的利益冲突情况以及可能影响投资者合法权益的其他重大信息，不得隐瞒或者提供虚假信息。信息披露规则由基金业协会另行制定。</w:t>
      </w:r>
    </w:p>
    <w:p w14:paraId="445CBA00"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私募基金管理人应当根据基金业协会的规定，及时填报并定期更新管理人及其从业人员的有关信息、所管理私募基金的投资运作情况和杠杆运用情况，保证所填报内容真实、准确、完整。发生重大事项的，应当在</w:t>
      </w:r>
      <w:r>
        <w:rPr>
          <w:rFonts w:ascii="仿宋_GB2312" w:eastAsia="仿宋_GB2312" w:hAnsi="仿宋_GB2312" w:cs="仿宋_GB2312" w:hint="eastAsia"/>
          <w:color w:val="333333"/>
          <w:sz w:val="32"/>
          <w:szCs w:val="32"/>
          <w:shd w:val="clear" w:color="auto" w:fill="FFFFFF"/>
        </w:rPr>
        <w:t>10</w:t>
      </w:r>
      <w:r>
        <w:rPr>
          <w:rFonts w:ascii="仿宋_GB2312" w:eastAsia="仿宋_GB2312" w:hAnsi="仿宋_GB2312" w:cs="仿宋_GB2312" w:hint="eastAsia"/>
          <w:color w:val="333333"/>
          <w:sz w:val="32"/>
          <w:szCs w:val="32"/>
          <w:shd w:val="clear" w:color="auto" w:fill="FFFFFF"/>
        </w:rPr>
        <w:t>个工作日内向基金业协会报告。</w:t>
      </w:r>
    </w:p>
    <w:p w14:paraId="34587103"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私募基金管理人应当于每个</w:t>
      </w:r>
      <w:r>
        <w:rPr>
          <w:rFonts w:ascii="仿宋_GB2312" w:eastAsia="仿宋_GB2312" w:hAnsi="仿宋_GB2312" w:cs="仿宋_GB2312" w:hint="eastAsia"/>
          <w:color w:val="333333"/>
          <w:sz w:val="32"/>
          <w:szCs w:val="32"/>
          <w:shd w:val="clear" w:color="auto" w:fill="FFFFFF"/>
        </w:rPr>
        <w:t>会计年度结束后的</w:t>
      </w:r>
      <w:r>
        <w:rPr>
          <w:rFonts w:ascii="仿宋_GB2312" w:eastAsia="仿宋_GB2312" w:hAnsi="仿宋_GB2312" w:cs="仿宋_GB2312" w:hint="eastAsia"/>
          <w:color w:val="333333"/>
          <w:sz w:val="32"/>
          <w:szCs w:val="32"/>
          <w:shd w:val="clear" w:color="auto" w:fill="FFFFFF"/>
        </w:rPr>
        <w:t>4</w:t>
      </w:r>
      <w:r>
        <w:rPr>
          <w:rFonts w:ascii="仿宋_GB2312" w:eastAsia="仿宋_GB2312" w:hAnsi="仿宋_GB2312" w:cs="仿宋_GB2312" w:hint="eastAsia"/>
          <w:color w:val="333333"/>
          <w:sz w:val="32"/>
          <w:szCs w:val="32"/>
          <w:shd w:val="clear" w:color="auto" w:fill="FFFFFF"/>
        </w:rPr>
        <w:t>个月内，向基金业协会报送经会计师事务所审计的年度财务报告和所管理私募基金年度投资运作基本情况。</w:t>
      </w:r>
    </w:p>
    <w:p w14:paraId="3FF43FDB"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私募基金管理人、私募基金托管人及私募基金销售机构应当妥善保存私募基金投资决策、交易和投资者适当性管理等方面的记录及其他相关资料，保存期限自基金清算终止之日起不得少于</w:t>
      </w:r>
      <w:r>
        <w:rPr>
          <w:rFonts w:ascii="仿宋_GB2312" w:eastAsia="仿宋_GB2312" w:hAnsi="仿宋_GB2312" w:cs="仿宋_GB2312" w:hint="eastAsia"/>
          <w:color w:val="333333"/>
          <w:sz w:val="32"/>
          <w:szCs w:val="32"/>
          <w:shd w:val="clear" w:color="auto" w:fill="FFFFFF"/>
        </w:rPr>
        <w:t>10</w:t>
      </w:r>
      <w:r>
        <w:rPr>
          <w:rFonts w:ascii="仿宋_GB2312" w:eastAsia="仿宋_GB2312" w:hAnsi="仿宋_GB2312" w:cs="仿宋_GB2312" w:hint="eastAsia"/>
          <w:color w:val="333333"/>
          <w:sz w:val="32"/>
          <w:szCs w:val="32"/>
          <w:shd w:val="clear" w:color="auto" w:fill="FFFFFF"/>
        </w:rPr>
        <w:t>年。</w:t>
      </w:r>
    </w:p>
    <w:p w14:paraId="18427E24"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49EDECCA"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第六章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行业自律</w:t>
      </w:r>
    </w:p>
    <w:p w14:paraId="47A1E6B0"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291BB79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第二十七条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基金业协会应当建立私募基金管理人登记、私募基金备案管理信息系统。</w:t>
      </w:r>
    </w:p>
    <w:p w14:paraId="275F0AE7"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基金业协会应当对私募基金管理人和私募基金信息严格保密。除法律法规另有规定外，不得对外披露。</w:t>
      </w:r>
    </w:p>
    <w:p w14:paraId="0431FABE"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w:t>
      </w:r>
      <w:r>
        <w:rPr>
          <w:rFonts w:ascii="仿宋_GB2312" w:eastAsia="仿宋_GB2312" w:hAnsi="仿宋_GB2312" w:cs="仿宋_GB2312" w:hint="eastAsia"/>
          <w:color w:val="333333"/>
          <w:sz w:val="32"/>
          <w:szCs w:val="32"/>
          <w:shd w:val="clear" w:color="auto" w:fill="FFFFFF"/>
        </w:rPr>
        <w:t>金业协会应当建立与中国证监会及其派出机构和其他相关机构的信息共享机制，定期汇总分析私募基金情况，及时提供私募基金相关信息。</w:t>
      </w:r>
    </w:p>
    <w:p w14:paraId="0C6CEEB1"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基金业协会应当制定和实施私募基金行业自律规则，监督、检查会员及其从业人员的执业行为。</w:t>
      </w:r>
    </w:p>
    <w:p w14:paraId="4A0DC176"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会员及其从业人员违反法律、行政法规、本办法规定和基金业协会自律规则的，基金业协会可以视情节轻重，采取自律管理措施，并通过网站公开相关违法违规信息。会员及其从业人员涉嫌违法违规的，基金业协会应当及时报告中国证监会。</w:t>
      </w:r>
    </w:p>
    <w:p w14:paraId="0CC39873"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基金业协会应当建立投诉处理机制，受理投资者投诉，进行纠纷调解。</w:t>
      </w:r>
    </w:p>
    <w:p w14:paraId="46BC1951"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39241257"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第七章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监督管理</w:t>
      </w:r>
    </w:p>
    <w:p w14:paraId="37E06C3F"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37A5822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中国证监会及其派出机构依法对私募基金管</w:t>
      </w:r>
      <w:r>
        <w:rPr>
          <w:rFonts w:ascii="仿宋_GB2312" w:eastAsia="仿宋_GB2312" w:hAnsi="仿宋_GB2312" w:cs="仿宋_GB2312" w:hint="eastAsia"/>
          <w:color w:val="333333"/>
          <w:sz w:val="32"/>
          <w:szCs w:val="32"/>
          <w:shd w:val="clear" w:color="auto" w:fill="FFFFFF"/>
        </w:rPr>
        <w:lastRenderedPageBreak/>
        <w:t>理人、私募基金托管人、私募基金销售机构及其他私募服务机构开展私募基金业务情况进行统计监测和检查，依照《证券投资基金法》第一百一十四条规定采取有关措施。</w:t>
      </w:r>
    </w:p>
    <w:p w14:paraId="637F0721"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中国证监会将私募基金管理人、私募基金托管人、私募基金销售机构及其他私募服务机构及其从业人员诚信信息记入证券期货市场诚信档案数据库；根据私募基金管理人的信用状况，实施差异化监管。</w:t>
      </w:r>
    </w:p>
    <w:p w14:paraId="1B416B96"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托管人、私募基金销售机构及其他私募服务机构及其从业人员违反法律、行政法规及本办法规定，中国证监会及其派出机构可以对其采取责令改正、监管谈话、出具警示函、公开谴责等行政监管措施。</w:t>
      </w:r>
    </w:p>
    <w:p w14:paraId="37C910DD"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w:t>
      </w:r>
    </w:p>
    <w:p w14:paraId="3798D10B"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第八章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关于创业投资基金的特别规定</w:t>
      </w:r>
    </w:p>
    <w:p w14:paraId="7C9855E7"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7B2486FC"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本办法所称创业投资基金，是指主要投资于未上市创业企业普通股或者依法可转换为普通股的优先股、可转换债券等权益的股权投资基金。</w:t>
      </w:r>
    </w:p>
    <w:p w14:paraId="435B6C5B"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鼓励和引导创业投资基金投资创业早期的小微企业。</w:t>
      </w:r>
    </w:p>
    <w:p w14:paraId="2558ADCF"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享受国家财政税收扶持政策的创业投资基金，其投资范围应当符合国家相关规定。</w:t>
      </w:r>
    </w:p>
    <w:p w14:paraId="5610B45E"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基金业协会在基金管理人登记、基金备案、投资情况报告要求和会员管理等环节，对创业投资基金采取区别于其他私募基金的差异化行业自律，并提供差异化会员服务。</w:t>
      </w:r>
    </w:p>
    <w:p w14:paraId="59E44FA4"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中国证监会及其派出机构对创业投资基金在投资方向检查等环节，采取区别于其他私募基金的差异化监督管理；在账户开立、发行交易和投资退出等方面，为创业投资基金提供便利服务。</w:t>
      </w:r>
    </w:p>
    <w:p w14:paraId="26D02A16"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1AEB49DD"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第九章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法律责任</w:t>
      </w:r>
    </w:p>
    <w:p w14:paraId="4F7D5BC8"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1736DFDA"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私募基金管理人、私募基金托管人、私募基金销售机构及其他私募</w:t>
      </w:r>
      <w:r>
        <w:rPr>
          <w:rFonts w:ascii="仿宋_GB2312" w:eastAsia="仿宋_GB2312" w:hAnsi="仿宋_GB2312" w:cs="仿宋_GB2312" w:hint="eastAsia"/>
          <w:color w:val="333333"/>
          <w:sz w:val="32"/>
          <w:szCs w:val="32"/>
          <w:shd w:val="clear" w:color="auto" w:fill="FFFFFF"/>
        </w:rPr>
        <w:t>服务机构及其从业人员违反本办法第七条、第八条、第十一条、第十四条至第十七条、第二十四条至第二十六条规定的，以及有本办法第二十三条第一项至第七项和第九项所</w:t>
      </w:r>
      <w:proofErr w:type="gramStart"/>
      <w:r>
        <w:rPr>
          <w:rFonts w:ascii="仿宋_GB2312" w:eastAsia="仿宋_GB2312" w:hAnsi="仿宋_GB2312" w:cs="仿宋_GB2312" w:hint="eastAsia"/>
          <w:color w:val="333333"/>
          <w:sz w:val="32"/>
          <w:szCs w:val="32"/>
          <w:shd w:val="clear" w:color="auto" w:fill="FFFFFF"/>
        </w:rPr>
        <w:t>列行</w:t>
      </w:r>
      <w:proofErr w:type="gramEnd"/>
      <w:r>
        <w:rPr>
          <w:rFonts w:ascii="仿宋_GB2312" w:eastAsia="仿宋_GB2312" w:hAnsi="仿宋_GB2312" w:cs="仿宋_GB2312" w:hint="eastAsia"/>
          <w:color w:val="333333"/>
          <w:sz w:val="32"/>
          <w:szCs w:val="32"/>
          <w:shd w:val="clear" w:color="auto" w:fill="FFFFFF"/>
        </w:rPr>
        <w:t>为之一的，责令改正，给予警告并处三万元以下罚款；对直接负责的主管人员和其他直接责任人员，给予警告并处三万元以下罚款；有本办法第二十三条第八项行为的，按照《证券法》</w:t>
      </w:r>
      <w:r>
        <w:rPr>
          <w:rFonts w:ascii="仿宋_GB2312" w:eastAsia="仿宋_GB2312" w:hAnsi="仿宋_GB2312" w:cs="仿宋_GB2312" w:hint="eastAsia"/>
          <w:color w:val="333333"/>
          <w:sz w:val="32"/>
          <w:szCs w:val="32"/>
          <w:shd w:val="clear" w:color="auto" w:fill="FFFFFF"/>
        </w:rPr>
        <w:lastRenderedPageBreak/>
        <w:t>和《期货交易管理条例》的有关规定处罚；构成犯罪的，依法移交司法机关追究刑事责任。</w:t>
      </w:r>
    </w:p>
    <w:p w14:paraId="2F3659A8"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私募基金管理人、私募基金托管人、私募基金销售机构及其他私募服务机构及其从业人员违反法律法规和本办法</w:t>
      </w:r>
      <w:r>
        <w:rPr>
          <w:rFonts w:ascii="仿宋_GB2312" w:eastAsia="仿宋_GB2312" w:hAnsi="仿宋_GB2312" w:cs="仿宋_GB2312" w:hint="eastAsia"/>
          <w:color w:val="333333"/>
          <w:sz w:val="32"/>
          <w:szCs w:val="32"/>
          <w:shd w:val="clear" w:color="auto" w:fill="FFFFFF"/>
        </w:rPr>
        <w:t>规定，情节严重的，中国证监会可以依法对有关责任人员采取市场禁入措施。</w:t>
      </w:r>
    </w:p>
    <w:p w14:paraId="531A42FE"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私募证券基金管理人及其从业人员违反《证券投资基金法》有关规定的，按照《证券投资基金法》有关规定处罚。</w:t>
      </w:r>
    </w:p>
    <w:p w14:paraId="3188F69F"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6E69FE43" w14:textId="77777777" w:rsidR="00A9705C" w:rsidRDefault="009B7995">
      <w:p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第十章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附</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734C3BA2"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p w14:paraId="4E98BA40" w14:textId="77777777" w:rsidR="00A9705C" w:rsidRDefault="009B7995">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本办法自公布之日起施行。</w:t>
      </w:r>
    </w:p>
    <w:p w14:paraId="542E0197" w14:textId="77777777" w:rsidR="00A9705C" w:rsidRDefault="00A9705C">
      <w:pPr>
        <w:ind w:firstLineChars="200" w:firstLine="640"/>
        <w:rPr>
          <w:rFonts w:ascii="仿宋_GB2312" w:eastAsia="仿宋_GB2312" w:hAnsi="仿宋_GB2312" w:cs="仿宋_GB2312"/>
          <w:color w:val="333333"/>
          <w:sz w:val="32"/>
          <w:szCs w:val="32"/>
          <w:shd w:val="clear" w:color="auto" w:fill="FFFFFF"/>
        </w:rPr>
      </w:pPr>
    </w:p>
    <w:sectPr w:rsidR="00A9705C">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C0A2F" w14:textId="77777777" w:rsidR="009B7995" w:rsidRDefault="009B7995">
      <w:r>
        <w:separator/>
      </w:r>
    </w:p>
  </w:endnote>
  <w:endnote w:type="continuationSeparator" w:id="0">
    <w:p w14:paraId="5F280D0F" w14:textId="77777777" w:rsidR="009B7995" w:rsidRDefault="009B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DF90C" w14:textId="77777777" w:rsidR="00A9705C" w:rsidRDefault="009B7995">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17299D89" wp14:editId="328D454C">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21EA8" w14:textId="77777777" w:rsidR="00A9705C" w:rsidRDefault="009B7995">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7299D89"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8821EA8" w14:textId="77777777" w:rsidR="00A9705C" w:rsidRDefault="009B7995">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2B8839EC" w14:textId="77777777" w:rsidR="00A9705C" w:rsidRDefault="009B7995">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0A834BF" wp14:editId="7FFC6FCE">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55D177"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2422D041" w14:textId="77777777" w:rsidR="00A9705C" w:rsidRDefault="00A9705C">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0004" w14:textId="77777777" w:rsidR="009B7995" w:rsidRDefault="009B7995">
      <w:r>
        <w:separator/>
      </w:r>
    </w:p>
  </w:footnote>
  <w:footnote w:type="continuationSeparator" w:id="0">
    <w:p w14:paraId="48AF2DDC" w14:textId="77777777" w:rsidR="009B7995" w:rsidRDefault="009B7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CD25" w14:textId="77777777" w:rsidR="00A9705C" w:rsidRDefault="009B7995">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562945D3" wp14:editId="0868963C">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3735C0"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1ABBE6C0" w14:textId="77777777" w:rsidR="00A9705C" w:rsidRDefault="009B7995">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2F582276" wp14:editId="632ED837">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721E04"/>
    <w:rsid w:val="009B7995"/>
    <w:rsid w:val="00A9705C"/>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057500"/>
    <w:rsid w:val="42F058B7"/>
    <w:rsid w:val="436109F6"/>
    <w:rsid w:val="441A38D4"/>
    <w:rsid w:val="4BC77339"/>
    <w:rsid w:val="4C9236C5"/>
    <w:rsid w:val="505C172E"/>
    <w:rsid w:val="52F46F0B"/>
    <w:rsid w:val="53D8014D"/>
    <w:rsid w:val="55E064E0"/>
    <w:rsid w:val="572C6D10"/>
    <w:rsid w:val="58C14A7E"/>
    <w:rsid w:val="5DC34279"/>
    <w:rsid w:val="608816D1"/>
    <w:rsid w:val="60EF4E7F"/>
    <w:rsid w:val="64E33415"/>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9BA40B6"/>
  <w15:docId w15:val="{B7D9A928-7A94-469E-90C5-747B7EA02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795</Words>
  <Characters>4535</Characters>
  <Application>Microsoft Office Word</Application>
  <DocSecurity>0</DocSecurity>
  <Lines>37</Lines>
  <Paragraphs>10</Paragraphs>
  <ScaleCrop>false</ScaleCrop>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2021-12-16T06:47:00Z</dcterms:created>
  <dcterms:modified xsi:type="dcterms:W3CDTF">2021-12-16T06:47:00Z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