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78A31F" w14:textId="77777777" w:rsidR="00577BCF" w:rsidRDefault="00E863CA">
      <w:pPr>
        <w:jc w:val="center"/>
        <w:rPr>
          <w:rFonts w:asciiTheme="minorEastAsia" w:hAnsiTheme="minorEastAsia" w:cstheme="minorEastAsia"/>
          <w:sz w:val="44"/>
          <w:szCs w:val="44"/>
        </w:rPr>
      </w:pPr>
      <w:r>
        <w:rPr>
          <w:noProof/>
          <w:sz w:val="44"/>
        </w:rPr>
        <mc:AlternateContent>
          <mc:Choice Requires="wps">
            <w:drawing>
              <wp:anchor distT="0" distB="0" distL="114300" distR="114300" simplePos="0" relativeHeight="251659264" behindDoc="0" locked="0" layoutInCell="1" allowOverlap="1" wp14:anchorId="7C2FA7B8" wp14:editId="4B422C83">
                <wp:simplePos x="0" y="0"/>
                <wp:positionH relativeFrom="column">
                  <wp:posOffset>-422275</wp:posOffset>
                </wp:positionH>
                <wp:positionV relativeFrom="paragraph">
                  <wp:posOffset>-1139825</wp:posOffset>
                </wp:positionV>
                <wp:extent cx="1161415" cy="493395"/>
                <wp:effectExtent l="0" t="0" r="635" b="1905"/>
                <wp:wrapNone/>
                <wp:docPr id="1" name="文本框 1"/>
                <wp:cNvGraphicFramePr/>
                <a:graphic xmlns:a="http://schemas.openxmlformats.org/drawingml/2006/main">
                  <a:graphicData uri="http://schemas.microsoft.com/office/word/2010/wordprocessingShape">
                    <wps:wsp>
                      <wps:cNvSpPr txBox="1"/>
                      <wps:spPr>
                        <a:xfrm>
                          <a:off x="117475" y="97155"/>
                          <a:ext cx="1161415" cy="493395"/>
                        </a:xfrm>
                        <a:prstGeom prst="rect">
                          <a:avLst/>
                        </a:prstGeom>
                        <a:solidFill>
                          <a:schemeClr val="lt1"/>
                        </a:solidFill>
                        <a:ln w="12700">
                          <a:noFill/>
                        </a:ln>
                      </wps:spPr>
                      <wps:style>
                        <a:lnRef idx="0">
                          <a:schemeClr val="accent1"/>
                        </a:lnRef>
                        <a:fillRef idx="0">
                          <a:schemeClr val="accent1"/>
                        </a:fillRef>
                        <a:effectRef idx="0">
                          <a:schemeClr val="accent1"/>
                        </a:effectRef>
                        <a:fontRef idx="minor">
                          <a:schemeClr val="dk1"/>
                        </a:fontRef>
                      </wps:style>
                      <wps:txbx>
                        <w:txbxContent>
                          <w:p w14:paraId="1AC50258" w14:textId="77777777" w:rsidR="00577BCF" w:rsidRDefault="00577BCF">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7C2FA7B8" id="_x0000_t202" coordsize="21600,21600" o:spt="202" path="m,l,21600r21600,l21600,xe">
                <v:stroke joinstyle="miter"/>
                <v:path gradientshapeok="t" o:connecttype="rect"/>
              </v:shapetype>
              <v:shape id="文本框 1" o:spid="_x0000_s1026" type="#_x0000_t202" style="position:absolute;left:0;text-align:left;margin-left:-33.25pt;margin-top:-89.75pt;width:91.45pt;height:38.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" fillcolor="white [3201]" stroked="f" strokeweight="1pt">
                <v:textbox>
                  <w:txbxContent>
                    <w:p w14:paraId="1AC50258" w14:textId="77777777" w:rsidR="00577BCF" w:rsidRDefault="00577BCF">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v:textbox>
              </v:shape>
            </w:pict>
          </mc:Fallback>
        </mc:AlternateContent>
      </w:r>
    </w:p>
    <w:p w14:paraId="4816D6EB" w14:textId="77777777" w:rsidR="00577BCF" w:rsidRDefault="00577BCF">
      <w:pPr>
        <w:rPr>
          <w:rFonts w:asciiTheme="minorEastAsia" w:hAnsiTheme="minorEastAsia" w:cstheme="minorEastAsia"/>
          <w:sz w:val="44"/>
          <w:szCs w:val="44"/>
        </w:rPr>
      </w:pPr>
    </w:p>
    <w:p w14:paraId="2F3FDC8C" w14:textId="77777777" w:rsidR="00577BCF" w:rsidRDefault="00E863CA">
      <w:pPr>
        <w:jc w:val="center"/>
        <w:rPr>
          <w:rFonts w:ascii="宋体" w:eastAsia="宋体" w:hAnsi="宋体" w:cs="宋体"/>
          <w:sz w:val="36"/>
          <w:szCs w:val="36"/>
          <w:shd w:val="clear" w:color="auto" w:fill="FFFFFF"/>
        </w:rPr>
      </w:pPr>
      <w:r>
        <w:rPr>
          <w:rFonts w:asciiTheme="minorEastAsia" w:hAnsiTheme="minorEastAsia" w:cstheme="minorEastAsia" w:hint="eastAsia"/>
          <w:sz w:val="44"/>
          <w:szCs w:val="44"/>
        </w:rPr>
        <w:t>期货从业人员管理办法</w:t>
      </w:r>
    </w:p>
    <w:p w14:paraId="3FFCC545" w14:textId="77777777" w:rsidR="00577BCF" w:rsidRDefault="00E863CA">
      <w:pPr>
        <w:ind w:firstLineChars="200" w:firstLine="640"/>
        <w:rPr>
          <w:rFonts w:ascii="楷体_GB2312" w:eastAsia="楷体_GB2312" w:hAnsi="楷体_GB2312" w:cs="楷体_GB2312"/>
          <w:color w:val="333333"/>
          <w:sz w:val="32"/>
          <w:szCs w:val="32"/>
          <w:shd w:val="clear" w:color="auto" w:fill="FFFFFF"/>
        </w:rPr>
      </w:pPr>
      <w:r>
        <w:rPr>
          <w:rFonts w:ascii="楷体_GB2312" w:eastAsia="楷体_GB2312" w:hAnsi="楷体_GB2312" w:cs="楷体_GB2312"/>
          <w:color w:val="333333"/>
          <w:sz w:val="32"/>
          <w:szCs w:val="32"/>
          <w:shd w:val="clear" w:color="auto" w:fill="FFFFFF"/>
        </w:rPr>
        <w:t>(2007</w:t>
      </w:r>
      <w:r>
        <w:rPr>
          <w:rFonts w:ascii="楷体_GB2312" w:eastAsia="楷体_GB2312" w:hAnsi="楷体_GB2312" w:cs="楷体_GB2312"/>
          <w:color w:val="333333"/>
          <w:sz w:val="32"/>
          <w:szCs w:val="32"/>
          <w:shd w:val="clear" w:color="auto" w:fill="FFFFFF"/>
        </w:rPr>
        <w:t>年</w:t>
      </w:r>
      <w:r>
        <w:rPr>
          <w:rFonts w:ascii="楷体_GB2312" w:eastAsia="楷体_GB2312" w:hAnsi="楷体_GB2312" w:cs="楷体_GB2312"/>
          <w:color w:val="333333"/>
          <w:sz w:val="32"/>
          <w:szCs w:val="32"/>
          <w:shd w:val="clear" w:color="auto" w:fill="FFFFFF"/>
        </w:rPr>
        <w:t>7</w:t>
      </w:r>
      <w:r>
        <w:rPr>
          <w:rFonts w:ascii="楷体_GB2312" w:eastAsia="楷体_GB2312" w:hAnsi="楷体_GB2312" w:cs="楷体_GB2312"/>
          <w:color w:val="333333"/>
          <w:sz w:val="32"/>
          <w:szCs w:val="32"/>
          <w:shd w:val="clear" w:color="auto" w:fill="FFFFFF"/>
        </w:rPr>
        <w:t>月</w:t>
      </w:r>
      <w:r>
        <w:rPr>
          <w:rFonts w:ascii="楷体_GB2312" w:eastAsia="楷体_GB2312" w:hAnsi="楷体_GB2312" w:cs="楷体_GB2312"/>
          <w:color w:val="333333"/>
          <w:sz w:val="32"/>
          <w:szCs w:val="32"/>
          <w:shd w:val="clear" w:color="auto" w:fill="FFFFFF"/>
        </w:rPr>
        <w:t>4</w:t>
      </w:r>
      <w:r>
        <w:rPr>
          <w:rFonts w:ascii="楷体_GB2312" w:eastAsia="楷体_GB2312" w:hAnsi="楷体_GB2312" w:cs="楷体_GB2312"/>
          <w:color w:val="333333"/>
          <w:sz w:val="32"/>
          <w:szCs w:val="32"/>
          <w:shd w:val="clear" w:color="auto" w:fill="FFFFFF"/>
        </w:rPr>
        <w:t>日证监会令第</w:t>
      </w:r>
      <w:r>
        <w:rPr>
          <w:rFonts w:ascii="楷体_GB2312" w:eastAsia="楷体_GB2312" w:hAnsi="楷体_GB2312" w:cs="楷体_GB2312"/>
          <w:color w:val="333333"/>
          <w:sz w:val="32"/>
          <w:szCs w:val="32"/>
          <w:shd w:val="clear" w:color="auto" w:fill="FFFFFF"/>
        </w:rPr>
        <w:t>48</w:t>
      </w:r>
      <w:r>
        <w:rPr>
          <w:rFonts w:ascii="楷体_GB2312" w:eastAsia="楷体_GB2312" w:hAnsi="楷体_GB2312" w:cs="楷体_GB2312"/>
          <w:color w:val="333333"/>
          <w:sz w:val="32"/>
          <w:szCs w:val="32"/>
          <w:shd w:val="clear" w:color="auto" w:fill="FFFFFF"/>
        </w:rPr>
        <w:t>号公布</w:t>
      </w:r>
      <w:r>
        <w:rPr>
          <w:rFonts w:ascii="楷体_GB2312" w:eastAsia="楷体_GB2312" w:hAnsi="楷体_GB2312" w:cs="楷体_GB2312"/>
          <w:color w:val="333333"/>
          <w:sz w:val="32"/>
          <w:szCs w:val="32"/>
          <w:shd w:val="clear" w:color="auto" w:fill="FFFFFF"/>
        </w:rPr>
        <w:t xml:space="preserve"> </w:t>
      </w:r>
      <w:r>
        <w:rPr>
          <w:rFonts w:ascii="楷体_GB2312" w:eastAsia="楷体_GB2312" w:hAnsi="楷体_GB2312" w:cs="楷体_GB2312" w:hint="eastAsia"/>
          <w:color w:val="333333"/>
          <w:sz w:val="32"/>
          <w:szCs w:val="32"/>
          <w:shd w:val="clear" w:color="auto" w:fill="FFFFFF"/>
        </w:rPr>
        <w:t xml:space="preserve"> </w:t>
      </w:r>
      <w:r>
        <w:rPr>
          <w:rFonts w:ascii="楷体_GB2312" w:eastAsia="楷体_GB2312" w:hAnsi="楷体_GB2312" w:cs="楷体_GB2312"/>
          <w:color w:val="333333"/>
          <w:sz w:val="32"/>
          <w:szCs w:val="32"/>
          <w:shd w:val="clear" w:color="auto" w:fill="FFFFFF"/>
        </w:rPr>
        <w:t>自</w:t>
      </w:r>
      <w:r>
        <w:rPr>
          <w:rFonts w:ascii="楷体_GB2312" w:eastAsia="楷体_GB2312" w:hAnsi="楷体_GB2312" w:cs="楷体_GB2312"/>
          <w:color w:val="333333"/>
          <w:sz w:val="32"/>
          <w:szCs w:val="32"/>
          <w:shd w:val="clear" w:color="auto" w:fill="FFFFFF"/>
        </w:rPr>
        <w:t>2007</w:t>
      </w:r>
      <w:r>
        <w:rPr>
          <w:rFonts w:ascii="楷体_GB2312" w:eastAsia="楷体_GB2312" w:hAnsi="楷体_GB2312" w:cs="楷体_GB2312"/>
          <w:color w:val="333333"/>
          <w:sz w:val="32"/>
          <w:szCs w:val="32"/>
          <w:shd w:val="clear" w:color="auto" w:fill="FFFFFF"/>
        </w:rPr>
        <w:t>年</w:t>
      </w:r>
      <w:r>
        <w:rPr>
          <w:rFonts w:ascii="楷体_GB2312" w:eastAsia="楷体_GB2312" w:hAnsi="楷体_GB2312" w:cs="楷体_GB2312"/>
          <w:color w:val="333333"/>
          <w:sz w:val="32"/>
          <w:szCs w:val="32"/>
          <w:shd w:val="clear" w:color="auto" w:fill="FFFFFF"/>
        </w:rPr>
        <w:t>7</w:t>
      </w:r>
      <w:r>
        <w:rPr>
          <w:rFonts w:ascii="楷体_GB2312" w:eastAsia="楷体_GB2312" w:hAnsi="楷体_GB2312" w:cs="楷体_GB2312"/>
          <w:color w:val="333333"/>
          <w:sz w:val="32"/>
          <w:szCs w:val="32"/>
          <w:shd w:val="clear" w:color="auto" w:fill="FFFFFF"/>
        </w:rPr>
        <w:t>月</w:t>
      </w:r>
      <w:r>
        <w:rPr>
          <w:rFonts w:ascii="楷体_GB2312" w:eastAsia="楷体_GB2312" w:hAnsi="楷体_GB2312" w:cs="楷体_GB2312"/>
          <w:color w:val="333333"/>
          <w:sz w:val="32"/>
          <w:szCs w:val="32"/>
          <w:shd w:val="clear" w:color="auto" w:fill="FFFFFF"/>
        </w:rPr>
        <w:t>4</w:t>
      </w:r>
      <w:r>
        <w:rPr>
          <w:rFonts w:ascii="楷体_GB2312" w:eastAsia="楷体_GB2312" w:hAnsi="楷体_GB2312" w:cs="楷体_GB2312"/>
          <w:color w:val="333333"/>
          <w:sz w:val="32"/>
          <w:szCs w:val="32"/>
          <w:shd w:val="clear" w:color="auto" w:fill="FFFFFF"/>
        </w:rPr>
        <w:t>日起施行</w:t>
      </w:r>
      <w:r>
        <w:rPr>
          <w:rFonts w:ascii="楷体_GB2312" w:eastAsia="楷体_GB2312" w:hAnsi="楷体_GB2312" w:cs="楷体_GB2312"/>
          <w:color w:val="333333"/>
          <w:sz w:val="32"/>
          <w:szCs w:val="32"/>
          <w:shd w:val="clear" w:color="auto" w:fill="FFFFFF"/>
        </w:rPr>
        <w:t>)</w:t>
      </w:r>
    </w:p>
    <w:p w14:paraId="5F28BCCF" w14:textId="77777777" w:rsidR="00577BCF" w:rsidRDefault="00577BCF">
      <w:pPr>
        <w:rPr>
          <w:rFonts w:ascii="宋体" w:eastAsia="宋体" w:hAnsi="宋体" w:cs="宋体"/>
          <w:color w:val="333333"/>
          <w:sz w:val="36"/>
          <w:szCs w:val="36"/>
          <w:shd w:val="clear" w:color="auto" w:fill="FFFFFF"/>
        </w:rPr>
      </w:pPr>
    </w:p>
    <w:p w14:paraId="38E03BBF" w14:textId="77777777" w:rsidR="00577BCF" w:rsidRDefault="00E863CA">
      <w:pPr>
        <w:numPr>
          <w:ilvl w:val="0"/>
          <w:numId w:val="1"/>
        </w:numPr>
        <w:ind w:firstLineChars="200" w:firstLine="640"/>
        <w:jc w:val="center"/>
        <w:rPr>
          <w:rFonts w:ascii="黑体" w:eastAsia="黑体" w:hAnsi="黑体" w:cs="黑体"/>
          <w:sz w:val="32"/>
          <w:szCs w:val="32"/>
        </w:rPr>
      </w:pPr>
      <w:r>
        <w:rPr>
          <w:rFonts w:ascii="黑体" w:eastAsia="黑体" w:hAnsi="黑体" w:cs="黑体" w:hint="eastAsia"/>
          <w:sz w:val="32"/>
          <w:szCs w:val="32"/>
        </w:rPr>
        <w:t>总　则</w:t>
      </w:r>
    </w:p>
    <w:p w14:paraId="0D60F378" w14:textId="77777777" w:rsidR="00577BCF" w:rsidRDefault="00577BCF">
      <w:pPr>
        <w:rPr>
          <w:rFonts w:ascii="仿宋_GB2312" w:eastAsia="仿宋_GB2312" w:hAnsi="仿宋_GB2312" w:cs="仿宋_GB2312"/>
          <w:sz w:val="32"/>
          <w:szCs w:val="32"/>
        </w:rPr>
      </w:pPr>
    </w:p>
    <w:p w14:paraId="5B68F758" w14:textId="77777777" w:rsidR="00577BCF" w:rsidRDefault="00E863CA">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第一条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为了加强期货从业人员的资格管理，规范期货从业人员的执业行为，根据《期货交易管理条例》，制定本办法。</w:t>
      </w:r>
    </w:p>
    <w:p w14:paraId="64E5C003" w14:textId="77777777" w:rsidR="00577BCF" w:rsidRDefault="00E863CA">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申请期货从业人员资格（以下简称从业资格），从事期货经营业务的机构（以下简称机构）任用期货从业人员，以及期货从业人员从事期货业务的，应当遵守本办法。</w:t>
      </w:r>
    </w:p>
    <w:p w14:paraId="5D041325" w14:textId="77777777" w:rsidR="00577BCF" w:rsidRDefault="00E863CA">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本办法所称机构是指：</w:t>
      </w:r>
    </w:p>
    <w:p w14:paraId="005F6D67" w14:textId="77777777" w:rsidR="00577BCF" w:rsidRDefault="00E863C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（一）期货公司；</w:t>
      </w:r>
    </w:p>
    <w:p w14:paraId="67F4BEAA" w14:textId="77777777" w:rsidR="00577BCF" w:rsidRDefault="00E863C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（二）期货交易所的非期货公司结算会员；</w:t>
      </w:r>
    </w:p>
    <w:p w14:paraId="33436D15" w14:textId="77777777" w:rsidR="00577BCF" w:rsidRDefault="00E863C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（三）期货投资咨询机构；</w:t>
      </w:r>
    </w:p>
    <w:p w14:paraId="3CBC8104" w14:textId="77777777" w:rsidR="00577BCF" w:rsidRDefault="00E863C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（四）为期货公司提供中间介绍业务的机构；</w:t>
      </w:r>
    </w:p>
    <w:p w14:paraId="26AE4DBF" w14:textId="77777777" w:rsidR="00577BCF" w:rsidRDefault="00E863C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（五）中国证券监督管理委员会（以下简称中国证监会）规</w:t>
      </w:r>
      <w:r>
        <w:rPr>
          <w:rFonts w:ascii="仿宋_GB2312" w:eastAsia="仿宋_GB2312" w:hAnsi="仿宋_GB2312" w:cs="仿宋_GB2312" w:hint="eastAsia"/>
          <w:sz w:val="32"/>
          <w:szCs w:val="32"/>
        </w:rPr>
        <w:lastRenderedPageBreak/>
        <w:t>定的其他机构。</w:t>
      </w:r>
    </w:p>
    <w:p w14:paraId="07E96352" w14:textId="77777777" w:rsidR="00577BCF" w:rsidRDefault="00E863CA">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第四条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本办法所称期货从业人员是指：</w:t>
      </w:r>
    </w:p>
    <w:p w14:paraId="1F93E67B" w14:textId="77777777" w:rsidR="00577BCF" w:rsidRDefault="00E863C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（一）期货公司的管理人员和专业人员；</w:t>
      </w:r>
    </w:p>
    <w:p w14:paraId="07FDBE2D" w14:textId="77777777" w:rsidR="00577BCF" w:rsidRDefault="00E863C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（二）期货交易所的非期货公司结算会员中从事期货结算业务的管理</w:t>
      </w:r>
      <w:r>
        <w:rPr>
          <w:rFonts w:ascii="仿宋_GB2312" w:eastAsia="仿宋_GB2312" w:hAnsi="仿宋_GB2312" w:cs="仿宋_GB2312" w:hint="eastAsia"/>
          <w:sz w:val="32"/>
          <w:szCs w:val="32"/>
        </w:rPr>
        <w:t>人员和专业人员；</w:t>
      </w:r>
    </w:p>
    <w:p w14:paraId="2C756E62" w14:textId="77777777" w:rsidR="00577BCF" w:rsidRDefault="00E863C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（三）期货投资咨询机构中从事期货投资咨询业务的管理人员和专业人员；</w:t>
      </w:r>
    </w:p>
    <w:p w14:paraId="30187B9F" w14:textId="77777777" w:rsidR="00577BCF" w:rsidRDefault="00E863C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（四）为期货公司提供中间介绍业务的机构中从事期货经营业务的管理人员和专业人员；</w:t>
      </w:r>
    </w:p>
    <w:p w14:paraId="364B4A52" w14:textId="77777777" w:rsidR="00577BCF" w:rsidRDefault="00E863C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（五）中国证监会规定的其他人员。</w:t>
      </w:r>
    </w:p>
    <w:p w14:paraId="016EF12D" w14:textId="77777777" w:rsidR="00577BCF" w:rsidRDefault="00E863CA">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第五条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中国证监会及其派出机构依法对期货从业人员进行监督管理。</w:t>
      </w:r>
    </w:p>
    <w:p w14:paraId="18270678" w14:textId="77777777" w:rsidR="00577BCF" w:rsidRDefault="00E863C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中国期货业协会（以下简称协会）依法对期货从业人员实行自律管理，负责从业资格的认定、管理及撤销。</w:t>
      </w:r>
    </w:p>
    <w:p w14:paraId="2C2FE923" w14:textId="77777777" w:rsidR="00577BCF" w:rsidRDefault="00577BCF">
      <w:pPr>
        <w:ind w:firstLineChars="200" w:firstLine="640"/>
        <w:rPr>
          <w:rFonts w:ascii="仿宋_GB2312" w:eastAsia="仿宋_GB2312" w:hAnsi="仿宋_GB2312" w:cs="仿宋_GB2312"/>
          <w:sz w:val="32"/>
          <w:szCs w:val="32"/>
        </w:rPr>
      </w:pPr>
    </w:p>
    <w:p w14:paraId="450FA3E4" w14:textId="77777777" w:rsidR="00577BCF" w:rsidRDefault="00E863CA">
      <w:pPr>
        <w:numPr>
          <w:ilvl w:val="0"/>
          <w:numId w:val="1"/>
        </w:numPr>
        <w:ind w:firstLineChars="200" w:firstLine="640"/>
        <w:jc w:val="center"/>
        <w:rPr>
          <w:rFonts w:ascii="黑体" w:eastAsia="黑体" w:hAnsi="黑体" w:cs="黑体"/>
          <w:sz w:val="32"/>
          <w:szCs w:val="32"/>
        </w:rPr>
      </w:pPr>
      <w:r>
        <w:rPr>
          <w:rFonts w:ascii="黑体" w:eastAsia="黑体" w:hAnsi="黑体" w:cs="黑体" w:hint="eastAsia"/>
          <w:sz w:val="32"/>
          <w:szCs w:val="32"/>
        </w:rPr>
        <w:t>从业资格的取得和注销</w:t>
      </w:r>
    </w:p>
    <w:p w14:paraId="040F3E8E" w14:textId="77777777" w:rsidR="00577BCF" w:rsidRDefault="00577BCF">
      <w:pPr>
        <w:ind w:leftChars="200" w:left="420"/>
        <w:rPr>
          <w:rFonts w:ascii="仿宋_GB2312" w:eastAsia="仿宋_GB2312" w:hAnsi="仿宋_GB2312" w:cs="仿宋_GB2312"/>
          <w:sz w:val="32"/>
          <w:szCs w:val="32"/>
        </w:rPr>
      </w:pPr>
    </w:p>
    <w:p w14:paraId="57DF8BC6" w14:textId="77777777" w:rsidR="00577BCF" w:rsidRDefault="00E863CA">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第六条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协会负责组织从业资格考试。</w:t>
      </w:r>
    </w:p>
    <w:p w14:paraId="360221FE" w14:textId="77777777" w:rsidR="00577BCF" w:rsidRDefault="00E863CA">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第七条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参加从业资格考试的，应当符合下列条件：</w:t>
      </w:r>
    </w:p>
    <w:p w14:paraId="0ADED8CE" w14:textId="77777777" w:rsidR="00577BCF" w:rsidRDefault="00E863CA">
      <w:pPr>
        <w:ind w:firstLineChars="200" w:firstLine="640"/>
        <w:outlineLvl w:val="1"/>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（一）年满</w:t>
      </w:r>
      <w:r>
        <w:rPr>
          <w:rFonts w:ascii="仿宋_GB2312" w:eastAsia="仿宋_GB2312" w:hAnsi="仿宋_GB2312" w:cs="仿宋_GB2312" w:hint="eastAsia"/>
          <w:sz w:val="32"/>
          <w:szCs w:val="32"/>
        </w:rPr>
        <w:t>18</w:t>
      </w:r>
      <w:r>
        <w:rPr>
          <w:rFonts w:ascii="仿宋_GB2312" w:eastAsia="仿宋_GB2312" w:hAnsi="仿宋_GB2312" w:cs="仿宋_GB2312" w:hint="eastAsia"/>
          <w:sz w:val="32"/>
          <w:szCs w:val="32"/>
        </w:rPr>
        <w:t>周岁；</w:t>
      </w:r>
    </w:p>
    <w:p w14:paraId="22300DE9" w14:textId="77777777" w:rsidR="00577BCF" w:rsidRDefault="00E863CA">
      <w:pPr>
        <w:ind w:firstLineChars="200" w:firstLine="640"/>
        <w:outlineLvl w:val="1"/>
        <w:rPr>
          <w:rFonts w:ascii="仿宋_GB2312" w:eastAsia="仿宋_GB2312" w:hAnsi="仿宋_GB2312" w:cs="仿宋_GB2312"/>
          <w:sz w:val="32"/>
          <w:szCs w:val="32"/>
        </w:rPr>
      </w:pPr>
      <w:r>
        <w:rPr>
          <w:rFonts w:ascii="仿宋_GB2312" w:eastAsia="仿宋_GB2312" w:hAnsi="仿宋_GB2312" w:cs="仿宋_GB2312" w:hint="eastAsia"/>
          <w:sz w:val="32"/>
          <w:szCs w:val="32"/>
        </w:rPr>
        <w:t>（二）具有完全民事行为能力；</w:t>
      </w:r>
    </w:p>
    <w:p w14:paraId="28926A87" w14:textId="77777777" w:rsidR="00577BCF" w:rsidRDefault="00E863CA">
      <w:pPr>
        <w:ind w:firstLineChars="200" w:firstLine="640"/>
        <w:outlineLvl w:val="1"/>
        <w:rPr>
          <w:rFonts w:ascii="仿宋_GB2312" w:eastAsia="仿宋_GB2312" w:hAnsi="仿宋_GB2312" w:cs="仿宋_GB2312"/>
          <w:sz w:val="32"/>
          <w:szCs w:val="32"/>
        </w:rPr>
      </w:pPr>
      <w:r>
        <w:rPr>
          <w:rFonts w:ascii="仿宋_GB2312" w:eastAsia="仿宋_GB2312" w:hAnsi="仿宋_GB2312" w:cs="仿宋_GB2312" w:hint="eastAsia"/>
          <w:sz w:val="32"/>
          <w:szCs w:val="32"/>
        </w:rPr>
        <w:t>（三）具有高中以上文化程度；</w:t>
      </w:r>
    </w:p>
    <w:p w14:paraId="140D9071" w14:textId="77777777" w:rsidR="00577BCF" w:rsidRDefault="00E863CA">
      <w:pPr>
        <w:ind w:firstLineChars="200" w:firstLine="640"/>
        <w:outlineLvl w:val="1"/>
        <w:rPr>
          <w:rFonts w:ascii="仿宋_GB2312" w:eastAsia="仿宋_GB2312" w:hAnsi="仿宋_GB2312" w:cs="仿宋_GB2312"/>
          <w:sz w:val="32"/>
          <w:szCs w:val="32"/>
        </w:rPr>
      </w:pPr>
      <w:r>
        <w:rPr>
          <w:rFonts w:ascii="仿宋_GB2312" w:eastAsia="仿宋_GB2312" w:hAnsi="仿宋_GB2312" w:cs="仿宋_GB2312" w:hint="eastAsia"/>
          <w:sz w:val="32"/>
          <w:szCs w:val="32"/>
        </w:rPr>
        <w:t>（四）中国证监会规定的其他条件。</w:t>
      </w:r>
    </w:p>
    <w:p w14:paraId="676AF8E5" w14:textId="77777777" w:rsidR="00577BCF" w:rsidRDefault="00E863CA">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第八条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通过从业资格考试的，取得协会颁发的从业资格考试合格证明。</w:t>
      </w:r>
    </w:p>
    <w:p w14:paraId="0DDB4BBA" w14:textId="77777777" w:rsidR="00577BCF" w:rsidRDefault="00E863CA">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第九条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取得从业资格考试合格证明的人员从事期货业务的，应当事先通过其所在机构向协会申请从业资格。</w:t>
      </w:r>
    </w:p>
    <w:p w14:paraId="30F4CC94" w14:textId="77777777" w:rsidR="00577BCF" w:rsidRDefault="00E863C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未取得从业资格的人员，不得在机构中开展期货业务活动。</w:t>
      </w:r>
    </w:p>
    <w:p w14:paraId="3A591179" w14:textId="77777777" w:rsidR="00577BCF" w:rsidRDefault="00E863CA">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机构任用具有从业资格考试合格证明且符合下列条件的人员从事期货业务的，应当为其办理从业资格申请：</w:t>
      </w:r>
    </w:p>
    <w:p w14:paraId="06002248" w14:textId="77777777" w:rsidR="00577BCF" w:rsidRDefault="00E863C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（一）品行端正，具有良好的职业道德；</w:t>
      </w:r>
    </w:p>
    <w:p w14:paraId="4E2FD708" w14:textId="77777777" w:rsidR="00577BCF" w:rsidRDefault="00E863C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（二）已被本机构聘用；</w:t>
      </w:r>
    </w:p>
    <w:p w14:paraId="1C59348F" w14:textId="77777777" w:rsidR="00577BCF" w:rsidRDefault="00E863C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（三）最近</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年内未受过刑事处罚或者中国证监会等金融监管机构的行政处罚；</w:t>
      </w:r>
    </w:p>
    <w:p w14:paraId="254225F2" w14:textId="77777777" w:rsidR="00577BCF" w:rsidRDefault="00E863C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（四）未被中国证监会等金融监管机构采取市场禁入措施，或者禁入期已经届满；</w:t>
      </w:r>
    </w:p>
    <w:p w14:paraId="75B68024" w14:textId="77777777" w:rsidR="00577BCF" w:rsidRDefault="00E863C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（五）最近</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年内未因违法违规行为被撤销证券、期货从业资格；</w:t>
      </w:r>
    </w:p>
    <w:p w14:paraId="755ECD00" w14:textId="77777777" w:rsidR="00577BCF" w:rsidRDefault="00E863C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（六）中国证监会规定的其他条件。</w:t>
      </w:r>
    </w:p>
    <w:p w14:paraId="50EB76CE" w14:textId="77777777" w:rsidR="00577BCF" w:rsidRDefault="00E863C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机构不得任用无从业资格的人员从事期货业务，不得在办理从业资格申请过程中弄虚作假。</w:t>
      </w:r>
    </w:p>
    <w:p w14:paraId="743995C6" w14:textId="77777777" w:rsidR="00577BCF" w:rsidRDefault="00E863CA">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第十一条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期货从业人员辞职、被</w:t>
      </w:r>
      <w:r>
        <w:rPr>
          <w:rFonts w:ascii="仿宋_GB2312" w:eastAsia="仿宋_GB2312" w:hAnsi="仿宋_GB2312" w:cs="仿宋_GB2312" w:hint="eastAsia"/>
          <w:sz w:val="32"/>
          <w:szCs w:val="32"/>
        </w:rPr>
        <w:t>解聘或者死亡的，机构应当自上述情形发生之日起</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个工作日内向协会报告，由协会注销其从业资格。</w:t>
      </w:r>
    </w:p>
    <w:p w14:paraId="6033BE12" w14:textId="77777777" w:rsidR="00577BCF" w:rsidRDefault="00E863C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机构的相关期货业务许可被注销的，由协会注销该机构中从事相应期货业务的期货从业人员的从业资格。</w:t>
      </w:r>
    </w:p>
    <w:p w14:paraId="3C0F9D2B" w14:textId="77777777" w:rsidR="00577BCF" w:rsidRDefault="00E863CA">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第十二条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取得从业资格考试合格证明或者被注销从业资格的人员连续</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年未在机构中执业的，在申请从业资格前应当参加协会组织的后续职业培训。</w:t>
      </w:r>
    </w:p>
    <w:p w14:paraId="3E0D524A" w14:textId="77777777" w:rsidR="00577BCF" w:rsidRDefault="00577BCF">
      <w:pPr>
        <w:rPr>
          <w:rFonts w:ascii="仿宋_GB2312" w:eastAsia="仿宋_GB2312" w:hAnsi="仿宋_GB2312" w:cs="仿宋_GB2312"/>
          <w:sz w:val="32"/>
          <w:szCs w:val="32"/>
        </w:rPr>
      </w:pPr>
    </w:p>
    <w:p w14:paraId="201AA84B" w14:textId="77777777" w:rsidR="00577BCF" w:rsidRDefault="00E863CA">
      <w:pPr>
        <w:numPr>
          <w:ilvl w:val="0"/>
          <w:numId w:val="1"/>
        </w:numPr>
        <w:ind w:firstLineChars="200" w:firstLine="640"/>
        <w:jc w:val="center"/>
        <w:rPr>
          <w:rFonts w:ascii="黑体" w:eastAsia="黑体" w:hAnsi="黑体" w:cs="黑体"/>
          <w:sz w:val="32"/>
          <w:szCs w:val="32"/>
        </w:rPr>
      </w:pPr>
      <w:r>
        <w:rPr>
          <w:rFonts w:ascii="黑体" w:eastAsia="黑体" w:hAnsi="黑体" w:cs="黑体" w:hint="eastAsia"/>
          <w:sz w:val="32"/>
          <w:szCs w:val="32"/>
        </w:rPr>
        <w:t>执业规则</w:t>
      </w:r>
    </w:p>
    <w:p w14:paraId="39B6FCB2" w14:textId="77777777" w:rsidR="00577BCF" w:rsidRDefault="00577BCF">
      <w:pPr>
        <w:ind w:leftChars="200" w:left="420"/>
        <w:rPr>
          <w:rFonts w:ascii="仿宋_GB2312" w:eastAsia="仿宋_GB2312" w:hAnsi="仿宋_GB2312" w:cs="仿宋_GB2312"/>
          <w:sz w:val="32"/>
          <w:szCs w:val="32"/>
        </w:rPr>
      </w:pPr>
    </w:p>
    <w:p w14:paraId="3C08FC06" w14:textId="77777777" w:rsidR="00577BCF" w:rsidRDefault="00E863CA">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第十三条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从业人员必须遵守有关法律、行政法规和中国证监会的规定，遵守协会和期货交易所的自律规则，不得从事或者协同他人从事欺诈、内幕交易、操纵期货交易价格、编造并传播有关期货交易的虚假信息等违法违规行为。</w:t>
      </w:r>
    </w:p>
    <w:p w14:paraId="3FB95755" w14:textId="77777777" w:rsidR="00577BCF" w:rsidRDefault="00E863CA">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第十四条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期货从业人员应当遵守下列执业行为规范：</w:t>
      </w:r>
    </w:p>
    <w:p w14:paraId="445839F6" w14:textId="77777777" w:rsidR="00577BCF" w:rsidRDefault="00E863C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（一）诚实守信，恪尽职守，促进机构规范运作，维护期货行业声誉；</w:t>
      </w:r>
    </w:p>
    <w:p w14:paraId="07B4634B" w14:textId="77777777" w:rsidR="00577BCF" w:rsidRDefault="00E863C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（二）以专业的技能，谨慎、勤勉尽责地为客户提供服务，保守客户的商业秘密，维护客户的合法权益；</w:t>
      </w:r>
    </w:p>
    <w:p w14:paraId="2E51EE51" w14:textId="77777777" w:rsidR="00577BCF" w:rsidRDefault="00E863C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（三）向客户提供专业服务时，充分揭示期货交易风险，不得作出不当承诺或者保证；</w:t>
      </w:r>
    </w:p>
    <w:p w14:paraId="18306A80" w14:textId="77777777" w:rsidR="00577BCF" w:rsidRDefault="00E863C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（四）当自身利益或者相关方</w:t>
      </w:r>
      <w:r>
        <w:rPr>
          <w:rFonts w:ascii="仿宋_GB2312" w:eastAsia="仿宋_GB2312" w:hAnsi="仿宋_GB2312" w:cs="仿宋_GB2312" w:hint="eastAsia"/>
          <w:sz w:val="32"/>
          <w:szCs w:val="32"/>
        </w:rPr>
        <w:t>利益与客户的利益发生冲突或者存在潜在利益冲突时，及时向客户进行披露，并且坚持客户合法利益优先的原则；</w:t>
      </w:r>
    </w:p>
    <w:p w14:paraId="14727882" w14:textId="77777777" w:rsidR="00577BCF" w:rsidRDefault="00E863C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（五）具有良好的职业道德与守法意识，抵制商业贿赂，不得从事不正当竞争行为和不正当交易行为；</w:t>
      </w:r>
    </w:p>
    <w:p w14:paraId="0685DC10" w14:textId="77777777" w:rsidR="00577BCF" w:rsidRDefault="00E863C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（六）不得为迎合客户的不合理要求而损害社会公共利益、所在机构或者他人的合法权益；</w:t>
      </w:r>
    </w:p>
    <w:p w14:paraId="5857F434" w14:textId="77777777" w:rsidR="00577BCF" w:rsidRDefault="00E863C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（七）不得以本人或者他人名义从事期货交易；</w:t>
      </w:r>
    </w:p>
    <w:p w14:paraId="4140570B" w14:textId="77777777" w:rsidR="00577BCF" w:rsidRDefault="00E863C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（八）协会规定的其他执业行为规范。</w:t>
      </w:r>
    </w:p>
    <w:p w14:paraId="5C5806E7" w14:textId="77777777" w:rsidR="00577BCF" w:rsidRDefault="00E863CA">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第十五条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期货公司的期货从业人员不得有下列行为：</w:t>
      </w:r>
    </w:p>
    <w:p w14:paraId="380DB7D1" w14:textId="77777777" w:rsidR="00577BCF" w:rsidRDefault="00E863C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（一）进行虚假宣传，诱骗客户参与期货交易；</w:t>
      </w:r>
    </w:p>
    <w:p w14:paraId="015195FC" w14:textId="77777777" w:rsidR="00577BCF" w:rsidRDefault="00E863C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（二）挪用客户的期货保证金或者其他资产；</w:t>
      </w:r>
    </w:p>
    <w:p w14:paraId="31F39BD8" w14:textId="77777777" w:rsidR="00577BCF" w:rsidRDefault="00E863C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（三）中国证监会禁止的其他行为。</w:t>
      </w:r>
    </w:p>
    <w:p w14:paraId="69AE8941" w14:textId="77777777" w:rsidR="00577BCF" w:rsidRDefault="00E863CA">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lastRenderedPageBreak/>
        <w:t>第十六条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期货交易所的非期货公司结算会员的期货从业人员不得有下列行为：</w:t>
      </w:r>
    </w:p>
    <w:p w14:paraId="67D47B82" w14:textId="77777777" w:rsidR="00577BCF" w:rsidRDefault="00E863C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（一）利用结算业务关系及由此获得的结算信息损害非结算会员及其客户的合法权益；</w:t>
      </w:r>
    </w:p>
    <w:p w14:paraId="5D931A2B" w14:textId="77777777" w:rsidR="00577BCF" w:rsidRDefault="00E863C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（二）代理客户从事期货交易；</w:t>
      </w:r>
    </w:p>
    <w:p w14:paraId="6F5FCBB2" w14:textId="77777777" w:rsidR="00577BCF" w:rsidRDefault="00E863C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（三）中国证监会禁止的其他行为。</w:t>
      </w:r>
    </w:p>
    <w:p w14:paraId="491650F8" w14:textId="77777777" w:rsidR="00577BCF" w:rsidRDefault="00E863CA">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第十七条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期货投资咨询机构的期货从业人员不得有下列行为：</w:t>
      </w:r>
    </w:p>
    <w:p w14:paraId="782D03BF" w14:textId="77777777" w:rsidR="00577BCF" w:rsidRDefault="00E863C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（一）利用传播媒介或者通过其他方式提供、传播虚假或者误导客户的信息；</w:t>
      </w:r>
    </w:p>
    <w:p w14:paraId="71F5A56E" w14:textId="77777777" w:rsidR="00577BCF" w:rsidRDefault="00E863C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（二）代理客户从事期货交易；</w:t>
      </w:r>
    </w:p>
    <w:p w14:paraId="77D84E4A" w14:textId="77777777" w:rsidR="00577BCF" w:rsidRDefault="00E863C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（三）中国证监会禁止的其他行为。</w:t>
      </w:r>
    </w:p>
    <w:p w14:paraId="40406B4A" w14:textId="77777777" w:rsidR="00577BCF" w:rsidRDefault="00E863CA">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第十八条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为期货公司提供</w:t>
      </w:r>
      <w:r>
        <w:rPr>
          <w:rFonts w:ascii="仿宋_GB2312" w:eastAsia="仿宋_GB2312" w:hAnsi="仿宋_GB2312" w:cs="仿宋_GB2312" w:hint="eastAsia"/>
          <w:sz w:val="32"/>
          <w:szCs w:val="32"/>
        </w:rPr>
        <w:t>中间介绍业务的机构的期货从业人员不得有下列行为：</w:t>
      </w:r>
    </w:p>
    <w:p w14:paraId="0260B9D9" w14:textId="77777777" w:rsidR="00577BCF" w:rsidRDefault="00E863C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（一）收付、存取或者划转期货保证金；</w:t>
      </w:r>
    </w:p>
    <w:p w14:paraId="53C663A4" w14:textId="77777777" w:rsidR="00577BCF" w:rsidRDefault="00E863C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（二）代理客户从事期货交易；</w:t>
      </w:r>
    </w:p>
    <w:p w14:paraId="7CE9720E" w14:textId="77777777" w:rsidR="00577BCF" w:rsidRDefault="00E863C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（三）中国证监会禁止的其他行为。</w:t>
      </w:r>
    </w:p>
    <w:p w14:paraId="22C96E03" w14:textId="77777777" w:rsidR="00577BCF" w:rsidRDefault="00E863CA">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第十九条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机构或者其管理人员对期货从业人员发出违法违规指令的，期货从业人员应当予以抵制，并及时按照所在机构</w:t>
      </w:r>
      <w:r>
        <w:rPr>
          <w:rFonts w:ascii="仿宋_GB2312" w:eastAsia="仿宋_GB2312" w:hAnsi="仿宋_GB2312" w:cs="仿宋_GB2312" w:hint="eastAsia"/>
          <w:sz w:val="32"/>
          <w:szCs w:val="32"/>
        </w:rPr>
        <w:lastRenderedPageBreak/>
        <w:t>内部程序向高级管理人员或者董事会报告。机构应当及时采取措施妥善处理。</w:t>
      </w:r>
    </w:p>
    <w:p w14:paraId="248E245C" w14:textId="77777777" w:rsidR="00577BCF" w:rsidRDefault="00E863C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机构未妥善处理的，期货从业人员应当及时向中国证监会或者协会报告。中国证监会和协会应当对期货从业人员的报告行为保密。</w:t>
      </w:r>
    </w:p>
    <w:p w14:paraId="7C15AAE5" w14:textId="77777777" w:rsidR="00577BCF" w:rsidRDefault="00E863C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机构的管理人员及其他相关人员不得对期货从业人员的上述报告行为打击报复。</w:t>
      </w:r>
    </w:p>
    <w:p w14:paraId="664A0C59" w14:textId="77777777" w:rsidR="00577BCF" w:rsidRDefault="00577BCF">
      <w:pPr>
        <w:ind w:firstLineChars="200" w:firstLine="640"/>
        <w:rPr>
          <w:rFonts w:ascii="仿宋_GB2312" w:eastAsia="仿宋_GB2312" w:hAnsi="仿宋_GB2312" w:cs="仿宋_GB2312"/>
          <w:sz w:val="32"/>
          <w:szCs w:val="32"/>
        </w:rPr>
      </w:pPr>
    </w:p>
    <w:p w14:paraId="41C8A798" w14:textId="77777777" w:rsidR="00577BCF" w:rsidRDefault="00E863CA">
      <w:pPr>
        <w:numPr>
          <w:ilvl w:val="0"/>
          <w:numId w:val="1"/>
        </w:numPr>
        <w:ind w:firstLineChars="200" w:firstLine="640"/>
        <w:jc w:val="center"/>
        <w:rPr>
          <w:rFonts w:ascii="黑体" w:eastAsia="黑体" w:hAnsi="黑体" w:cs="黑体"/>
          <w:sz w:val="32"/>
          <w:szCs w:val="32"/>
        </w:rPr>
      </w:pPr>
      <w:r>
        <w:rPr>
          <w:rFonts w:ascii="黑体" w:eastAsia="黑体" w:hAnsi="黑体" w:cs="黑体" w:hint="eastAsia"/>
          <w:sz w:val="32"/>
          <w:szCs w:val="32"/>
        </w:rPr>
        <w:t>监督管理</w:t>
      </w:r>
    </w:p>
    <w:p w14:paraId="49D25653" w14:textId="77777777" w:rsidR="00577BCF" w:rsidRDefault="00577BCF">
      <w:pPr>
        <w:ind w:leftChars="200" w:left="420"/>
        <w:rPr>
          <w:rFonts w:ascii="黑体" w:eastAsia="黑体" w:hAnsi="黑体" w:cs="黑体"/>
          <w:sz w:val="32"/>
          <w:szCs w:val="32"/>
        </w:rPr>
      </w:pPr>
    </w:p>
    <w:p w14:paraId="25467B68" w14:textId="77777777" w:rsidR="00577BCF" w:rsidRDefault="00E863CA">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中国证监会指导和监督协会对期货从业人员的自律管理活动。</w:t>
      </w:r>
    </w:p>
    <w:p w14:paraId="1BF902AD" w14:textId="77777777" w:rsidR="00577BCF" w:rsidRDefault="00E863CA">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第二十一条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协会应当建立期货从业人员信息数据库，公示并且及时更新从业资格注册、诚信记录等信息。</w:t>
      </w:r>
    </w:p>
    <w:p w14:paraId="3AE85BAC" w14:textId="77777777" w:rsidR="00577BCF" w:rsidRDefault="00E863C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中国证监会及其派出机构履行监管职责，需要协会提供期货从业人员信息和资料的，协会应当按照要求及时提供。</w:t>
      </w:r>
    </w:p>
    <w:p w14:paraId="7F11B17E" w14:textId="77777777" w:rsidR="00577BCF" w:rsidRDefault="00E863CA">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第二十二条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协会应当组织期货从业人员后续</w:t>
      </w:r>
      <w:r>
        <w:rPr>
          <w:rFonts w:ascii="仿宋_GB2312" w:eastAsia="仿宋_GB2312" w:hAnsi="仿宋_GB2312" w:cs="仿宋_GB2312" w:hint="eastAsia"/>
          <w:sz w:val="32"/>
          <w:szCs w:val="32"/>
        </w:rPr>
        <w:t>职业培训，提高期货从业人员的职业道德和专业素质。</w:t>
      </w:r>
    </w:p>
    <w:p w14:paraId="64D33112" w14:textId="77777777" w:rsidR="00577BCF" w:rsidRDefault="00E863C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期货从业人员应当按照有关规定参加后续职业培训，其所在</w:t>
      </w:r>
      <w:r>
        <w:rPr>
          <w:rFonts w:ascii="仿宋_GB2312" w:eastAsia="仿宋_GB2312" w:hAnsi="仿宋_GB2312" w:cs="仿宋_GB2312" w:hint="eastAsia"/>
          <w:sz w:val="32"/>
          <w:szCs w:val="32"/>
        </w:rPr>
        <w:lastRenderedPageBreak/>
        <w:t>机构应予以支持并提供必要保障。</w:t>
      </w:r>
    </w:p>
    <w:p w14:paraId="150E7AF3" w14:textId="77777777" w:rsidR="00577BCF" w:rsidRDefault="00E863CA">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第二十三条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协会应当对期货从业人员的执业行为进行定期或者不定期检查，期货从业人员及其所在机构应当予以配合。</w:t>
      </w:r>
    </w:p>
    <w:p w14:paraId="678F75F8" w14:textId="77777777" w:rsidR="00577BCF" w:rsidRDefault="00E863CA">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第二十四条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期货从业人员违反本办法以及协会自律规则的，协会应当进行调查、给予纪律惩戒。</w:t>
      </w:r>
    </w:p>
    <w:p w14:paraId="05ADA60E" w14:textId="77777777" w:rsidR="00577BCF" w:rsidRDefault="00E863C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期货从业人员涉嫌违法违规需要中国证监会给予行政处罚的，协会应当及时移送中国证监会处理。</w:t>
      </w:r>
    </w:p>
    <w:p w14:paraId="71C81D55" w14:textId="77777777" w:rsidR="00577BCF" w:rsidRDefault="00E863CA">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第二十五条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协会应当设立专门的纪律惩戒及申诉机构，制订相关制度和工作规程，按照规定程序对期货从业人员进行纪律惩戒，并保障当事人享有申诉等权利。</w:t>
      </w:r>
    </w:p>
    <w:p w14:paraId="251A3334" w14:textId="77777777" w:rsidR="00577BCF" w:rsidRDefault="00E863CA">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第二十六条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协会应当自对期货从业人员作出纪律惩戒决定之日起</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个工作日内，向中国证监会及其有关派出机构报告，并及时在协会网站公示。</w:t>
      </w:r>
    </w:p>
    <w:p w14:paraId="792B05F6" w14:textId="77777777" w:rsidR="00577BCF" w:rsidRDefault="00E863CA">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第二十七条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期货从业人员受到机构处分，或者从事的期货业务行为涉嫌违法违规被调查处理的，机构应当在作出处分决定、知悉或者应当知悉该期货从业人员违法违规被调查处理事项之日起</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个工作日内向协会报告。</w:t>
      </w:r>
    </w:p>
    <w:p w14:paraId="0290B7CA" w14:textId="77777777" w:rsidR="00577BCF" w:rsidRDefault="00E863CA">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第二十八条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协会应当定期向中国证监会报告期货从</w:t>
      </w:r>
      <w:r>
        <w:rPr>
          <w:rFonts w:ascii="仿宋_GB2312" w:eastAsia="仿宋_GB2312" w:hAnsi="仿宋_GB2312" w:cs="仿宋_GB2312" w:hint="eastAsia"/>
          <w:sz w:val="32"/>
          <w:szCs w:val="32"/>
        </w:rPr>
        <w:t>业人员管理的有关情况。</w:t>
      </w:r>
    </w:p>
    <w:p w14:paraId="04E778F5" w14:textId="77777777" w:rsidR="00577BCF" w:rsidRDefault="00E863CA">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lastRenderedPageBreak/>
        <w:t>第二十九条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期货从业人员违反本办法规定的，中国证监会及其派出机构可以采取责令改正、监管谈话、出具警示函等监管措施。</w:t>
      </w:r>
    </w:p>
    <w:p w14:paraId="3F1807CD" w14:textId="77777777" w:rsidR="00577BCF" w:rsidRDefault="00E863CA">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第三十条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期货从业人员自律管理的具体办法，包括从业资格考试、从业资格注册和公示、执业行为准则、后续职业培训、执业检查、纪律惩戒和申诉等，由协会制订，报中国证监会核准。</w:t>
      </w:r>
    </w:p>
    <w:p w14:paraId="17F0282B" w14:textId="77777777" w:rsidR="00577BCF" w:rsidRDefault="00577BCF">
      <w:pPr>
        <w:ind w:firstLineChars="200" w:firstLine="640"/>
        <w:rPr>
          <w:rFonts w:ascii="仿宋_GB2312" w:eastAsia="仿宋_GB2312" w:hAnsi="仿宋_GB2312" w:cs="仿宋_GB2312"/>
          <w:sz w:val="32"/>
          <w:szCs w:val="32"/>
        </w:rPr>
      </w:pPr>
    </w:p>
    <w:p w14:paraId="7341C8F8" w14:textId="77777777" w:rsidR="00577BCF" w:rsidRDefault="00E863CA">
      <w:pPr>
        <w:numPr>
          <w:ilvl w:val="0"/>
          <w:numId w:val="1"/>
        </w:numPr>
        <w:ind w:firstLineChars="200" w:firstLine="640"/>
        <w:jc w:val="center"/>
        <w:rPr>
          <w:rFonts w:ascii="黑体" w:eastAsia="黑体" w:hAnsi="黑体" w:cs="黑体"/>
          <w:sz w:val="32"/>
          <w:szCs w:val="32"/>
        </w:rPr>
      </w:pPr>
      <w:r>
        <w:rPr>
          <w:rFonts w:ascii="黑体" w:eastAsia="黑体" w:hAnsi="黑体" w:cs="黑体" w:hint="eastAsia"/>
          <w:sz w:val="32"/>
          <w:szCs w:val="32"/>
        </w:rPr>
        <w:t>罚</w:t>
      </w:r>
      <w:r>
        <w:rPr>
          <w:rFonts w:ascii="黑体" w:eastAsia="黑体" w:hAnsi="黑体" w:cs="黑体" w:hint="eastAsia"/>
          <w:sz w:val="32"/>
          <w:szCs w:val="32"/>
        </w:rPr>
        <w:t xml:space="preserve"> </w:t>
      </w:r>
      <w:r>
        <w:rPr>
          <w:rFonts w:ascii="黑体" w:eastAsia="黑体" w:hAnsi="黑体" w:cs="黑体" w:hint="eastAsia"/>
          <w:sz w:val="32"/>
          <w:szCs w:val="32"/>
        </w:rPr>
        <w:t xml:space="preserve"> </w:t>
      </w:r>
      <w:r>
        <w:rPr>
          <w:rFonts w:ascii="黑体" w:eastAsia="黑体" w:hAnsi="黑体" w:cs="黑体" w:hint="eastAsia"/>
          <w:sz w:val="32"/>
          <w:szCs w:val="32"/>
        </w:rPr>
        <w:t>则</w:t>
      </w:r>
    </w:p>
    <w:p w14:paraId="3DC7B9A5" w14:textId="77777777" w:rsidR="00577BCF" w:rsidRDefault="00577BCF">
      <w:pPr>
        <w:ind w:leftChars="200" w:left="420"/>
        <w:rPr>
          <w:rFonts w:ascii="仿宋_GB2312" w:eastAsia="仿宋_GB2312" w:hAnsi="仿宋_GB2312" w:cs="仿宋_GB2312"/>
          <w:sz w:val="32"/>
          <w:szCs w:val="32"/>
        </w:rPr>
      </w:pPr>
    </w:p>
    <w:p w14:paraId="3229C9FB" w14:textId="77777777" w:rsidR="00577BCF" w:rsidRDefault="00E863CA">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第三十一条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未取得从业资格，擅自从事期货业务的，中国证监会责令改正，给予警告，单处或者并处</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万元以下罚款。</w:t>
      </w:r>
    </w:p>
    <w:p w14:paraId="08367043" w14:textId="77777777" w:rsidR="00577BCF" w:rsidRDefault="00E863CA">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第三十二条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有下列行为之一的，中国证监会根据《期货交易管理条例》第七十条处</w:t>
      </w:r>
      <w:r>
        <w:rPr>
          <w:rFonts w:ascii="仿宋_GB2312" w:eastAsia="仿宋_GB2312" w:hAnsi="仿宋_GB2312" w:cs="仿宋_GB2312" w:hint="eastAsia"/>
          <w:sz w:val="32"/>
          <w:szCs w:val="32"/>
        </w:rPr>
        <w:t>罚：</w:t>
      </w:r>
    </w:p>
    <w:p w14:paraId="2B7D7828" w14:textId="77777777" w:rsidR="00577BCF" w:rsidRDefault="00E863C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（一）任用无从业资格的人员从事期货业务；</w:t>
      </w:r>
    </w:p>
    <w:p w14:paraId="07776AC1" w14:textId="77777777" w:rsidR="00577BCF" w:rsidRDefault="00E863C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（二）在办理从业资格申请过程中弄虚作假；</w:t>
      </w:r>
    </w:p>
    <w:p w14:paraId="0B4727E3" w14:textId="77777777" w:rsidR="00577BCF" w:rsidRDefault="00E863C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（三）不履行本办法第二十三条规定的配合义务；</w:t>
      </w:r>
    </w:p>
    <w:p w14:paraId="43D1E4AA" w14:textId="77777777" w:rsidR="00577BCF" w:rsidRDefault="00E863C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（四）不按照本办法第二十七条的规定履行报告义务或者报告材料存在虚假内容。</w:t>
      </w:r>
    </w:p>
    <w:p w14:paraId="663E263F" w14:textId="77777777" w:rsidR="00577BCF" w:rsidRDefault="00E863CA">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第三十三条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违反本办法第十九条的规定，对期货从业人员</w:t>
      </w:r>
      <w:r>
        <w:rPr>
          <w:rFonts w:ascii="仿宋_GB2312" w:eastAsia="仿宋_GB2312" w:hAnsi="仿宋_GB2312" w:cs="仿宋_GB2312" w:hint="eastAsia"/>
          <w:sz w:val="32"/>
          <w:szCs w:val="32"/>
        </w:rPr>
        <w:lastRenderedPageBreak/>
        <w:t>进行打击报复的，中国证监会根据《期货交易管理条例》第七十条、第八十一条处罚。</w:t>
      </w:r>
    </w:p>
    <w:p w14:paraId="794E2C94" w14:textId="77777777" w:rsidR="00577BCF" w:rsidRDefault="00E863CA">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第三十四条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期货从业人员违法违规的，中国证监会依法给予行政处罚。但因被迫执行违法违规指令而按照本办法第十九条第二款的规定履行了报告义务的，可以从轻、减轻或者免予行政处罚。</w:t>
      </w:r>
    </w:p>
    <w:p w14:paraId="471126F8" w14:textId="77777777" w:rsidR="00577BCF" w:rsidRDefault="00E863CA">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第三十五条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协会工作人员不按本办法规定履行职责，徇私舞弊、玩忽职守或者故意刁难有关当事人的，协会应当给予纪律处分。</w:t>
      </w:r>
    </w:p>
    <w:p w14:paraId="7810E603" w14:textId="77777777" w:rsidR="00577BCF" w:rsidRDefault="00577BCF">
      <w:pPr>
        <w:ind w:firstLineChars="200" w:firstLine="640"/>
        <w:rPr>
          <w:rFonts w:ascii="仿宋_GB2312" w:eastAsia="仿宋_GB2312" w:hAnsi="仿宋_GB2312" w:cs="仿宋_GB2312"/>
          <w:sz w:val="32"/>
          <w:szCs w:val="32"/>
        </w:rPr>
      </w:pPr>
    </w:p>
    <w:p w14:paraId="3B54ECD6" w14:textId="77777777" w:rsidR="00577BCF" w:rsidRDefault="00E863CA">
      <w:pPr>
        <w:numPr>
          <w:ilvl w:val="0"/>
          <w:numId w:val="2"/>
        </w:numPr>
        <w:ind w:firstLineChars="200" w:firstLine="640"/>
        <w:jc w:val="center"/>
        <w:rPr>
          <w:rFonts w:ascii="黑体" w:eastAsia="黑体" w:hAnsi="黑体" w:cs="黑体"/>
          <w:sz w:val="32"/>
          <w:szCs w:val="32"/>
        </w:rPr>
      </w:pPr>
      <w:r>
        <w:rPr>
          <w:rFonts w:ascii="黑体" w:eastAsia="黑体" w:hAnsi="黑体" w:cs="黑体" w:hint="eastAsia"/>
          <w:sz w:val="32"/>
          <w:szCs w:val="32"/>
        </w:rPr>
        <w:t>附</w:t>
      </w:r>
      <w:r>
        <w:rPr>
          <w:rFonts w:ascii="黑体" w:eastAsia="黑体" w:hAnsi="黑体" w:cs="黑体" w:hint="eastAsia"/>
          <w:sz w:val="32"/>
          <w:szCs w:val="32"/>
        </w:rPr>
        <w:t xml:space="preserve"> </w:t>
      </w:r>
      <w:r>
        <w:rPr>
          <w:rFonts w:ascii="黑体" w:eastAsia="黑体" w:hAnsi="黑体" w:cs="黑体" w:hint="eastAsia"/>
          <w:sz w:val="32"/>
          <w:szCs w:val="32"/>
        </w:rPr>
        <w:t xml:space="preserve"> </w:t>
      </w:r>
      <w:r>
        <w:rPr>
          <w:rFonts w:ascii="黑体" w:eastAsia="黑体" w:hAnsi="黑体" w:cs="黑体" w:hint="eastAsia"/>
          <w:sz w:val="32"/>
          <w:szCs w:val="32"/>
        </w:rPr>
        <w:t>则</w:t>
      </w:r>
    </w:p>
    <w:p w14:paraId="440EAF60" w14:textId="77777777" w:rsidR="00577BCF" w:rsidRDefault="00577BCF">
      <w:pPr>
        <w:rPr>
          <w:rFonts w:ascii="仿宋_GB2312" w:eastAsia="仿宋_GB2312" w:hAnsi="仿宋_GB2312" w:cs="仿宋_GB2312"/>
          <w:sz w:val="32"/>
          <w:szCs w:val="32"/>
        </w:rPr>
      </w:pPr>
    </w:p>
    <w:p w14:paraId="026AC35B" w14:textId="77777777" w:rsidR="00577BCF" w:rsidRDefault="00E863CA">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第三十六条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本办法自公布之日起施行。</w:t>
      </w:r>
      <w:r>
        <w:rPr>
          <w:rFonts w:ascii="仿宋_GB2312" w:eastAsia="仿宋_GB2312" w:hAnsi="仿宋_GB2312" w:cs="仿宋_GB2312" w:hint="eastAsia"/>
          <w:sz w:val="32"/>
          <w:szCs w:val="32"/>
        </w:rPr>
        <w:t>2002</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23</w:t>
      </w:r>
      <w:r>
        <w:rPr>
          <w:rFonts w:ascii="仿宋_GB2312" w:eastAsia="仿宋_GB2312" w:hAnsi="仿宋_GB2312" w:cs="仿宋_GB2312" w:hint="eastAsia"/>
          <w:sz w:val="32"/>
          <w:szCs w:val="32"/>
        </w:rPr>
        <w:t>日发布的《期货从业人员资格管理办法（修订）》（证监发</w:t>
      </w:r>
      <w:r>
        <w:rPr>
          <w:rFonts w:ascii="仿宋_GB2312" w:eastAsia="仿宋_GB2312" w:hAnsi="仿宋_GB2312" w:cs="仿宋_GB2312" w:hint="eastAsia"/>
          <w:sz w:val="32"/>
          <w:szCs w:val="32"/>
        </w:rPr>
        <w:t>[2002]6</w:t>
      </w:r>
      <w:r>
        <w:rPr>
          <w:rFonts w:ascii="仿宋_GB2312" w:eastAsia="仿宋_GB2312" w:hAnsi="仿宋_GB2312" w:cs="仿宋_GB2312" w:hint="eastAsia"/>
          <w:sz w:val="32"/>
          <w:szCs w:val="32"/>
        </w:rPr>
        <w:t>号）同时废止。</w:t>
      </w:r>
    </w:p>
    <w:p w14:paraId="54D5267D" w14:textId="77777777" w:rsidR="00577BCF" w:rsidRDefault="00577BCF">
      <w:pPr>
        <w:ind w:firstLineChars="200" w:firstLine="640"/>
        <w:rPr>
          <w:rFonts w:ascii="仿宋_GB2312" w:eastAsia="仿宋_GB2312" w:hAnsi="仿宋_GB2312" w:cs="仿宋_GB2312"/>
          <w:sz w:val="32"/>
          <w:szCs w:val="32"/>
        </w:rPr>
      </w:pPr>
    </w:p>
    <w:p w14:paraId="10327E9B" w14:textId="77777777" w:rsidR="00577BCF" w:rsidRDefault="00577BCF">
      <w:pPr>
        <w:ind w:firstLineChars="200" w:firstLine="640"/>
        <w:rPr>
          <w:rFonts w:ascii="仿宋_GB2312" w:eastAsia="仿宋_GB2312" w:hAnsi="仿宋_GB2312" w:cs="仿宋_GB2312"/>
          <w:color w:val="333333"/>
          <w:sz w:val="32"/>
          <w:szCs w:val="32"/>
          <w:shd w:val="clear" w:color="auto" w:fill="FFFFFF"/>
        </w:rPr>
      </w:pPr>
    </w:p>
    <w:sectPr w:rsidR="00577BCF">
      <w:headerReference w:type="default" r:id="rId8"/>
      <w:footerReference w:type="default" r:id="rId9"/>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6B0B4B" w14:textId="77777777" w:rsidR="00E863CA" w:rsidRDefault="00E863CA">
      <w:r>
        <w:separator/>
      </w:r>
    </w:p>
  </w:endnote>
  <w:endnote w:type="continuationSeparator" w:id="0">
    <w:p w14:paraId="1A651BAB" w14:textId="77777777" w:rsidR="00E863CA" w:rsidRDefault="00E863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微软雅黑"/>
    <w:charset w:val="86"/>
    <w:family w:val="auto"/>
    <w:pitch w:val="default"/>
    <w:sig w:usb0="00000000" w:usb1="00000000" w:usb2="00000012" w:usb3="00000000" w:csb0="00040001" w:csb1="00000000"/>
  </w:font>
  <w:font w:name="楷体_GB2312">
    <w:altName w:val="楷体"/>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auto"/>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8F7CF" w14:textId="77777777" w:rsidR="00577BCF" w:rsidRDefault="00E863CA">
    <w:pPr>
      <w:pStyle w:val="a5"/>
      <w:ind w:leftChars="2280" w:left="4788" w:firstLineChars="2000" w:firstLine="6400"/>
      <w:rPr>
        <w:rFonts w:eastAsia="仿宋"/>
        <w:sz w:val="32"/>
        <w:szCs w:val="48"/>
      </w:rPr>
    </w:pPr>
    <w:r>
      <w:rPr>
        <w:noProof/>
        <w:sz w:val="32"/>
      </w:rPr>
      <mc:AlternateContent>
        <mc:Choice Requires="wps">
          <w:drawing>
            <wp:anchor distT="0" distB="0" distL="114300" distR="114300" simplePos="0" relativeHeight="251662336" behindDoc="0" locked="0" layoutInCell="1" allowOverlap="1" wp14:anchorId="6AD37C1A" wp14:editId="4E4CE19D">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3F8D32" w14:textId="77777777" w:rsidR="00577BCF" w:rsidRDefault="00E863CA">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AD37C1A" id="_x0000_t202" coordsize="21600,21600" o:spt="202" path="m,l,21600r21600,l21600,xe">
              <v:stroke joinstyle="miter"/>
              <v:path gradientshapeok="t" o:connecttype="rect"/>
            </v:shapetype>
            <v:shape id="文本框 8" o:spid="_x0000_s1027" type="#_x0000_t202" style="position:absolute;left:0;text-align:left;margin-left:92.8pt;margin-top:0;width:2in;height:2in;z-index:25166233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7C3F8D32" w14:textId="77777777" w:rsidR="00577BCF" w:rsidRDefault="00E863CA">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- 1 -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 xml:space="preserve">  </w:t>
    </w:r>
  </w:p>
  <w:p w14:paraId="1EB7A787" w14:textId="77777777" w:rsidR="00577BCF" w:rsidRDefault="00E863CA">
    <w:pPr>
      <w:pStyle w:val="a5"/>
      <w:wordWrap w:val="0"/>
      <w:ind w:leftChars="2280" w:left="4788" w:firstLineChars="2000" w:firstLine="6400"/>
      <w:jc w:val="right"/>
      <w:rPr>
        <w:rFonts w:ascii="宋体" w:eastAsia="宋体" w:hAnsi="宋体" w:cs="宋体"/>
        <w:b/>
        <w:bCs/>
        <w:color w:val="005192"/>
        <w:sz w:val="28"/>
        <w:szCs w:val="44"/>
      </w:rPr>
    </w:pPr>
    <w:r>
      <w:rPr>
        <w:noProof/>
        <w:color w:val="FAFAFA"/>
        <w:sz w:val="32"/>
      </w:rPr>
      <mc:AlternateContent>
        <mc:Choice Requires="wps">
          <w:drawing>
            <wp:anchor distT="0" distB="0" distL="114300" distR="114300" simplePos="0" relativeHeight="251661312" behindDoc="0" locked="0" layoutInCell="1" allowOverlap="1" wp14:anchorId="76781AB9" wp14:editId="78A6317A">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E57C604" id="直接连接符 5"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0,5.85pt" to="442.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" strokecolor="#005192" strokeweight="1.75pt">
              <v:stroke joinstyle="miter"/>
            </v:line>
          </w:pict>
        </mc:Fallback>
      </mc:AlternateContent>
    </w:r>
    <w:r>
      <w:rPr>
        <w:rFonts w:eastAsia="仿宋" w:hint="eastAsia"/>
        <w:color w:val="FAFAFA"/>
        <w:sz w:val="32"/>
        <w:szCs w:val="48"/>
      </w:rPr>
      <w:t>X</w:t>
    </w:r>
    <w:r>
      <w:rPr>
        <w:rFonts w:ascii="宋体" w:eastAsia="宋体" w:hAnsi="宋体" w:cs="宋体" w:hint="eastAsia"/>
        <w:b/>
        <w:bCs/>
        <w:color w:val="005192"/>
        <w:sz w:val="28"/>
        <w:szCs w:val="44"/>
      </w:rPr>
      <w:t>证监会发布</w:t>
    </w:r>
    <w:r>
      <w:rPr>
        <w:rFonts w:ascii="宋体" w:eastAsia="宋体" w:hAnsi="宋体" w:cs="宋体" w:hint="eastAsia"/>
        <w:b/>
        <w:bCs/>
        <w:color w:val="005192"/>
        <w:sz w:val="28"/>
        <w:szCs w:val="44"/>
      </w:rPr>
      <w:t xml:space="preserve">     </w:t>
    </w:r>
  </w:p>
  <w:p w14:paraId="06A2AC08" w14:textId="77777777" w:rsidR="00577BCF" w:rsidRDefault="00577BCF">
    <w:pPr>
      <w:pStyle w:val="a5"/>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2B6246" w14:textId="77777777" w:rsidR="00E863CA" w:rsidRDefault="00E863CA">
      <w:r>
        <w:separator/>
      </w:r>
    </w:p>
  </w:footnote>
  <w:footnote w:type="continuationSeparator" w:id="0">
    <w:p w14:paraId="516D7DB3" w14:textId="77777777" w:rsidR="00E863CA" w:rsidRDefault="00E863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89EF4" w14:textId="77777777" w:rsidR="00577BCF" w:rsidRDefault="00E863CA">
    <w:pPr>
      <w:pStyle w:val="a5"/>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60288" behindDoc="0" locked="0" layoutInCell="1" allowOverlap="1" wp14:anchorId="728A8547" wp14:editId="4727F36C">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74BED99" id="直接连接符 4"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3pt,54.35pt" to="442.25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" strokecolor="#005192" strokeweight="1.75pt">
              <v:stroke joinstyle="miter"/>
            </v:line>
          </w:pict>
        </mc:Fallback>
      </mc:AlternateContent>
    </w:r>
  </w:p>
  <w:p w14:paraId="4406FCB0" w14:textId="77777777" w:rsidR="00577BCF" w:rsidRDefault="00E863CA">
    <w:pPr>
      <w:pStyle w:val="a5"/>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14:anchorId="62B24F2C" wp14:editId="6D943C2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eastAsia="宋体" w:hAnsi="宋体" w:cs="宋体" w:hint="eastAsia"/>
        <w:b/>
        <w:bCs/>
        <w:color w:val="005192"/>
        <w:sz w:val="32"/>
      </w:rPr>
      <w:t>证监会</w:t>
    </w:r>
    <w:r>
      <w:rPr>
        <w:rFonts w:ascii="宋体" w:eastAsia="宋体" w:hAnsi="宋体" w:cs="宋体" w:hint="eastAsia"/>
        <w:b/>
        <w:bCs/>
        <w:color w:val="005192"/>
        <w:sz w:val="32"/>
        <w:szCs w:val="32"/>
      </w:rPr>
      <w:t>规章</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7DCDD7"/>
    <w:multiLevelType w:val="singleLevel"/>
    <w:tmpl w:val="547DCDD7"/>
    <w:lvl w:ilvl="0">
      <w:start w:val="6"/>
      <w:numFmt w:val="chineseCounting"/>
      <w:suff w:val="space"/>
      <w:lvlText w:val="第%1章"/>
      <w:lvlJc w:val="left"/>
      <w:rPr>
        <w:rFonts w:hint="eastAsia"/>
      </w:rPr>
    </w:lvl>
  </w:abstractNum>
  <w:abstractNum w:abstractNumId="1" w15:restartNumberingAfterBreak="0">
    <w:nsid w:val="6224F22D"/>
    <w:multiLevelType w:val="singleLevel"/>
    <w:tmpl w:val="6224F22D"/>
    <w:lvl w:ilvl="0">
      <w:start w:val="1"/>
      <w:numFmt w:val="chineseCounting"/>
      <w:suff w:val="space"/>
      <w:lvlText w:val="第%1章"/>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DDCD6867"/>
    <w:rsid w:val="000154A8"/>
    <w:rsid w:val="00172A27"/>
    <w:rsid w:val="00577BCF"/>
    <w:rsid w:val="00E863CA"/>
    <w:rsid w:val="019E71BD"/>
    <w:rsid w:val="04B679C3"/>
    <w:rsid w:val="080F63D8"/>
    <w:rsid w:val="09341458"/>
    <w:rsid w:val="0B0912D7"/>
    <w:rsid w:val="0DAC4711"/>
    <w:rsid w:val="152D2DCA"/>
    <w:rsid w:val="1DEC284C"/>
    <w:rsid w:val="1E6523AC"/>
    <w:rsid w:val="22440422"/>
    <w:rsid w:val="31A15F24"/>
    <w:rsid w:val="395347B5"/>
    <w:rsid w:val="39A232A0"/>
    <w:rsid w:val="39E745AA"/>
    <w:rsid w:val="3B5A6BBB"/>
    <w:rsid w:val="3EDA13A6"/>
    <w:rsid w:val="42F058B7"/>
    <w:rsid w:val="436109F6"/>
    <w:rsid w:val="441A38D4"/>
    <w:rsid w:val="4BC77339"/>
    <w:rsid w:val="4C9236C5"/>
    <w:rsid w:val="505C172E"/>
    <w:rsid w:val="52F46F0B"/>
    <w:rsid w:val="53D8014D"/>
    <w:rsid w:val="55E064E0"/>
    <w:rsid w:val="572C6D10"/>
    <w:rsid w:val="58C14A7E"/>
    <w:rsid w:val="5DC34279"/>
    <w:rsid w:val="5FCC6EDA"/>
    <w:rsid w:val="608816D1"/>
    <w:rsid w:val="60EF4E7F"/>
    <w:rsid w:val="63F337A0"/>
    <w:rsid w:val="665233C1"/>
    <w:rsid w:val="6AA521D3"/>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2271F3E"/>
  <w15:docId w15:val="{BC8F6F0B-FE6D-4DA1-B020-BFE68FD92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522</Words>
  <Characters>2978</Characters>
  <Application>Microsoft Office Word</Application>
  <DocSecurity>0</DocSecurity>
  <Lines>24</Lines>
  <Paragraphs>6</Paragraphs>
  <ScaleCrop>false</ScaleCrop>
  <Company/>
  <LinksUpToDate>false</LinksUpToDate>
  <CharactersWithSpaces>3494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SS SS</cp:lastModifiedBy>
  <cp:revision>2</cp:revision>
  <cp:lastPrinted>2021-10-26T11:30:00Z</cp:lastPrinted>
  <dcterms:created xsi:type="dcterms:W3CDTF">2021-12-16T06:42:00Z</dcterms:created>
  <dcterms:modified xsi:type="dcterms:W3CDTF">2021-12-16T06:42:00Z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2052-10.8.2.7090</vt:lpwstr>
  </property>
  <property fmtid="{D5CDD505-2E9C-101B-9397-08002B2CF9AE}" pid="3" name="ICV">
    <vt:lpwstr>48C61CB29D3F4D9384F5922CF0F7FFB4</vt:lpwstr>
  </property>
</Properties>
</file>