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0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5"/>
        <w:gridCol w:w="1206"/>
        <w:gridCol w:w="4336"/>
        <w:gridCol w:w="27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9069" w:type="dxa"/>
            <w:gridSpan w:val="4"/>
            <w:tcBorders>
              <w:top w:val="nil"/>
              <w:left w:val="nil"/>
              <w:bottom w:val="nil"/>
              <w:right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32"/>
                <w:szCs w:val="32"/>
                <w:highlight w:val="none"/>
                <w:u w:val="none"/>
                <w:lang w:val="en-US" w:eastAsia="zh-CN" w:bidi="ar"/>
              </w:rPr>
            </w:pPr>
            <w:r>
              <w:rPr>
                <w:rFonts w:hint="default" w:ascii="Times New Roman" w:hAnsi="Times New Roman" w:eastAsia="宋体" w:cs="Times New Roman"/>
                <w:b w:val="0"/>
                <w:bCs/>
                <w:i w:val="0"/>
                <w:color w:val="000000"/>
                <w:kern w:val="0"/>
                <w:sz w:val="32"/>
                <w:szCs w:val="32"/>
                <w:highlight w:val="none"/>
                <w:u w:val="none"/>
                <w:lang w:val="en-US" w:eastAsia="zh-CN" w:bidi="ar"/>
              </w:rPr>
              <w:t>个人养老金基金名录</w:t>
            </w:r>
          </w:p>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8"/>
                <w:szCs w:val="28"/>
                <w:highlight w:val="none"/>
                <w:u w:val="none"/>
                <w:lang w:val="en-US" w:eastAsia="zh-CN" w:bidi="ar"/>
              </w:rPr>
              <w:t>（截至202</w:t>
            </w:r>
            <w:r>
              <w:rPr>
                <w:rFonts w:hint="default" w:ascii="Times New Roman" w:hAnsi="Times New Roman" w:cs="Times New Roman"/>
                <w:b w:val="0"/>
                <w:bCs/>
                <w:i w:val="0"/>
                <w:color w:val="000000"/>
                <w:kern w:val="0"/>
                <w:sz w:val="28"/>
                <w:szCs w:val="28"/>
                <w:highlight w:val="none"/>
                <w:u w:val="none"/>
                <w:lang w:val="en-US" w:eastAsia="zh-CN" w:bidi="ar"/>
              </w:rPr>
              <w:t>6</w:t>
            </w:r>
            <w:r>
              <w:rPr>
                <w:rFonts w:hint="default" w:ascii="Times New Roman" w:hAnsi="Times New Roman" w:eastAsia="宋体" w:cs="Times New Roman"/>
                <w:b w:val="0"/>
                <w:bCs/>
                <w:i w:val="0"/>
                <w:color w:val="000000"/>
                <w:kern w:val="0"/>
                <w:sz w:val="28"/>
                <w:szCs w:val="28"/>
                <w:highlight w:val="none"/>
                <w:u w:val="none"/>
                <w:lang w:val="en-US" w:eastAsia="zh-CN" w:bidi="ar"/>
              </w:rPr>
              <w:t>年</w:t>
            </w:r>
            <w:r>
              <w:rPr>
                <w:rFonts w:hint="eastAsia" w:ascii="Times New Roman" w:hAnsi="Times New Roman" w:cs="Times New Roman"/>
                <w:b w:val="0"/>
                <w:bCs/>
                <w:i w:val="0"/>
                <w:color w:val="000000"/>
                <w:kern w:val="0"/>
                <w:sz w:val="28"/>
                <w:szCs w:val="28"/>
                <w:highlight w:val="none"/>
                <w:u w:val="none"/>
                <w:lang w:val="en-US" w:eastAsia="zh-CN" w:bidi="ar"/>
              </w:rPr>
              <w:t>9</w:t>
            </w:r>
            <w:r>
              <w:rPr>
                <w:rFonts w:hint="default" w:ascii="Times New Roman" w:hAnsi="Times New Roman" w:eastAsia="宋体" w:cs="Times New Roman"/>
                <w:b w:val="0"/>
                <w:bCs/>
                <w:i w:val="0"/>
                <w:color w:val="000000"/>
                <w:kern w:val="0"/>
                <w:sz w:val="28"/>
                <w:szCs w:val="28"/>
                <w:highlight w:val="none"/>
                <w:u w:val="none"/>
                <w:lang w:val="en-US" w:eastAsia="zh-CN" w:bidi="ar"/>
              </w:rPr>
              <w:t>月</w:t>
            </w:r>
            <w:r>
              <w:rPr>
                <w:rFonts w:hint="default" w:ascii="Times New Roman" w:hAnsi="Times New Roman" w:cs="Times New Roman"/>
                <w:b w:val="0"/>
                <w:bCs/>
                <w:i w:val="0"/>
                <w:color w:val="000000"/>
                <w:kern w:val="0"/>
                <w:sz w:val="28"/>
                <w:szCs w:val="28"/>
                <w:highlight w:val="none"/>
                <w:u w:val="none"/>
                <w:lang w:val="en-US" w:eastAsia="zh-CN" w:bidi="ar"/>
              </w:rPr>
              <w:t>30</w:t>
            </w:r>
            <w:r>
              <w:rPr>
                <w:rFonts w:hint="default" w:ascii="Times New Roman" w:hAnsi="Times New Roman" w:eastAsia="宋体" w:cs="Times New Roman"/>
                <w:b w:val="0"/>
                <w:bCs/>
                <w:i w:val="0"/>
                <w:color w:val="000000"/>
                <w:kern w:val="0"/>
                <w:sz w:val="28"/>
                <w:szCs w:val="28"/>
                <w:highlight w:val="none"/>
                <w:u w:val="none"/>
                <w:lang w:val="en-US" w:eastAsia="zh-CN" w:bidi="ar"/>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序号</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基金代码</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基金名称（全称）</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基金管理人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017302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国泰民安养老目标日期2040三年持有期混合型基金中基金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国泰基金管理有限公司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017242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南方养老目标日期2045三年持有期混合型发起式基金中基金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017377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南方养老目标日期2040三年持有期混合型发起式基金中基金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017376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南方养老目标日期2035三年持有期混合型基金中基金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017375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南方养老目标日期2030三年持有期混合型发起式基金中基金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017236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南方富元稳健养老目标一年持有期混合型基金中基金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017374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南方富誉稳健养老目标一年持有期混合型基金中基金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017364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南方富祥稳健养老目标一年持有期混合型基金中基金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南方富瑞稳健养老目标一年持有期混合型基金中基金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017362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华夏养老目标日期2050五年持有期混合型发起式基金中基金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017248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Style w:val="6"/>
                <w:rFonts w:hint="default" w:ascii="Times New Roman" w:hAnsi="Times New Roman" w:eastAsia="宋体" w:cs="Times New Roman"/>
                <w:b w:val="0"/>
                <w:bCs/>
                <w:sz w:val="24"/>
                <w:szCs w:val="24"/>
                <w:highlight w:val="none"/>
                <w:lang w:val="en-US" w:eastAsia="zh-CN" w:bidi="ar"/>
              </w:rPr>
              <w:t>华夏养老目标日期</w:t>
            </w:r>
            <w:r>
              <w:rPr>
                <w:rFonts w:hint="default" w:ascii="Times New Roman" w:hAnsi="Times New Roman" w:eastAsia="宋体" w:cs="Times New Roman"/>
                <w:b w:val="0"/>
                <w:bCs/>
                <w:i w:val="0"/>
                <w:color w:val="000000"/>
                <w:kern w:val="0"/>
                <w:sz w:val="24"/>
                <w:szCs w:val="24"/>
                <w:highlight w:val="none"/>
                <w:u w:val="none"/>
                <w:lang w:val="en-US" w:eastAsia="zh-CN" w:bidi="ar"/>
              </w:rPr>
              <w:t>2045三年持有期混合型基金中基金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017247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Style w:val="6"/>
                <w:rFonts w:hint="default" w:ascii="Times New Roman" w:hAnsi="Times New Roman" w:eastAsia="宋体" w:cs="Times New Roman"/>
                <w:b w:val="0"/>
                <w:bCs/>
                <w:sz w:val="24"/>
                <w:szCs w:val="24"/>
                <w:highlight w:val="none"/>
                <w:lang w:val="en-US" w:eastAsia="zh-CN" w:bidi="ar"/>
              </w:rPr>
              <w:t>华夏养老目标日期</w:t>
            </w:r>
            <w:r>
              <w:rPr>
                <w:rFonts w:hint="default" w:ascii="Times New Roman" w:hAnsi="Times New Roman" w:eastAsia="宋体" w:cs="Times New Roman"/>
                <w:b w:val="0"/>
                <w:bCs/>
                <w:i w:val="0"/>
                <w:color w:val="000000"/>
                <w:kern w:val="0"/>
                <w:sz w:val="24"/>
                <w:szCs w:val="24"/>
                <w:highlight w:val="none"/>
                <w:u w:val="none"/>
                <w:lang w:val="en-US" w:eastAsia="zh-CN" w:bidi="ar"/>
              </w:rPr>
              <w:t>2040三年持有期混合型基金中基金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017360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华夏养老目标日期2035三年持有期混合型发起式基金中基金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017363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017365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华夏福源养老目标日期2045三年持有期混合型发起式基金中基金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华夏保守养老目标一年持有期混合型发起式基金中基金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华夏安盈稳健养老目标一年持有期混合型基金中基金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华夏安康稳健养老目标一年持有期混合型发起式基金中基金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华安优享稳健养老目标一年持有期混合型发起式基金中基金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华安养老目标日期2040三年持有期混合型发起式基金中基金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华安养老目标日期2030三年持有期混合型发起式基金中基金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华安平衡养老目标三年持有期混合型发起式基金中基金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华安民享稳健养老目标一年持有期混合型发起式基金中基金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017326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博时颐泽稳健养老目标一年持有期混合型基金中基金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博时基金管理有限公司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博时颐泽平衡养老目标三年持有期混合型发起式基金中基金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博时基金管理有限公司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017239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鹏华长治稳健养老目标一年持有期混合型基金中基金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鹏华基金管理有限公司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lang w:val="en-US"/>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017381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鹏华养老目标日期2045三年持有期混合型发起式基金中基金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鹏华基金管理有限公司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017380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鹏华养老目标日期2035三年持有期混合型基金中基金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鹏华基金管理有限公司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017338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嘉实悦康稳健养老目标一年持有期混合型基金中基金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017249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嘉实养老目标日期2050五年持有期混合型发起式基金中基金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017296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嘉实养老目标日期2040五年持有期混合型发起式基金中基金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嘉实养老目标日期2030三年持有期混合型基金中基金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017327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嘉实民安添岁稳健养老目标一年持有期混合型基金中基金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017397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嘉实福康稳健养老目标一年持有期混合型基金中基金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017319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嘉实安康稳健养老目标一年持有期混合型基金中基金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017282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大成养老目标日期2040三年持有期混合型基金中基金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大成基金管理有限公司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017260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Style w:val="6"/>
                <w:rFonts w:hint="default" w:ascii="Times New Roman" w:hAnsi="Times New Roman" w:eastAsia="宋体" w:cs="Times New Roman"/>
                <w:b w:val="0"/>
                <w:bCs/>
                <w:sz w:val="24"/>
                <w:szCs w:val="24"/>
                <w:highlight w:val="none"/>
                <w:lang w:val="en-US" w:eastAsia="zh-CN" w:bidi="ar"/>
              </w:rPr>
              <w:t>富国鑫旺稳健养老目标一年持有期混合型基金中基金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017263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Style w:val="6"/>
                <w:rFonts w:hint="default" w:ascii="Times New Roman" w:hAnsi="Times New Roman" w:eastAsia="宋体" w:cs="Times New Roman"/>
                <w:b w:val="0"/>
                <w:bCs/>
                <w:sz w:val="24"/>
                <w:szCs w:val="24"/>
                <w:highlight w:val="none"/>
                <w:lang w:val="en-US" w:eastAsia="zh-CN" w:bidi="ar"/>
              </w:rPr>
              <w:t>富国鑫旺均衡养老目标三年持有期混合型发起式基金中基金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017294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富国鑫汇养老目标日期2025一年持有期混合型基金中基金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易方达汇智稳健养老目标一年持有期混合型基金中基金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易方达汇智平衡养老目标三年持有期混合型基金中基金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017339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易方达汇欣平衡养老目标三年持有期混合型基金中基金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017331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易方达汇康稳健养老目标一年持有期混合型基金中基金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易方达汇诚养老目标日期2043三年持有期混合型基金中基金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017316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易方达汇诚养老目标日期2038三年持有期混合型发起式基金中基金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017297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易方达汇诚养老目标日期2033三年持有期混合型发起式基金中基金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017369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银华尊颐稳健养老目标一年持有期混合型发起式基金中基金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017212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银华尊尚稳健养老目标一年持有期混合型发起式基金中基金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017370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银华尊和养老目标日期2040三年持有期混合型发起式基金中基金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银华尊和养老目标日期2035三年持有期混合型基金中基金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017335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银华尊和养老目标日期2030三年持有期混合型发起式基金中基金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银华基金管理股份有限公司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017295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长城恒康稳健养老目标一年持有期混合型发起式基金中基金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长城基金管理有限公司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017330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银河颐年稳健养老目标一年持有期混合型基金中基金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银河基金管理有限公司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017287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国投瑞银稳健养老目标一年持有期混合型基金中基金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国投瑞银基金管理有限公司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万家养老目标日期2035三年持有期混合型发起式基金中基金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万家基金管理有限公司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万家稳健养老目标三年持有期混合型基金中基金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万家基金管理有限公司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017241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万家平衡养老目标三年持有期混合型发起式基金中基金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万家基金管理有限公司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017246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万家聚优稳健养老目标一年持有期混合型基金中基金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万家基金管理有限公司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招商和悦稳健养老目标一年持有期混合型基金中基金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招商基金管理有限公司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017395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招商和悦均衡养老目标三年持有期混合型发起式基金中基金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招商基金管理有限公司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招商和惠养老目标日期2040三年持有期混合型基金中基金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招商基金管理有限公司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华宝稳健养老目标一年持有期混合型发起式基金中基金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华宝基金管理有限公司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017407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长信颐天平衡养老目标三年持有期混合型基金中基金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长信基金管理有限责任公司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017409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长信颐年平衡养老目标三年持有期混合型基金中基金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长信基金管理有限责任公司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017408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长信颐和平衡养老目标三年持有期混合型基金中基金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长信基金管理有限责任公司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景顺长城稳健养老目标三年持有期混合型发起式基金中基金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017403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广发养老目标日期2050五年持有期混合型发起式基金中基金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017402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广发养老目标日期2040三年持有期混合型发起式基金中基金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017383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广发均衡养老目标三年持有期混合型基金中基金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017378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广发安裕稳健养老目标一年持有期混合型基金中基金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017280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广发安泰稳健养老目标一年持有期混合型发起式基金中基金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017387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兴证全球安悦稳健养老目标一年持有期混合型基金中基金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兴证全球基金管理有限公司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017384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兴全安泰稳健养老目标一年持有期混合型基金中基金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兴证全球基金管理有限公司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017386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兴全安泰积极养老目标五年持有期混合型发起式基金中基金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兴证全球基金管理有限公司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017385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申万菱信稳健养老目标一年持有期混合型发起式基金中基金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申万菱信基金管理有限公司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摩根锦程稳健养老目标一年持有期混合型基金中基金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摩根基金管理</w:t>
            </w:r>
            <w:r>
              <w:rPr>
                <w:rFonts w:hint="default" w:ascii="Times New Roman" w:hAnsi="Times New Roman" w:cs="Times New Roman"/>
                <w:b w:val="0"/>
                <w:bCs/>
                <w:i w:val="0"/>
                <w:color w:val="000000"/>
                <w:kern w:val="0"/>
                <w:sz w:val="24"/>
                <w:szCs w:val="24"/>
                <w:highlight w:val="none"/>
                <w:u w:val="none"/>
                <w:lang w:val="en-US" w:eastAsia="zh-CN" w:bidi="ar"/>
              </w:rPr>
              <w:t>（中国）</w:t>
            </w:r>
            <w:r>
              <w:rPr>
                <w:rFonts w:hint="default" w:ascii="Times New Roman" w:hAnsi="Times New Roman" w:eastAsia="宋体" w:cs="Times New Roman"/>
                <w:b w:val="0"/>
                <w:bCs/>
                <w:i w:val="0"/>
                <w:color w:val="000000"/>
                <w:kern w:val="0"/>
                <w:sz w:val="24"/>
                <w:szCs w:val="24"/>
                <w:highlight w:val="none"/>
                <w:u w:val="none"/>
                <w:lang w:val="en-US" w:eastAsia="zh-CN" w:bidi="ar"/>
              </w:rPr>
              <w:t>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摩根锦程均衡养老目标三年持有期混合型基金中基金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摩根基金管理</w:t>
            </w:r>
            <w:r>
              <w:rPr>
                <w:rFonts w:hint="default" w:ascii="Times New Roman" w:hAnsi="Times New Roman" w:cs="Times New Roman"/>
                <w:b w:val="0"/>
                <w:bCs/>
                <w:i w:val="0"/>
                <w:color w:val="000000"/>
                <w:kern w:val="0"/>
                <w:sz w:val="24"/>
                <w:szCs w:val="24"/>
                <w:highlight w:val="none"/>
                <w:u w:val="none"/>
                <w:lang w:val="en-US" w:eastAsia="zh-CN" w:bidi="ar"/>
              </w:rPr>
              <w:t>（中国）</w:t>
            </w:r>
            <w:r>
              <w:rPr>
                <w:rFonts w:hint="default" w:ascii="Times New Roman" w:hAnsi="Times New Roman" w:eastAsia="宋体" w:cs="Times New Roman"/>
                <w:b w:val="0"/>
                <w:bCs/>
                <w:i w:val="0"/>
                <w:color w:val="000000"/>
                <w:kern w:val="0"/>
                <w:sz w:val="24"/>
                <w:szCs w:val="24"/>
                <w:highlight w:val="none"/>
                <w:u w:val="none"/>
                <w:lang w:val="en-US" w:eastAsia="zh-CN" w:bidi="ar"/>
              </w:rPr>
              <w:t>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017406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中银添禧丰禄稳健养老目标一年持有期混合型基金中基金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中银安康稳健养老目标一年持有期混合型基金中基金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017240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中银安康平衡养老目标三年持有期混合型发起式基金中基金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017382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富兰克林国海平衡养老目标三年持有期混合型发起式基金中基金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国海富兰克林基金管理有限公司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天弘永裕稳健养老目标一年持有期混合型基金中基金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天弘永裕平衡养老目标三年持有期混合型发起式基金中基金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017237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天弘永丰稳健养老目标一年持有期混合型基金中基金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017268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天弘养老目标日期2035三年持有期混合型发起式基金中基金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汇添富养老目标日期2050五年持有期混合型发起式基金中基金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017361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汇添富养老目标日期2040五年持有期混合型基金中基金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汇添富养老目标日期2030三年持有期混合型基金中基金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017372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汇添富添福增长稳健养老目标一年持有期混合型基金中基金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017368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汇添富添福盈和稳健养老目标一年持有期混合型基金中基金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017367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汇添富添福睿选稳健养老目标一年持有期混合型基金中基金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017373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汇添富添福睿享稳健养老目标一年持有期混合型基金中基金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017371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汇添富添福汇盈稳健养老目标一年持有期混合型基金中基金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工银瑞信养老目标日期2050五年持有期混合型发起式基金中基金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工银瑞信养老目标日期2045三年持有期混合型发起式基金中基金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017351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工银瑞信养老目标日期2040三年持有期混合型发起式基金中基金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工银瑞信养老目标日期2035三年持有期混合型基金中基金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017229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交银施罗德养老目标日期2035三年持有期混合型基金中基金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交银施罗德基金管理有限公司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017235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交银施罗德安享稳健养老目标一年持有期混合型基金中基金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交银施罗德基金管理有限公司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建信优享稳健养老目标一年持有期混合型基金中基金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建信基金管理有限责任公司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017258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建信普泽养老目标日期2040三年持有期混合型发起式基金中基金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建信基金管理有限责任公司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017281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华商嘉悦稳健养老目标一年持有期混合型发起式基金中基金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华商嘉悦平衡养老目标三年持有期混合型发起式基金中基金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017346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华商嘉逸养老目标日期2040三年持有期混合型发起式基金中基金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华商基金管理有限公司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017317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中欧预见养老目标日期2050五年持有期混合型发起式基金中基金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中欧基金管理有限公司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017277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中欧预见养老目标日期2035三年持有期混合型基金中基金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中欧基金管理有限公司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017318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中欧预见养老目标日期2025一年持有期混合型基金中基金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中欧基金管理有限公司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017243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中欧预见稳健养老目标一年持有期混合型基金中基金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中欧基金管理有限公司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017321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浦银安盛颐享稳健养老目标一年持有期混合型基金中基金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浦银安盛基金管理有限公司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017320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浦银安盛颐和稳健养老目标一年持有期混合型基金中基金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浦银安盛基金管理有限公司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017411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农银养老目标日期2045五年持有期混合型发起式基金中基金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农银汇理基金管理有限公司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017410</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农银养老目标日期2035三年持有期混合型发起式基金中基金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农银汇理基金管理有限公司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017399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民生加银康泰养老目标日期2040三年持有期混合型基金中基金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民生加银基金管理有限公司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017283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民生加银康宁稳健养老目标一年持有期混合型基金中基金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民生加银基金管理有限公司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017398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民生加银康宁平衡养老目标三年持有期混合型基金中基金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民生加银基金管理有限公司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017334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平安养老目标日期2035三年持有期混合型基金中基金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平安基金管理有限公司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017333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平安养老目标日期2030一年持有期混合型基金中基金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平安基金管理有限公司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017337</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平安养老目标日期2025一年持有期混合型发起式基金中基金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平安基金管理有限公司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017336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平安稳健养老目标一年持有期混合型基金中基金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平安基金管理有限公司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017322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中加安瑞稳健养老目标一年持有期混合型基金中基金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中加基金管理有限公司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017405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兴业养老目标日期2035三年持有期混合型发起式基金中基金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兴业基金管理有限公司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017388</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上银恒泰稳健养老目标一年持有期混合型发起式基金中基金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上银基金管理有限公司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017393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泰康福泽积极养老目标五年持有期混合型发起式基金中基金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泰康基金管理有限公司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017392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泰康福泰平衡养老目标三年持有期混合型基金中基金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泰康基金管理有限公司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017391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泰康福安稳健养老目标一年持有期混合型基金中基金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sz w:val="24"/>
                <w:szCs w:val="24"/>
                <w:highlight w:val="none"/>
                <w:u w:val="none"/>
              </w:rPr>
            </w:pPr>
            <w:r>
              <w:rPr>
                <w:rFonts w:hint="default" w:ascii="Times New Roman" w:hAnsi="Times New Roman" w:eastAsia="宋体" w:cs="Times New Roman"/>
                <w:b w:val="0"/>
                <w:bCs/>
                <w:i w:val="0"/>
                <w:color w:val="000000"/>
                <w:kern w:val="0"/>
                <w:sz w:val="24"/>
                <w:szCs w:val="24"/>
                <w:highlight w:val="none"/>
                <w:u w:val="none"/>
                <w:lang w:val="en-US" w:eastAsia="zh-CN" w:bidi="ar"/>
              </w:rPr>
              <w:t>泰康基金管理有限公司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017673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东方红颐和稳健养老目标两年持有期混合型基金中基金（FOF）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上海东方证券资产管理有限公司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017674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东方红颐和平衡养老目标三年持有期混合型基金中基金（FOF）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上海东方证券资产管理有限公司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017675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东方红颐和积极养老目标五年持有期混合型基金中基金（FOF）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上海东方证券资产管理有限公司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017672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兴全安泰平衡养老目标三年持有期混合型基金中基金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兴证全球基金管理有限公司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017909</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国寿安保稳健养老目标一年持有期混合型发起式基金中基金（FOF）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国寿安保基金管理有限公司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017901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国寿安保养老目标日期2030三年持有期混合型发起式基金中基金（FOF）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国寿安保基金管理有限公司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017905</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国泰君安善吾养老目标日期</w:t>
            </w:r>
            <w:r>
              <w:rPr>
                <w:rFonts w:hint="default" w:ascii="Times New Roman" w:hAnsi="Times New Roman" w:eastAsia="宋体" w:cs="Times New Roman"/>
                <w:b w:val="0"/>
                <w:bCs/>
                <w:i w:val="0"/>
                <w:color w:val="191919"/>
                <w:kern w:val="0"/>
                <w:sz w:val="24"/>
                <w:szCs w:val="24"/>
                <w:highlight w:val="none"/>
                <w:u w:val="none"/>
                <w:lang w:val="en-US" w:eastAsia="zh-CN" w:bidi="ar"/>
              </w:rPr>
              <w:t>2045五年持有期混合型发起式基金中基金</w:t>
            </w:r>
            <w:r>
              <w:rPr>
                <w:rFonts w:hint="default" w:ascii="Times New Roman" w:hAnsi="Times New Roman" w:cs="Times New Roman"/>
                <w:b w:val="0"/>
                <w:bCs/>
                <w:i w:val="0"/>
                <w:color w:val="191919"/>
                <w:kern w:val="0"/>
                <w:sz w:val="24"/>
                <w:szCs w:val="24"/>
                <w:highlight w:val="none"/>
                <w:u w:val="none"/>
                <w:lang w:val="en-US" w:eastAsia="zh-CN" w:bidi="ar"/>
              </w:rPr>
              <w:t>（</w:t>
            </w:r>
            <w:r>
              <w:rPr>
                <w:rFonts w:hint="default" w:ascii="Times New Roman" w:hAnsi="Times New Roman" w:eastAsia="宋体" w:cs="Times New Roman"/>
                <w:b w:val="0"/>
                <w:bCs/>
                <w:i w:val="0"/>
                <w:color w:val="191919"/>
                <w:kern w:val="0"/>
                <w:sz w:val="24"/>
                <w:szCs w:val="24"/>
                <w:highlight w:val="none"/>
                <w:u w:val="none"/>
                <w:lang w:val="en-US" w:eastAsia="zh-CN" w:bidi="ar"/>
              </w:rPr>
              <w:t>FOF</w:t>
            </w:r>
            <w:r>
              <w:rPr>
                <w:rFonts w:hint="default" w:ascii="Times New Roman" w:hAnsi="Times New Roman" w:cs="Times New Roman"/>
                <w:b w:val="0"/>
                <w:bCs/>
                <w:i w:val="0"/>
                <w:color w:val="191919"/>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上海国泰海通证券资产管理有限公司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017906</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国泰君安善元稳健养老目标一年持有期混合型发起式基金中基金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上海国泰海通证券资产管理有限公司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017942</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银华尊和养老目标日期2045三年持有期混合型发起式基金中基金（FOF）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银华基金管理股份有限公司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018151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银华尊禧稳健养老目标一年持有期混合型发起式基金中基金（FOF）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银华基金管理股份有限公司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018161</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宏利泰和平衡养老目标三年持有期混合型基金中基金（FOF）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宏利基金管理有限公司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 xml:space="preserve">018162 </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宏利泰和稳健养老目标一年持有期混合型基金中基金（FOF）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宏利基金管理有限公司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018163</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宏利悠然养老目标日期2025一年持有期混合型基金中基金（FOF）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宏利基金管理有限公司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018164</w:t>
            </w:r>
          </w:p>
        </w:tc>
        <w:tc>
          <w:tcPr>
            <w:tcW w:w="433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宏利悠享养老目标日期2030一年持有期混合型基金中基金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宏利基金管理有限公司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018263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海富通稳健养老目标一年持有期混合型发起式基金中基金（FOF）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海富通基金管理有限公司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018264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海富通平衡养老目标三年持有期混合型发起式基金中基金（FOF）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海富通基金管理有限公司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018321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兴证全球安悦平衡养老目标三年持有期混合型基金中基金（FOF）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兴证全球基金管理有限公司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018353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国泰民泽平衡养老目标三年持有期混合型发起式基金中基金（FOF）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国泰基金管理有限公司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018354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广发养老目标日期2035三年持有期混合型发起式基金中基金（FOF）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018361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安信禧悦稳健养老目标一年持有期混合型基金中基金（FOF）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安信基金管理有限责任公司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018696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建信优享平衡养老目标三年持有期混合型发起式基金中基金（FOF）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建信基金管理有限责任公司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018700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海富通养老目标日期2035三年持有期混合型发起式基金中基金（FOF）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海富通基金管理有限公司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018689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永赢恒欣稳健养老目标三年持有期混合型基金中基金（FOF）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永赢基金管理有限公司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018720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国联添安稳健养老目标一年持有期混合型基金中基金（FOF）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cs="Times New Roman"/>
                <w:b w:val="0"/>
                <w:bCs/>
                <w:i w:val="0"/>
                <w:color w:val="000000"/>
                <w:kern w:val="0"/>
                <w:sz w:val="24"/>
                <w:szCs w:val="24"/>
                <w:highlight w:val="none"/>
                <w:u w:val="none"/>
                <w:lang w:val="en-US" w:eastAsia="zh-CN" w:bidi="ar"/>
              </w:rPr>
              <w:t>国联</w:t>
            </w:r>
            <w:r>
              <w:rPr>
                <w:rFonts w:hint="default" w:ascii="Times New Roman" w:hAnsi="Times New Roman" w:eastAsia="宋体" w:cs="Times New Roman"/>
                <w:b w:val="0"/>
                <w:bCs/>
                <w:i w:val="0"/>
                <w:color w:val="000000"/>
                <w:kern w:val="0"/>
                <w:sz w:val="24"/>
                <w:szCs w:val="24"/>
                <w:highlight w:val="none"/>
                <w:u w:val="none"/>
                <w:lang w:val="en-US" w:eastAsia="zh-CN" w:bidi="ar"/>
              </w:rPr>
              <w:t>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019012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富国鑫汇养老目标日期2045五年持有期混合型发起式基金中基金（FOF）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019496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招商和享均衡养老目标三年持有期混合型基金中基金（FOF）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招商基金管理有限公司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019462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工银瑞信安悦稳健养老目标三年持有期混合型基金中基金（FOF）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019456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富兰克林国海稳健养老目标一年持有期混合型基金中基金（FOF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国海富兰克林基金管理有限公司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019652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景顺长城隽丰平衡养老目标三年持有期混合型发起式基金中基金（FOF）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019745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广发安诚养老目标日期2040三年持有期混合型发起式基金中基金（FOF）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019746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广发积极养老目标五年持有期混合型发起式基金中基金（FOF）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019816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英大延福养老目标日期2040三年持有期混合型发起式基金中基金（FOF）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英大基金管理有限公司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019811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华夏养老目标日期2055五年持有期混合型发起式基金中基金（FOF）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019833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华夏福泽养老目标日期2035三年持有期混合型发起式基金中基金（FOF）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019900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中欧预见积极养老目标五年持有期混合型发起式基金中基金（FOF）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中欧基金管理有限公司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019904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东方红颐安稳健养老目标一年持有期混合型基金中基金（FOF）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上海东方证券资产管理有限公司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019965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易方达养老目标日期2050五年持有期混合型基金中基金（FOF）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019966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易方达汇裕积极养老目标五年持有期混合型基金中基金（FOF）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020188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建信优享进取养老目标五年持有期混合型发起式基金中基金（FOF）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建信基金管理有限责任公司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020189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建信添福悠享稳健养老目标一年持有期债券型基金中基金（FOF）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建信基金管理有限责任公司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020275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浦银安盛颐璇平衡养老目标三年持有期混合型基金中基金（FOF）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浦银安盛基金管理有限公司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020249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020316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工银瑞信养老目标日期2055五年持有期混合型发起式基金中基金（FOF）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020340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华泰柏瑞祥泰稳健养老目标一年持有期混合型基金中基金（FOF）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019779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信澳颐宁养老目标一年持有期混合型基金中基金（FOF）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信达澳亚基金管理有限公司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020795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易方达养老目标日期2055五年持有期混合型基金中基金（FOF）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numPr>
                <w:ilvl w:val="0"/>
                <w:numId w:val="1"/>
              </w:numPr>
              <w:suppressLineNumbers w:val="0"/>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020757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南方养老目标日期2060五年持有期混合型发起式基金中基金（FOF）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020756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南方养老目标日期2055五年持有期混合型发起式基金中基金（FOF）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021048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景顺长城养老目标日期2035三年持有期混合型发起式基金中基金（FOF）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020778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太平福安稳健养老目标一年持有期混合型基金中基金（FOF）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太平基金管理有限公司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021496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广发养老目标日期2045三年持有期混合型发起式基金中基金（FOF）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021495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华夏养老目标日期2060五年持有期混合型发起式基金中基金（FOF）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021498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易方达汇悦平衡养老目标三年持有期混合型基金中基金（FOF）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021504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易方达养老目标日期2045五年持有期混合型基金中基金（FOF）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021600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富国鑫汇养老目标日期2035三年持有期混合型发起式基金中基金（FOF）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021598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建信普泽养老目标日期2050五年持有期混合型发起式基金中基金（FOF）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建信基金管理有限责任公司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021612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国投瑞银平衡养老目标三年持有期混合型发起式基金中基金（FOF）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国投瑞银基金管理有限公司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021437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鑫元鑫选稳健养老目标一年持有期混合型基金中基金（FOF）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鑫元基金管理有限公司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021898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易方达汇享稳健养老目标一年持有期混合型基金中基金（FOF）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021956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平安养老目标日期2040三年持有期混合型发起式基金中基金（FOF）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平安基金管理有限公司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022046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广发养老目标日期2060五年持有期混合型发起式基金中基金（FOF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022272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景顺长城保守养老目标一年持有期混合型基金中基金（FOF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022278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富国鑫旺积极养老目标五年持有期混合型发起式基金中基金（FOF）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南方创业板交易型开放式指数证券投资基金联接基金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南方中证500交易型开放式指数证券投资基金联接基金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LOF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南方沪深300交易型开放式指数证券投资基金联接基金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国泰沪深300指数证券投资基金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国泰基金管理有限公司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华夏中证科创创业50交易型开放式指数证券投资基金发起式联接基金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华夏中证500指数智选增强型证券投资基金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华夏上证科创板50成份交易型开放式指数证券投资基金发起式联接基金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华夏沪深300指数增强型证券投资基金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华夏中证500指数增强型证券投资基金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华夏中证500交易型开放式指数证券投资基金联接基金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华夏上证50交易型开放式指数证券投资基金联接基金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022979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022983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华夏沪深300交易型开放式指数证券投资基金联接基金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华安创业板50指数型证券投资基金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华安中证A500交易型开放式指数证券投资基金发起式联接基金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022976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华安创业板50交易型开放式指数证券投资基金联接基金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博时中证A500交易型开放式指数证券投资基金联接基金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博时基金管理有限公司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博时创业板交易型开放式指数证券投资基金联接基金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博时基金管理有限公司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博时裕富沪深300指数证券投资基金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博时基金管理有限公司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022890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嘉实沪深300交易型开放式指数证券投资基金联接基金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LOF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022897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嘉实沪深300红利低波动交易型开放式指数证券投资基金联接基金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022905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嘉实中证A500交易型开放式指数证券投资基金联接基金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嘉实中证500交易型开放式指数证券投资基金联接基金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嘉实基金管理有限公司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022904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大成中证A500交易型开放式指数证券投资基金发起式联接基金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大成基金管理有限公司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大成中证红利指数证券投资基金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大成基金管理有限公司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022973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大成沪深300指数证券投资基金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大成基金管理有限公司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022902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富国中证A500交易型开放式指数证券投资基金发起式联接基金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022903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富国中证红利指数增强型证券投资基金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022906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富国沪深300增强证券投资基金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富国创业板交易型开放式指数证券投资基金联接基金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富国中证500指数增强型证券投资基金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LOF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022892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易方达中证A50交易型开放式指数证券投资基金发起式联接基金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022895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易方达上证科创板50成份交易型开放式指数证券投资基金联接基金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022907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易方达创业板交易型开放式指数证券投资基金联接基金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易方达中证科创创业50交易型开放式指数证券投资基金联接基金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易方达中证500交易型开放式指数证券投资基金发起式联接基金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易方达沪深300指数精选增强型证券投资基金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易方达深证100交易型开放式指数证券投资基金联接基金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易方达中证红利交易型开放式指数证券投资基金发起式联接基金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易方达沪深300交易型开放式指数发起式证券投资基金联接基金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易方达上证50指数增强型证券投资基金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022908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国投瑞银沪深300指数量化增强型证券投资基金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国投瑞银基金管理有限公司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022909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国投瑞银中证500指数量化增强型证券投资基金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国投瑞银基金管理有限公司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招商中证A500交易型开放式指数证券投资基金发起式联接基金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招商基金管理有限公司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银华中证A500交易型开放式指数证券投资基金发起式联接基金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银华基金管理股份有限公司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万家沪深300指数增强型证券投资基金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万家基金管理有限公司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022967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万家中证A500交易型开放式指数证券投资基金发起式联接基金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万家基金管理有限公司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022926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 xml:space="preserve">华宝中证A100交易型开放式指数证券投资基金联接基金 </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华宝基金管理有限公司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022894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景顺长城基金管理有限公司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022896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广发创业板交易型开放式指数证券投资基金发起式联接基金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022964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广发沪深300交易型开放式指数证券投资基金联接基金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022965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广发中证500交易型开放式指数证券投资基金联接基金（LOF）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022971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申万菱信中证500指数优选增强型证券投资基金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申万菱信基金管理有限公司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022962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兴全沪深300指数增强型证券投资基金（LOF）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兴证全球基金管理有限公司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022963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兴全中证800六个月持有期指数增强型证券投资基金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兴证全球基金管理有限公司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022911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摩根中证A500交易型开放式指数证券投资基金联接基金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摩根基金管理</w:t>
            </w:r>
            <w:r>
              <w:rPr>
                <w:rFonts w:hint="default" w:ascii="Times New Roman" w:hAnsi="Times New Roman" w:cs="Times New Roman"/>
                <w:b w:val="0"/>
                <w:bCs/>
                <w:i w:val="0"/>
                <w:color w:val="000000"/>
                <w:kern w:val="0"/>
                <w:sz w:val="24"/>
                <w:szCs w:val="24"/>
                <w:highlight w:val="none"/>
                <w:u w:val="none"/>
                <w:lang w:val="en-US" w:eastAsia="zh-CN" w:bidi="ar"/>
              </w:rPr>
              <w:t>（中国）</w:t>
            </w:r>
            <w:r>
              <w:rPr>
                <w:rFonts w:hint="default" w:ascii="Times New Roman" w:hAnsi="Times New Roman" w:eastAsia="宋体" w:cs="Times New Roman"/>
                <w:b w:val="0"/>
                <w:bCs/>
                <w:i w:val="0"/>
                <w:color w:val="000000"/>
                <w:kern w:val="0"/>
                <w:sz w:val="24"/>
                <w:szCs w:val="24"/>
                <w:highlight w:val="none"/>
                <w:u w:val="none"/>
                <w:lang w:val="en-US" w:eastAsia="zh-CN" w:bidi="ar"/>
              </w:rPr>
              <w:t>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022900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创金合信中证红利低波动指数发起式证券投资基金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创金合信基金管理有限公司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天弘沪深300指数增强型发起式证券投资基金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天弘沪深300交易型开放式指数证券投资基金联接基金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天弘上证50交易型开放式指数证券投资基金联接基金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022960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天弘创业板交易型开放式指数证券投资基金联接基金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022961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天弘中证500交易型开放式指数证券投资基金联接基金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022966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022980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天弘中证红利低波动100交易型开放式指数证券投资基金联接基金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022981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天弘中证科创创业50交易型开放式指数证券投资基金联接基金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华泰柏瑞沪深300交易型开放式指数证券投资基金联接基金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华泰柏瑞上证科创板50成份交易型开放式指数证券投资基金联接基金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022951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华泰柏瑞中证红利低波动交易型开放式指数证券投资基金联接基金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华泰柏瑞基金管理有限公司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022893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汇添富中证500指数增强型证券投资基金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汇添富沪深300指数增强型证券投资基金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工银瑞信上证科创板50成份交易型开放式指数证券投资基金联接基金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工银瑞信沪深300指数证券投资基金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022975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工银瑞信中证A50交易型开放式指数证券投资基金联接基金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022982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交银施罗德创业板50指数型证券投资基金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交银施罗德基金管理有限公司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泰康中证A500交易型开放式指数证券投资基金联接基金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泰康基金管理有限公司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鹏扬中证科创创业50交易型开放式指数证券投资基金联接基金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鹏扬基金管理有限公司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022946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建信中证500指数增强型证券投资基金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建信基金管理有限责任公司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022898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中欧中证A500指数发起式证券投资基金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中欧基金管理有限公司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022899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中欧沪深300指数发起式证券投资基金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中欧基金管理有限公司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022937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西部利得中证500指数增强型证券投资基金</w:t>
            </w:r>
            <w:r>
              <w:rPr>
                <w:rFonts w:hint="default" w:ascii="Times New Roman" w:hAnsi="Times New Roman" w:cs="Times New Roman"/>
                <w:b w:val="0"/>
                <w:bCs/>
                <w:i w:val="0"/>
                <w:color w:val="000000"/>
                <w:kern w:val="0"/>
                <w:sz w:val="24"/>
                <w:szCs w:val="24"/>
                <w:highlight w:val="none"/>
                <w:u w:val="none"/>
                <w:lang w:val="en-US" w:eastAsia="zh-CN" w:bidi="ar"/>
              </w:rPr>
              <w:t>（</w:t>
            </w:r>
            <w:r>
              <w:rPr>
                <w:rFonts w:hint="default" w:ascii="Times New Roman" w:hAnsi="Times New Roman" w:eastAsia="宋体" w:cs="Times New Roman"/>
                <w:b w:val="0"/>
                <w:bCs/>
                <w:i w:val="0"/>
                <w:color w:val="000000"/>
                <w:kern w:val="0"/>
                <w:sz w:val="24"/>
                <w:szCs w:val="24"/>
                <w:highlight w:val="none"/>
                <w:u w:val="none"/>
                <w:lang w:val="en-US" w:eastAsia="zh-CN" w:bidi="ar"/>
              </w:rPr>
              <w:t>LOF</w:t>
            </w:r>
            <w:r>
              <w:rPr>
                <w:rFonts w:hint="default" w:ascii="Times New Roman" w:hAnsi="Times New Roman" w:cs="Times New Roman"/>
                <w:b w:val="0"/>
                <w:bCs/>
                <w:i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西部利得基金管理有限公司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cs="Times New Roman"/>
                <w:b w:val="0"/>
                <w:bCs/>
                <w:i w:val="0"/>
                <w:color w:val="000000"/>
                <w:kern w:val="0"/>
                <w:sz w:val="24"/>
                <w:szCs w:val="24"/>
                <w:highlight w:val="none"/>
                <w:u w:val="none"/>
                <w:lang w:val="en-US" w:eastAsia="zh-CN" w:bidi="ar"/>
              </w:rPr>
              <w:t>023102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招商和惠养老目标日期2045五年持有期混合型发起式基金中基金</w:t>
            </w:r>
            <w:r>
              <w:rPr>
                <w:rFonts w:hint="default" w:ascii="Times New Roman" w:hAnsi="Times New Roman" w:cs="Times New Roman"/>
                <w:b w:val="0"/>
                <w:bCs/>
                <w:i w:val="0"/>
                <w:color w:val="000000"/>
                <w:kern w:val="0"/>
                <w:sz w:val="24"/>
                <w:szCs w:val="24"/>
                <w:highlight w:val="none"/>
                <w:u w:val="none"/>
                <w:lang w:val="en-US" w:eastAsia="zh-CN" w:bidi="ar"/>
              </w:rPr>
              <w:t>（FOF）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招商基金管理有限公司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cs="Times New Roman"/>
                <w:b w:val="0"/>
                <w:bCs/>
                <w:i w:val="0"/>
                <w:color w:val="000000"/>
                <w:kern w:val="0"/>
                <w:sz w:val="24"/>
                <w:szCs w:val="24"/>
                <w:highlight w:val="none"/>
                <w:u w:val="none"/>
                <w:lang w:val="en-US" w:eastAsia="zh-CN" w:bidi="ar"/>
              </w:rPr>
              <w:t>023150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鹏扬平衡养老目标三年持有期混合型发起式基金中基金（FOF）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鹏扬基金管理有限公司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cs="Times New Roman"/>
                <w:b w:val="0"/>
                <w:bCs/>
                <w:i w:val="0"/>
                <w:color w:val="000000"/>
                <w:kern w:val="0"/>
                <w:sz w:val="24"/>
                <w:szCs w:val="24"/>
                <w:highlight w:val="none"/>
                <w:u w:val="none"/>
                <w:lang w:val="en-US" w:eastAsia="zh-CN" w:bidi="ar"/>
              </w:rPr>
              <w:t>023428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南方养老目标日期2050五年持有期混合型发起式基金中基金（FOF）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cs="Times New Roman"/>
                <w:b w:val="0"/>
                <w:bCs/>
                <w:i w:val="0"/>
                <w:color w:val="000000"/>
                <w:kern w:val="0"/>
                <w:sz w:val="24"/>
                <w:szCs w:val="24"/>
                <w:highlight w:val="none"/>
                <w:u w:val="none"/>
                <w:lang w:val="en-US" w:eastAsia="zh-CN" w:bidi="ar"/>
              </w:rPr>
              <w:t>023717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中泰福瑞稳健养老目标一年持有期混合型发起式基金中基金（FOF）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中泰证券（上海）资产管理有限公司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023459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交银施罗德安悦平衡养老目标三年持有期混合型发起式基金中基金（FOF)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交银施罗德基金管理有限公司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023714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东方养老目标日期2050五年持有期混合型发起式基金中基金（FOF）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东方基金管理股份有限公司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021993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财通资管康恒平衡养老目标三年持有期混合型发起式基金中基金（FOF）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财通证券资产管理有限公司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021994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财通资管康泽稳健养老目标一年持有期混合型基金中基金（FOF）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财通证券资产管理有限公司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023706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华泰紫金稳健养老目标一年持有期混合型发起式基金中基金（FOF)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华泰证券（上海）资产管理有限公司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023712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前海开源康颐平衡养老目标三年持有期混合型发起式基金中基金（FOF）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前海开源基金管理有限公司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024311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工银瑞信养老目标日期2060五年持有期混合型发起式基金中基金（FOF)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024312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易方达汇享保守养老目标一年持有期混合型基金中基金（FOF)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023157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汇丰晋信养老目标日期2036一年持有期混合型基金中基金（FOF）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color w:val="000000"/>
                <w:kern w:val="0"/>
                <w:sz w:val="24"/>
                <w:szCs w:val="24"/>
                <w:highlight w:val="none"/>
                <w:u w:val="none"/>
                <w:lang w:val="en-US" w:eastAsia="zh-CN" w:bidi="ar"/>
              </w:rPr>
              <w:t>汇丰晋信基金管理有限公司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025007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国泰海通中证500指数增强型证券投资基金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上海国泰海通证券资产管理有限公司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025043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天弘中证500指数增强型证券投资基金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025010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招商沪深300指数增强型证券投资基金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招商基金管理有限公司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025038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博道中证500指数增强型证券投资基金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博道基金管理有限公司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025009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华夏创业板交易型开放式指数证券投资基金发起式联接基金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025008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宏利沪深300指数增强型证券投资基金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宏利基金管理有限公司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025072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安信平衡养老目标三年持有期混合型发起式基金中基金（FOF）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安信基金管理有限责任公司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025394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南方康乐养老目标日期2045三年持有期混合型发起式基金中基金（FOF</w:t>
            </w:r>
            <w:r>
              <w:rPr>
                <w:rFonts w:hint="default" w:ascii="Times New Roman" w:hAnsi="Times New Roman" w:cs="Times New Roman"/>
                <w:b w:val="0"/>
                <w:bCs/>
                <w:i w:val="0"/>
                <w:iCs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025882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广发沪深300指数增强型发起式证券投资基金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025883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汇添富上证综合指数证券投资基金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025932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博道沪深300指数增强型证券投资基金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博道基金管理有限公司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025936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中金沪深300指数增强型发起式证券投资基金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019655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农银汇理鑫享稳健养老目标一年持有期混合型基金中基金（FOF）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农银汇理基金管理有限公司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026101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前海开源康悦稳健养老目标一年持有期混合型基金中基金</w:t>
            </w:r>
            <w:r>
              <w:rPr>
                <w:rFonts w:hint="default" w:ascii="Times New Roman" w:hAnsi="Times New Roman" w:cs="Times New Roman"/>
                <w:b w:val="0"/>
                <w:bCs/>
                <w:i w:val="0"/>
                <w:iCs w:val="0"/>
                <w:color w:val="000000"/>
                <w:kern w:val="0"/>
                <w:sz w:val="24"/>
                <w:szCs w:val="24"/>
                <w:highlight w:val="none"/>
                <w:u w:val="none"/>
                <w:lang w:val="en-US" w:eastAsia="zh-CN" w:bidi="ar"/>
              </w:rPr>
              <w:t>（</w:t>
            </w:r>
            <w:r>
              <w:rPr>
                <w:rFonts w:hint="default" w:ascii="Times New Roman" w:hAnsi="Times New Roman" w:eastAsia="宋体" w:cs="Times New Roman"/>
                <w:b w:val="0"/>
                <w:bCs/>
                <w:i w:val="0"/>
                <w:iCs w:val="0"/>
                <w:color w:val="000000"/>
                <w:kern w:val="0"/>
                <w:sz w:val="24"/>
                <w:szCs w:val="24"/>
                <w:highlight w:val="none"/>
                <w:u w:val="none"/>
                <w:lang w:val="en-US" w:eastAsia="zh-CN" w:bidi="ar"/>
              </w:rPr>
              <w:t>FOF</w:t>
            </w:r>
            <w:r>
              <w:rPr>
                <w:rFonts w:hint="default" w:ascii="Times New Roman" w:hAnsi="Times New Roman" w:cs="Times New Roman"/>
                <w:b w:val="0"/>
                <w:bCs/>
                <w:i w:val="0"/>
                <w:iCs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前海开源基金管理有限公司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026275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海富通沪深300指数增强型证券投资基金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海富通基金管理有限公司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026545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中银养老目标日期2050五年持有期混合型发起式基金中基金（FOF</w:t>
            </w:r>
            <w:r>
              <w:rPr>
                <w:rFonts w:hint="default" w:ascii="Times New Roman" w:hAnsi="Times New Roman" w:cs="Times New Roman"/>
                <w:b w:val="0"/>
                <w:bCs/>
                <w:i w:val="0"/>
                <w:iCs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026615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国泰中证A500交易型开放式指数证券投资基金发起式联接基金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国泰基金管理有限公司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026587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光大保德信安选平衡养老目标三年持有期混合型发起式基金中基金FOF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光大保德信基金管理有限公司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027108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国泰民享稳健养老目标一年持有期混合型法发起式基金中基金（</w:t>
            </w:r>
            <w:r>
              <w:rPr>
                <w:rFonts w:hint="default" w:ascii="Times New Roman" w:hAnsi="Times New Roman" w:eastAsia="宋体" w:cs="Times New Roman"/>
                <w:b w:val="0"/>
                <w:bCs/>
                <w:i w:val="0"/>
                <w:iCs w:val="0"/>
                <w:color w:val="000000"/>
                <w:kern w:val="0"/>
                <w:sz w:val="24"/>
                <w:szCs w:val="24"/>
                <w:highlight w:val="none"/>
                <w:u w:val="none"/>
                <w:lang w:val="en-US" w:eastAsia="zh-CN" w:bidi="ar"/>
              </w:rPr>
              <w:t>FOF</w:t>
            </w:r>
            <w:r>
              <w:rPr>
                <w:rFonts w:hint="eastAsia" w:ascii="Times New Roman" w:hAnsi="Times New Roman" w:eastAsia="宋体" w:cs="Times New Roman"/>
                <w:b w:val="0"/>
                <w:bCs/>
                <w:i w:val="0"/>
                <w:iCs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国泰基金管理有限公司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027155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广发上证科创板</w:t>
            </w:r>
            <w:r>
              <w:rPr>
                <w:rFonts w:hint="default" w:ascii="Times New Roman" w:hAnsi="Times New Roman" w:eastAsia="宋体" w:cs="Times New Roman"/>
                <w:b w:val="0"/>
                <w:bCs/>
                <w:i w:val="0"/>
                <w:iCs w:val="0"/>
                <w:color w:val="000000"/>
                <w:kern w:val="0"/>
                <w:sz w:val="24"/>
                <w:szCs w:val="24"/>
                <w:highlight w:val="none"/>
                <w:u w:val="none"/>
                <w:lang w:val="en-US" w:eastAsia="zh-CN" w:bidi="ar"/>
              </w:rPr>
              <w:t>50</w:t>
            </w:r>
            <w:r>
              <w:rPr>
                <w:rFonts w:hint="eastAsia" w:ascii="Times New Roman" w:hAnsi="Times New Roman" w:eastAsia="宋体" w:cs="Times New Roman"/>
                <w:b w:val="0"/>
                <w:bCs/>
                <w:i w:val="0"/>
                <w:iCs w:val="0"/>
                <w:color w:val="000000"/>
                <w:kern w:val="0"/>
                <w:sz w:val="24"/>
                <w:szCs w:val="24"/>
                <w:highlight w:val="none"/>
                <w:u w:val="none"/>
                <w:lang w:val="en-US" w:eastAsia="zh-CN" w:bidi="ar"/>
              </w:rPr>
              <w:t>成份交易型开放式指数证券投资基金发起式联接基金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027139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国寿安保严选稳健养老目标一年持有期混合型基金中基金</w:t>
            </w:r>
            <w:r>
              <w:rPr>
                <w:rFonts w:hint="eastAsia" w:ascii="Times New Roman" w:hAnsi="Times New Roman" w:cs="Times New Roman"/>
                <w:b w:val="0"/>
                <w:bCs/>
                <w:i w:val="0"/>
                <w:iCs w:val="0"/>
                <w:color w:val="000000"/>
                <w:kern w:val="0"/>
                <w:sz w:val="24"/>
                <w:szCs w:val="24"/>
                <w:highlight w:val="none"/>
                <w:u w:val="none"/>
                <w:lang w:val="en-US" w:eastAsia="zh-CN" w:bidi="ar"/>
              </w:rPr>
              <w:t>（</w:t>
            </w:r>
            <w:r>
              <w:rPr>
                <w:rFonts w:hint="default" w:ascii="Times New Roman" w:hAnsi="Times New Roman" w:eastAsia="宋体" w:cs="Times New Roman"/>
                <w:b w:val="0"/>
                <w:bCs/>
                <w:i w:val="0"/>
                <w:iCs w:val="0"/>
                <w:color w:val="000000"/>
                <w:kern w:val="0"/>
                <w:sz w:val="24"/>
                <w:szCs w:val="24"/>
                <w:highlight w:val="none"/>
                <w:u w:val="none"/>
                <w:lang w:val="en-US" w:eastAsia="zh-CN" w:bidi="ar"/>
              </w:rPr>
              <w:t>FOF</w:t>
            </w:r>
            <w:r>
              <w:rPr>
                <w:rFonts w:hint="eastAsia" w:ascii="Times New Roman" w:hAnsi="Times New Roman" w:cs="Times New Roman"/>
                <w:b w:val="0"/>
                <w:bCs/>
                <w:i w:val="0"/>
                <w:iCs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国寿安保基金管理有限公司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027146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平安中证</w:t>
            </w:r>
            <w:r>
              <w:rPr>
                <w:rFonts w:hint="default" w:ascii="Times New Roman" w:hAnsi="Times New Roman" w:eastAsia="宋体" w:cs="Times New Roman"/>
                <w:b w:val="0"/>
                <w:bCs/>
                <w:i w:val="0"/>
                <w:iCs w:val="0"/>
                <w:color w:val="000000"/>
                <w:kern w:val="0"/>
                <w:sz w:val="24"/>
                <w:szCs w:val="24"/>
                <w:highlight w:val="none"/>
                <w:u w:val="none"/>
                <w:lang w:val="en-US" w:eastAsia="zh-CN" w:bidi="ar"/>
              </w:rPr>
              <w:t>A50</w:t>
            </w:r>
            <w:r>
              <w:rPr>
                <w:rFonts w:hint="eastAsia" w:ascii="Times New Roman" w:hAnsi="Times New Roman" w:eastAsia="宋体" w:cs="Times New Roman"/>
                <w:b w:val="0"/>
                <w:bCs/>
                <w:i w:val="0"/>
                <w:iCs w:val="0"/>
                <w:color w:val="000000"/>
                <w:kern w:val="0"/>
                <w:sz w:val="24"/>
                <w:szCs w:val="24"/>
                <w:highlight w:val="none"/>
                <w:u w:val="none"/>
                <w:lang w:val="en-US" w:eastAsia="zh-CN" w:bidi="ar"/>
              </w:rPr>
              <w:t>交易型开放式指数证券投资基金联接基金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平安基金管理有限公司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027181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鹏华沪深</w:t>
            </w:r>
            <w:r>
              <w:rPr>
                <w:rFonts w:hint="default" w:ascii="Times New Roman" w:hAnsi="Times New Roman" w:eastAsia="宋体" w:cs="Times New Roman"/>
                <w:b w:val="0"/>
                <w:bCs/>
                <w:i w:val="0"/>
                <w:iCs w:val="0"/>
                <w:color w:val="000000"/>
                <w:kern w:val="0"/>
                <w:sz w:val="24"/>
                <w:szCs w:val="24"/>
                <w:highlight w:val="none"/>
                <w:u w:val="none"/>
                <w:lang w:val="en-US" w:eastAsia="zh-CN" w:bidi="ar"/>
              </w:rPr>
              <w:t>300</w:t>
            </w:r>
            <w:r>
              <w:rPr>
                <w:rFonts w:hint="eastAsia" w:ascii="Times New Roman" w:hAnsi="Times New Roman" w:eastAsia="宋体" w:cs="Times New Roman"/>
                <w:b w:val="0"/>
                <w:bCs/>
                <w:i w:val="0"/>
                <w:iCs w:val="0"/>
                <w:color w:val="000000"/>
                <w:kern w:val="0"/>
                <w:sz w:val="24"/>
                <w:szCs w:val="24"/>
                <w:highlight w:val="none"/>
                <w:u w:val="none"/>
                <w:lang w:val="en-US" w:eastAsia="zh-CN" w:bidi="ar"/>
              </w:rPr>
              <w:t>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鹏华基金管理有限公司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027109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农银汇理沪深</w:t>
            </w:r>
            <w:r>
              <w:rPr>
                <w:rFonts w:hint="default" w:ascii="Times New Roman" w:hAnsi="Times New Roman" w:eastAsia="宋体" w:cs="Times New Roman"/>
                <w:b w:val="0"/>
                <w:bCs/>
                <w:i w:val="0"/>
                <w:iCs w:val="0"/>
                <w:color w:val="000000"/>
                <w:kern w:val="0"/>
                <w:sz w:val="24"/>
                <w:szCs w:val="24"/>
                <w:highlight w:val="none"/>
                <w:u w:val="none"/>
                <w:lang w:val="en-US" w:eastAsia="zh-CN" w:bidi="ar"/>
              </w:rPr>
              <w:t>300</w:t>
            </w:r>
            <w:r>
              <w:rPr>
                <w:rFonts w:hint="eastAsia" w:ascii="Times New Roman" w:hAnsi="Times New Roman" w:eastAsia="宋体" w:cs="Times New Roman"/>
                <w:b w:val="0"/>
                <w:bCs/>
                <w:i w:val="0"/>
                <w:iCs w:val="0"/>
                <w:color w:val="000000"/>
                <w:kern w:val="0"/>
                <w:sz w:val="24"/>
                <w:szCs w:val="24"/>
                <w:highlight w:val="none"/>
                <w:u w:val="none"/>
                <w:lang w:val="en-US" w:eastAsia="zh-CN" w:bidi="ar"/>
              </w:rPr>
              <w:t>指数证券投资基金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农银汇理基金管理有限公司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027112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汇添富沪深</w:t>
            </w:r>
            <w:r>
              <w:rPr>
                <w:rFonts w:hint="default" w:ascii="Times New Roman" w:hAnsi="Times New Roman" w:eastAsia="宋体" w:cs="Times New Roman"/>
                <w:b w:val="0"/>
                <w:bCs/>
                <w:i w:val="0"/>
                <w:iCs w:val="0"/>
                <w:color w:val="000000"/>
                <w:kern w:val="0"/>
                <w:sz w:val="24"/>
                <w:szCs w:val="24"/>
                <w:highlight w:val="none"/>
                <w:u w:val="none"/>
                <w:lang w:val="en-US" w:eastAsia="zh-CN" w:bidi="ar"/>
              </w:rPr>
              <w:t>300</w:t>
            </w:r>
            <w:r>
              <w:rPr>
                <w:rFonts w:hint="eastAsia" w:ascii="Times New Roman" w:hAnsi="Times New Roman" w:eastAsia="宋体" w:cs="Times New Roman"/>
                <w:b w:val="0"/>
                <w:bCs/>
                <w:i w:val="0"/>
                <w:iCs w:val="0"/>
                <w:color w:val="000000"/>
                <w:kern w:val="0"/>
                <w:sz w:val="24"/>
                <w:szCs w:val="24"/>
                <w:highlight w:val="none"/>
                <w:u w:val="none"/>
                <w:lang w:val="en-US" w:eastAsia="zh-CN" w:bidi="ar"/>
              </w:rPr>
              <w:t>基本面增强指数型证券投资基金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027262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易方达沪深</w:t>
            </w:r>
            <w:r>
              <w:rPr>
                <w:rFonts w:hint="default" w:ascii="Times New Roman" w:hAnsi="Times New Roman" w:eastAsia="宋体" w:cs="Times New Roman"/>
                <w:b w:val="0"/>
                <w:bCs/>
                <w:i w:val="0"/>
                <w:iCs w:val="0"/>
                <w:color w:val="000000"/>
                <w:kern w:val="0"/>
                <w:sz w:val="24"/>
                <w:szCs w:val="24"/>
                <w:highlight w:val="none"/>
                <w:u w:val="none"/>
                <w:lang w:val="en-US" w:eastAsia="zh-CN" w:bidi="ar"/>
              </w:rPr>
              <w:t>300</w:t>
            </w:r>
            <w:r>
              <w:rPr>
                <w:rFonts w:hint="eastAsia" w:ascii="Times New Roman" w:hAnsi="Times New Roman" w:eastAsia="宋体" w:cs="Times New Roman"/>
                <w:b w:val="0"/>
                <w:bCs/>
                <w:i w:val="0"/>
                <w:iCs w:val="0"/>
                <w:color w:val="000000"/>
                <w:kern w:val="0"/>
                <w:sz w:val="24"/>
                <w:szCs w:val="24"/>
                <w:highlight w:val="none"/>
                <w:u w:val="none"/>
                <w:lang w:val="en-US" w:eastAsia="zh-CN" w:bidi="ar"/>
              </w:rPr>
              <w:t>量化增强证券投资基金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027261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易方达中证红利低波动交易型开放式指数证券投资基金发起式联接基金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027153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富达任远保守养老目标一年持有期混合型基金中基金</w:t>
            </w:r>
            <w:r>
              <w:rPr>
                <w:rFonts w:hint="eastAsia" w:ascii="Times New Roman" w:hAnsi="Times New Roman" w:cs="Times New Roman"/>
                <w:b w:val="0"/>
                <w:bCs/>
                <w:i w:val="0"/>
                <w:iCs w:val="0"/>
                <w:color w:val="000000"/>
                <w:kern w:val="0"/>
                <w:sz w:val="24"/>
                <w:szCs w:val="24"/>
                <w:highlight w:val="none"/>
                <w:u w:val="none"/>
                <w:lang w:val="en-US" w:eastAsia="zh-CN" w:bidi="ar"/>
              </w:rPr>
              <w:t>（</w:t>
            </w:r>
            <w:r>
              <w:rPr>
                <w:rFonts w:hint="default" w:ascii="Times New Roman" w:hAnsi="Times New Roman" w:eastAsia="宋体" w:cs="Times New Roman"/>
                <w:b w:val="0"/>
                <w:bCs/>
                <w:i w:val="0"/>
                <w:iCs w:val="0"/>
                <w:color w:val="000000"/>
                <w:kern w:val="0"/>
                <w:sz w:val="24"/>
                <w:szCs w:val="24"/>
                <w:highlight w:val="none"/>
                <w:u w:val="none"/>
                <w:lang w:val="en-US" w:eastAsia="zh-CN" w:bidi="ar"/>
              </w:rPr>
              <w:t>FOF</w:t>
            </w:r>
            <w:r>
              <w:rPr>
                <w:rFonts w:hint="eastAsia" w:ascii="Times New Roman" w:hAnsi="Times New Roman" w:cs="Times New Roman"/>
                <w:b w:val="0"/>
                <w:bCs/>
                <w:i w:val="0"/>
                <w:iCs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富达基金管理（中国）有限公司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027325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富荣沪深</w:t>
            </w:r>
            <w:r>
              <w:rPr>
                <w:rFonts w:hint="default" w:ascii="Times New Roman" w:hAnsi="Times New Roman" w:eastAsia="宋体" w:cs="Times New Roman"/>
                <w:b w:val="0"/>
                <w:bCs/>
                <w:i w:val="0"/>
                <w:iCs w:val="0"/>
                <w:color w:val="000000"/>
                <w:kern w:val="0"/>
                <w:sz w:val="24"/>
                <w:szCs w:val="24"/>
                <w:highlight w:val="none"/>
                <w:u w:val="none"/>
                <w:lang w:val="en-US" w:eastAsia="zh-CN" w:bidi="ar"/>
              </w:rPr>
              <w:t>300</w:t>
            </w:r>
            <w:r>
              <w:rPr>
                <w:rFonts w:hint="eastAsia" w:ascii="Times New Roman" w:hAnsi="Times New Roman" w:eastAsia="宋体" w:cs="Times New Roman"/>
                <w:b w:val="0"/>
                <w:bCs/>
                <w:i w:val="0"/>
                <w:iCs w:val="0"/>
                <w:color w:val="000000"/>
                <w:kern w:val="0"/>
                <w:sz w:val="24"/>
                <w:szCs w:val="24"/>
                <w:highlight w:val="none"/>
                <w:u w:val="none"/>
                <w:lang w:val="en-US" w:eastAsia="zh-CN" w:bidi="ar"/>
              </w:rPr>
              <w:t>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富荣基金管理有限公司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027712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汇添富养老目标日期</w:t>
            </w:r>
            <w:r>
              <w:rPr>
                <w:rFonts w:hint="default" w:ascii="Times New Roman" w:hAnsi="Times New Roman" w:eastAsia="宋体" w:cs="Times New Roman"/>
                <w:b w:val="0"/>
                <w:bCs/>
                <w:i w:val="0"/>
                <w:iCs w:val="0"/>
                <w:color w:val="000000"/>
                <w:kern w:val="0"/>
                <w:sz w:val="24"/>
                <w:szCs w:val="24"/>
                <w:highlight w:val="none"/>
                <w:u w:val="none"/>
                <w:lang w:val="en-US" w:eastAsia="zh-CN" w:bidi="ar"/>
              </w:rPr>
              <w:t>2060</w:t>
            </w:r>
            <w:r>
              <w:rPr>
                <w:rFonts w:hint="eastAsia" w:ascii="Times New Roman" w:hAnsi="Times New Roman" w:eastAsia="宋体" w:cs="Times New Roman"/>
                <w:b w:val="0"/>
                <w:bCs/>
                <w:i w:val="0"/>
                <w:iCs w:val="0"/>
                <w:color w:val="000000"/>
                <w:kern w:val="0"/>
                <w:sz w:val="24"/>
                <w:szCs w:val="24"/>
                <w:highlight w:val="none"/>
                <w:u w:val="none"/>
                <w:lang w:val="en-US" w:eastAsia="zh-CN" w:bidi="ar"/>
              </w:rPr>
              <w:t>五年持有期混合型发起式基金中基金（</w:t>
            </w:r>
            <w:r>
              <w:rPr>
                <w:rFonts w:hint="default" w:ascii="Times New Roman" w:hAnsi="Times New Roman" w:eastAsia="宋体" w:cs="Times New Roman"/>
                <w:b w:val="0"/>
                <w:bCs/>
                <w:i w:val="0"/>
                <w:iCs w:val="0"/>
                <w:color w:val="000000"/>
                <w:kern w:val="0"/>
                <w:sz w:val="24"/>
                <w:szCs w:val="24"/>
                <w:highlight w:val="none"/>
                <w:u w:val="none"/>
                <w:lang w:val="en-US" w:eastAsia="zh-CN" w:bidi="ar"/>
              </w:rPr>
              <w:t>FOF</w:t>
            </w:r>
            <w:r>
              <w:rPr>
                <w:rFonts w:hint="eastAsia" w:ascii="Times New Roman" w:hAnsi="Times New Roman" w:eastAsia="宋体" w:cs="Times New Roman"/>
                <w:b w:val="0"/>
                <w:bCs/>
                <w:i w:val="0"/>
                <w:iCs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027733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广发养老目标日期</w:t>
            </w:r>
            <w:r>
              <w:rPr>
                <w:rFonts w:hint="default" w:ascii="Times New Roman" w:hAnsi="Times New Roman" w:eastAsia="宋体" w:cs="Times New Roman"/>
                <w:b w:val="0"/>
                <w:bCs/>
                <w:i w:val="0"/>
                <w:iCs w:val="0"/>
                <w:color w:val="000000"/>
                <w:kern w:val="0"/>
                <w:sz w:val="24"/>
                <w:szCs w:val="24"/>
                <w:highlight w:val="none"/>
                <w:u w:val="none"/>
                <w:lang w:val="en-US" w:eastAsia="zh-CN" w:bidi="ar"/>
              </w:rPr>
              <w:t>2055</w:t>
            </w:r>
            <w:r>
              <w:rPr>
                <w:rFonts w:hint="eastAsia" w:ascii="Times New Roman" w:hAnsi="Times New Roman" w:eastAsia="宋体" w:cs="Times New Roman"/>
                <w:b w:val="0"/>
                <w:bCs/>
                <w:i w:val="0"/>
                <w:iCs w:val="0"/>
                <w:color w:val="000000"/>
                <w:kern w:val="0"/>
                <w:sz w:val="24"/>
                <w:szCs w:val="24"/>
                <w:highlight w:val="none"/>
                <w:u w:val="none"/>
                <w:lang w:val="en-US" w:eastAsia="zh-CN" w:bidi="ar"/>
              </w:rPr>
              <w:t>五年持有期混合型发起式基金中基金（</w:t>
            </w:r>
            <w:r>
              <w:rPr>
                <w:rFonts w:hint="default" w:ascii="Times New Roman" w:hAnsi="Times New Roman" w:eastAsia="宋体" w:cs="Times New Roman"/>
                <w:b w:val="0"/>
                <w:bCs/>
                <w:i w:val="0"/>
                <w:iCs w:val="0"/>
                <w:color w:val="000000"/>
                <w:kern w:val="0"/>
                <w:sz w:val="24"/>
                <w:szCs w:val="24"/>
                <w:highlight w:val="none"/>
                <w:u w:val="none"/>
                <w:lang w:val="en-US" w:eastAsia="zh-CN" w:bidi="ar"/>
              </w:rPr>
              <w:t>FOF</w:t>
            </w:r>
            <w:r>
              <w:rPr>
                <w:rFonts w:hint="eastAsia" w:ascii="Times New Roman" w:hAnsi="Times New Roman" w:eastAsia="宋体" w:cs="Times New Roman"/>
                <w:b w:val="0"/>
                <w:bCs/>
                <w:i w:val="0"/>
                <w:iCs w:val="0"/>
                <w:color w:val="000000"/>
                <w:kern w:val="0"/>
                <w:sz w:val="24"/>
                <w:szCs w:val="24"/>
                <w:highlight w:val="none"/>
                <w:u w:val="none"/>
                <w:lang w:val="en-US" w:eastAsia="zh-CN" w:bidi="ar"/>
              </w:rPr>
              <w:t>）</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027943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eastAsia" w:ascii="Times New Roman" w:hAnsi="Times New Roman" w:eastAsia="宋体" w:cs="Times New Roman"/>
                <w:b w:val="0"/>
                <w:bCs/>
                <w:i w:val="0"/>
                <w:iCs w:val="0"/>
                <w:color w:val="000000"/>
                <w:kern w:val="0"/>
                <w:sz w:val="24"/>
                <w:szCs w:val="24"/>
                <w:highlight w:val="none"/>
                <w:u w:val="none"/>
                <w:lang w:val="en-US" w:eastAsia="zh-CN" w:bidi="ar"/>
              </w:rPr>
              <w:t>景顺长城沪深</w:t>
            </w:r>
            <w:r>
              <w:rPr>
                <w:rFonts w:hint="default" w:ascii="Times New Roman" w:hAnsi="Times New Roman" w:eastAsia="宋体" w:cs="Times New Roman"/>
                <w:b w:val="0"/>
                <w:bCs/>
                <w:i w:val="0"/>
                <w:iCs w:val="0"/>
                <w:color w:val="000000"/>
                <w:kern w:val="0"/>
                <w:sz w:val="24"/>
                <w:szCs w:val="24"/>
                <w:highlight w:val="none"/>
                <w:u w:val="none"/>
                <w:lang w:val="en-US" w:eastAsia="zh-CN" w:bidi="ar"/>
              </w:rPr>
              <w:t>300</w:t>
            </w:r>
            <w:r>
              <w:rPr>
                <w:rFonts w:hint="eastAsia" w:ascii="Times New Roman" w:hAnsi="Times New Roman" w:eastAsia="宋体" w:cs="Times New Roman"/>
                <w:b w:val="0"/>
                <w:bCs/>
                <w:i w:val="0"/>
                <w:iCs w:val="0"/>
                <w:color w:val="000000"/>
                <w:kern w:val="0"/>
                <w:sz w:val="24"/>
                <w:szCs w:val="24"/>
                <w:highlight w:val="none"/>
                <w:u w:val="none"/>
                <w:lang w:val="en-US" w:eastAsia="zh-CN" w:bidi="ar"/>
              </w:rPr>
              <w:t>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景顺长城基金管理有限公司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027925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安信量化精选沪深300指数增强型证券投资基金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安信基金管理有限责任公司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028545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中信建投民享稳健养老目标一年持有期混合型发起式基金中基金（FOF）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中信建投基金管理有限公司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南方致远混合型证券投资基金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南方基金管理股份有限公司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国泰鑫享稳健6个月滚动持有债券型证券投资基金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国泰基金管理有限公司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029374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华夏鼎泓债券型证券投资基金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华夏基金管理有限公司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029391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华安乾煜债券型发起式证券投资基金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华安基金管理有限公司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029392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鹏华稳健添利债券型证券投资基金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鹏华基金管理有限公司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029384</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国联融盛双盈债券型证券投资基金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国联基金管理有限公司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东方红稳健精选混合型证券投资基金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上海东方证券资产管理有限公司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029371</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永赢鑫欣混合型证券投资基金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永赢基金管理有限公司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029393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国寿安保稳荣混合型证券投资基金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国寿安保基金管理有限公司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029379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富国稳健增强债券型证券投资基金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富国基金管理有限公司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易方达磐泰一年持有期混合型证券投资基金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易方达基金管理有限公司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029375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招商安阳债券型证券投资基金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招商基金管理有限公司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金鹰年年邮享一年持有期债券型证券投资基金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金鹰基金管理有限公司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029395</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广发聚荣一年持有期混合型证券投资基金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广发基金管理有限公司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长信利保债券型证券投资基金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长信基金管理有限责任公司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029389</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中银稳健添利债券型发起式证券投资基金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中银基金管理有限公司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029373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天弘安康颐养混合型证券投资基金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天弘基金管理有限公司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029397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华泰柏瑞招享6个月持有期混合型证券投资基金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华泰柏瑞基金管理有限公司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029377</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汇添富添添乐双盈债券型证券投资基金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汇添富基金管理股份有限公司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029383</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工银瑞信双利债券型证券投资基金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工银瑞信基金管理有限公司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029372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交银施罗德招享一年持有期混合型基金中基金（FOF）</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交银施罗德基金管理有限公司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029390</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建信稳健惠享债券型证券投资基金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建信基金管理有限责任公司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029376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中欧心益稳健6个月持有期混合型证券投资基金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中欧基金管理有限公司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029378</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农银汇理瑞泽添利债券型证券投资基</w:t>
            </w:r>
            <w:bookmarkStart w:id="0" w:name="_GoBack"/>
            <w:bookmarkEnd w:id="0"/>
            <w:r>
              <w:rPr>
                <w:rFonts w:hint="default" w:ascii="Times New Roman" w:hAnsi="Times New Roman" w:eastAsia="宋体" w:cs="Times New Roman"/>
                <w:b w:val="0"/>
                <w:bCs/>
                <w:i w:val="0"/>
                <w:iCs w:val="0"/>
                <w:color w:val="000000"/>
                <w:kern w:val="0"/>
                <w:sz w:val="24"/>
                <w:szCs w:val="24"/>
                <w:highlight w:val="none"/>
                <w:u w:val="none"/>
                <w:lang w:val="en-US" w:eastAsia="zh-CN" w:bidi="ar"/>
              </w:rPr>
              <w:t>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农银汇理基金管理有限公司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029396</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平安瑞兴1年持有期混合型证券投资基金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平安基金管理有限公司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ind w:left="210" w:leftChars="0" w:firstLine="0" w:firstLineChars="0"/>
              <w:jc w:val="center"/>
              <w:textAlignment w:val="center"/>
              <w:rPr>
                <w:rFonts w:hint="default" w:ascii="Times New Roman" w:hAnsi="Times New Roman" w:eastAsia="宋体" w:cs="Times New Roman"/>
                <w:b w:val="0"/>
                <w:bCs/>
                <w:i w:val="0"/>
                <w:color w:val="000000"/>
                <w:kern w:val="0"/>
                <w:sz w:val="24"/>
                <w:szCs w:val="24"/>
                <w:highlight w:val="none"/>
                <w:u w:val="none"/>
                <w:lang w:val="en-US" w:eastAsia="zh-CN" w:bidi="ar"/>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029382</w:t>
            </w:r>
          </w:p>
        </w:tc>
        <w:tc>
          <w:tcPr>
            <w:tcW w:w="43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eastAsia"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安信稳健汇利一年持有期混合型证券投资基金</w:t>
            </w:r>
          </w:p>
        </w:tc>
        <w:tc>
          <w:tcPr>
            <w:tcW w:w="27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both"/>
              <w:textAlignment w:val="bottom"/>
              <w:rPr>
                <w:rFonts w:hint="default" w:ascii="Times New Roman" w:hAnsi="Times New Roman" w:eastAsia="宋体" w:cs="Times New Roman"/>
                <w:b w:val="0"/>
                <w:bCs/>
                <w:i w:val="0"/>
                <w:iCs w:val="0"/>
                <w:color w:val="000000"/>
                <w:kern w:val="0"/>
                <w:sz w:val="24"/>
                <w:szCs w:val="24"/>
                <w:highlight w:val="none"/>
                <w:u w:val="none"/>
                <w:lang w:val="en-US" w:eastAsia="zh-CN" w:bidi="ar"/>
              </w:rPr>
            </w:pPr>
            <w:r>
              <w:rPr>
                <w:rFonts w:hint="default" w:ascii="Times New Roman" w:hAnsi="Times New Roman" w:eastAsia="宋体" w:cs="Times New Roman"/>
                <w:b w:val="0"/>
                <w:bCs/>
                <w:i w:val="0"/>
                <w:iCs w:val="0"/>
                <w:color w:val="000000"/>
                <w:kern w:val="0"/>
                <w:sz w:val="24"/>
                <w:szCs w:val="24"/>
                <w:highlight w:val="none"/>
                <w:u w:val="none"/>
                <w:lang w:val="en-US" w:eastAsia="zh-CN" w:bidi="ar"/>
              </w:rPr>
              <w:t>安信基金管理有限责任公司</w:t>
            </w:r>
          </w:p>
        </w:tc>
      </w:tr>
    </w:tbl>
    <w:p>
      <w:pP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注：实时名录信息以人社部信息平台及基金行业平台发布的名录为准。</w:t>
      </w:r>
    </w:p>
    <w:p>
      <w:pPr>
        <w:rPr>
          <w:rFonts w:hint="default" w:ascii="Times New Roman" w:hAnsi="Times New Roman" w:eastAsia="仿宋_GB2312" w:cs="Times New Roman"/>
          <w:b/>
          <w:bCs/>
          <w:sz w:val="24"/>
          <w:szCs w:val="24"/>
        </w:rPr>
      </w:pPr>
    </w:p>
    <w:p>
      <w:pPr>
        <w:rPr>
          <w:rFonts w:hint="default"/>
        </w:rPr>
      </w:pPr>
    </w:p>
    <w:sectPr>
      <w:footerReference r:id="rId3" w:type="default"/>
      <w:pgSz w:w="11906" w:h="16838"/>
      <w:pgMar w:top="1440" w:right="1706"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EDEC5B"/>
    <w:multiLevelType w:val="singleLevel"/>
    <w:tmpl w:val="73EDEC5B"/>
    <w:lvl w:ilvl="0" w:tentative="0">
      <w:start w:val="1"/>
      <w:numFmt w:val="decimal"/>
      <w:suff w:val="nothing"/>
      <w:lvlText w:val="%1"/>
      <w:lvlJc w:val="left"/>
      <w:pPr>
        <w:tabs>
          <w:tab w:val="left" w:pos="420"/>
        </w:tabs>
        <w:ind w:left="210" w:leftChars="0" w:firstLine="0" w:firstLineChars="0"/>
      </w:pPr>
      <w:rPr>
        <w:rFonts w:hint="default" w:ascii="Times New Roman" w:hAnsi="Times New Roman" w:eastAsia="宋体"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7D3E62"/>
    <w:rsid w:val="1FFE2815"/>
    <w:rsid w:val="3BB75D15"/>
    <w:rsid w:val="3CEBCBEC"/>
    <w:rsid w:val="3EAB0813"/>
    <w:rsid w:val="3EBF13B8"/>
    <w:rsid w:val="3EE6D780"/>
    <w:rsid w:val="3F730C0A"/>
    <w:rsid w:val="3FDF8291"/>
    <w:rsid w:val="41326656"/>
    <w:rsid w:val="496F3C1A"/>
    <w:rsid w:val="4BEF912B"/>
    <w:rsid w:val="4DA7D7A4"/>
    <w:rsid w:val="55FE39EB"/>
    <w:rsid w:val="58B07D02"/>
    <w:rsid w:val="58DF8594"/>
    <w:rsid w:val="5AD7F29F"/>
    <w:rsid w:val="5BEF8269"/>
    <w:rsid w:val="5BFBF048"/>
    <w:rsid w:val="63E7220A"/>
    <w:rsid w:val="66B7330D"/>
    <w:rsid w:val="6EEE62C9"/>
    <w:rsid w:val="6F7FF1B6"/>
    <w:rsid w:val="6FEAF1FA"/>
    <w:rsid w:val="779FDCB3"/>
    <w:rsid w:val="77FB2EE4"/>
    <w:rsid w:val="7AFD7B38"/>
    <w:rsid w:val="7B7FAFEF"/>
    <w:rsid w:val="7BFA64FC"/>
    <w:rsid w:val="7CCD3E2D"/>
    <w:rsid w:val="7CF18404"/>
    <w:rsid w:val="7D77BC24"/>
    <w:rsid w:val="7E9D0DDE"/>
    <w:rsid w:val="7ECEFA15"/>
    <w:rsid w:val="7FB27759"/>
    <w:rsid w:val="7FFDFD68"/>
    <w:rsid w:val="AFFDC6F9"/>
    <w:rsid w:val="AFFFCE50"/>
    <w:rsid w:val="B328539F"/>
    <w:rsid w:val="B4F7167F"/>
    <w:rsid w:val="B6F7F6F2"/>
    <w:rsid w:val="B77D717A"/>
    <w:rsid w:val="B9FF3657"/>
    <w:rsid w:val="BBB260E9"/>
    <w:rsid w:val="BDFFABED"/>
    <w:rsid w:val="BFF700B2"/>
    <w:rsid w:val="D05FC12B"/>
    <w:rsid w:val="D7FF64EE"/>
    <w:rsid w:val="DB7B6EE2"/>
    <w:rsid w:val="DDBFF3A1"/>
    <w:rsid w:val="DEB9BE09"/>
    <w:rsid w:val="DEEFE925"/>
    <w:rsid w:val="DFBBCF34"/>
    <w:rsid w:val="DFFF6CFB"/>
    <w:rsid w:val="E6FF54DE"/>
    <w:rsid w:val="E794A049"/>
    <w:rsid w:val="EAAFF179"/>
    <w:rsid w:val="EACD7FDF"/>
    <w:rsid w:val="EEEF091D"/>
    <w:rsid w:val="EF561FD2"/>
    <w:rsid w:val="EFBB77B4"/>
    <w:rsid w:val="EFFEA817"/>
    <w:rsid w:val="F1EA2F8F"/>
    <w:rsid w:val="F2BB3A04"/>
    <w:rsid w:val="F2FAA45D"/>
    <w:rsid w:val="F5F9FB22"/>
    <w:rsid w:val="F6BF7B87"/>
    <w:rsid w:val="F6BFF97C"/>
    <w:rsid w:val="F7EBF9FA"/>
    <w:rsid w:val="F7FB8028"/>
    <w:rsid w:val="F7FF9F70"/>
    <w:rsid w:val="FBB859AA"/>
    <w:rsid w:val="FBD758B9"/>
    <w:rsid w:val="FBEDF408"/>
    <w:rsid w:val="FCFF272F"/>
    <w:rsid w:val="FF74E29F"/>
    <w:rsid w:val="FF9F398A"/>
    <w:rsid w:val="FFBF4B8A"/>
    <w:rsid w:val="FFE7417A"/>
    <w:rsid w:val="FFEF73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31"/>
    <w:basedOn w:val="5"/>
    <w:qFormat/>
    <w:uiPriority w:val="0"/>
    <w:rPr>
      <w:rFonts w:hint="eastAsia" w:ascii="仿宋" w:hAnsi="仿宋" w:eastAsia="仿宋" w:cs="仿宋"/>
      <w:color w:val="000000"/>
      <w:sz w:val="22"/>
      <w:szCs w:val="22"/>
      <w:u w:val="none"/>
    </w:rPr>
  </w:style>
  <w:style w:type="character" w:customStyle="1" w:styleId="7">
    <w:name w:val="font21"/>
    <w:basedOn w:val="5"/>
    <w:qFormat/>
    <w:uiPriority w:val="0"/>
    <w:rPr>
      <w:rFonts w:hint="eastAsia" w:ascii="仿宋" w:hAnsi="仿宋" w:eastAsia="仿宋" w:cs="仿宋"/>
      <w:color w:val="000000"/>
      <w:sz w:val="22"/>
      <w:szCs w:val="22"/>
      <w:u w:val="none"/>
    </w:rPr>
  </w:style>
  <w:style w:type="character" w:customStyle="1" w:styleId="8">
    <w:name w:val="font11"/>
    <w:basedOn w:val="5"/>
    <w:qFormat/>
    <w:uiPriority w:val="0"/>
    <w:rPr>
      <w:rFonts w:hint="eastAsia" w:ascii="仿宋" w:hAnsi="仿宋" w:eastAsia="仿宋" w:cs="仿宋"/>
      <w:color w:val="000000"/>
      <w:sz w:val="22"/>
      <w:szCs w:val="22"/>
      <w:u w:val="none"/>
    </w:rPr>
  </w:style>
  <w:style w:type="character" w:customStyle="1" w:styleId="9">
    <w:name w:val="font0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2014-11-13T04:08:00Z</dcterms:created>
  <dc:creator>Administrator</dc:creator>
  <cp:lastModifiedBy>聂怡然</cp:lastModifiedBy>
  <cp:lastPrinted>2025-07-07T08:47:00Z</cp:lastPrinted>
  <dcterms:modified xsi:type="dcterms:W3CDTF">2026-10-16T11:59:52Z</dcterms:modified>
  <dc:title>个人养老金基金名录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5E438798C1188672CEE3EC67784199F7</vt:lpwstr>
  </property>
</Properties>
</file>