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473" w:type="dxa"/>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185"/>
        <w:gridCol w:w="5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73" w:type="dxa"/>
            <w:gridSpan w:val="3"/>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b/>
                <w:color w:val="000000"/>
                <w:sz w:val="32"/>
                <w:szCs w:val="24"/>
              </w:rPr>
            </w:pPr>
            <w:r>
              <w:rPr>
                <w:rFonts w:hint="default" w:ascii="Times New Roman" w:hAnsi="Times New Roman" w:eastAsia="宋体" w:cs="Times New Roman"/>
                <w:b/>
                <w:i w:val="0"/>
                <w:color w:val="000000"/>
                <w:kern w:val="0"/>
                <w:sz w:val="32"/>
                <w:szCs w:val="32"/>
                <w:u w:val="none"/>
                <w:lang w:val="en-US" w:eastAsia="zh-CN" w:bidi="ar"/>
              </w:rPr>
              <w:t>个人养老金基金销售机构名录</w:t>
            </w:r>
            <w:r>
              <w:rPr>
                <w:rFonts w:hint="default" w:ascii="Times New Roman" w:hAnsi="Times New Roman" w:eastAsia="宋体" w:cs="Times New Roman"/>
                <w:b/>
                <w:i w:val="0"/>
                <w:color w:val="000000"/>
                <w:kern w:val="0"/>
                <w:sz w:val="32"/>
                <w:szCs w:val="32"/>
                <w:u w:val="none"/>
                <w:lang w:val="en-US" w:eastAsia="zh-CN" w:bidi="ar"/>
              </w:rPr>
              <w:br w:type="textWrapping"/>
            </w:r>
            <w:r>
              <w:rPr>
                <w:rFonts w:hint="default" w:ascii="Times New Roman" w:hAnsi="Times New Roman" w:eastAsia="宋体" w:cs="Times New Roman"/>
                <w:b w:val="0"/>
                <w:bCs/>
                <w:i w:val="0"/>
                <w:color w:val="000000"/>
                <w:kern w:val="0"/>
                <w:sz w:val="28"/>
                <w:szCs w:val="28"/>
                <w:u w:val="none"/>
                <w:lang w:val="en-US" w:eastAsia="zh-CN" w:bidi="ar"/>
              </w:rPr>
              <w:t>（截至20</w:t>
            </w:r>
            <w:r>
              <w:rPr>
                <w:rFonts w:hint="default" w:ascii="Times New Roman" w:hAnsi="Times New Roman" w:cs="Times New Roman"/>
                <w:b w:val="0"/>
                <w:bCs/>
                <w:i w:val="0"/>
                <w:color w:val="000000"/>
                <w:kern w:val="0"/>
                <w:sz w:val="28"/>
                <w:szCs w:val="28"/>
                <w:u w:val="none"/>
                <w:lang w:val="en-US" w:eastAsia="zh-CN" w:bidi="ar"/>
              </w:rPr>
              <w:t>26</w:t>
            </w:r>
            <w:r>
              <w:rPr>
                <w:rFonts w:hint="default" w:ascii="Times New Roman" w:hAnsi="Times New Roman" w:eastAsia="宋体" w:cs="Times New Roman"/>
                <w:b w:val="0"/>
                <w:bCs/>
                <w:i w:val="0"/>
                <w:color w:val="000000"/>
                <w:kern w:val="0"/>
                <w:sz w:val="28"/>
                <w:szCs w:val="28"/>
                <w:u w:val="none"/>
                <w:lang w:val="en-US" w:eastAsia="zh-CN" w:bidi="ar"/>
              </w:rPr>
              <w:t>年</w:t>
            </w:r>
            <w:r>
              <w:rPr>
                <w:rFonts w:hint="eastAsia" w:ascii="Times New Roman" w:hAnsi="Times New Roman" w:cs="Times New Roman"/>
                <w:b w:val="0"/>
                <w:bCs/>
                <w:i w:val="0"/>
                <w:color w:val="000000"/>
                <w:kern w:val="0"/>
                <w:sz w:val="28"/>
                <w:szCs w:val="28"/>
                <w:u w:val="none"/>
                <w:lang w:val="en-US" w:eastAsia="zh-CN" w:bidi="ar"/>
              </w:rPr>
              <w:t>9</w:t>
            </w:r>
            <w:bookmarkStart w:id="0" w:name="_GoBack"/>
            <w:bookmarkEnd w:id="0"/>
            <w:r>
              <w:rPr>
                <w:rFonts w:hint="default" w:ascii="Times New Roman" w:hAnsi="Times New Roman" w:eastAsia="宋体" w:cs="Times New Roman"/>
                <w:b w:val="0"/>
                <w:bCs/>
                <w:i w:val="0"/>
                <w:color w:val="000000"/>
                <w:kern w:val="0"/>
                <w:sz w:val="28"/>
                <w:szCs w:val="28"/>
                <w:u w:val="none"/>
                <w:lang w:val="en-US" w:eastAsia="zh-CN" w:bidi="ar"/>
              </w:rPr>
              <w:t>月</w:t>
            </w:r>
            <w:r>
              <w:rPr>
                <w:rFonts w:hint="default" w:ascii="Times New Roman" w:hAnsi="Times New Roman" w:cs="Times New Roman"/>
                <w:b w:val="0"/>
                <w:bCs/>
                <w:i w:val="0"/>
                <w:color w:val="000000"/>
                <w:kern w:val="0"/>
                <w:sz w:val="28"/>
                <w:szCs w:val="28"/>
                <w:u w:val="none"/>
                <w:lang w:val="en-US" w:eastAsia="zh-CN" w:bidi="ar"/>
              </w:rPr>
              <w:t>30</w:t>
            </w:r>
            <w:r>
              <w:rPr>
                <w:rFonts w:hint="default" w:ascii="Times New Roman" w:hAnsi="Times New Roman" w:eastAsia="宋体" w:cs="Times New Roman"/>
                <w:b w:val="0"/>
                <w:bCs/>
                <w:i w:val="0"/>
                <w:color w:val="000000"/>
                <w:kern w:val="0"/>
                <w:sz w:val="28"/>
                <w:szCs w:val="28"/>
                <w:u w:val="none"/>
                <w:lang w:val="en-US" w:eastAsia="zh-CN"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98"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b/>
                <w:color w:val="000000"/>
                <w:sz w:val="24"/>
                <w:szCs w:val="24"/>
              </w:rPr>
            </w:pPr>
            <w:r>
              <w:rPr>
                <w:rFonts w:hint="default" w:ascii="Times New Roman" w:hAnsi="Times New Roman" w:eastAsia="宋体" w:cs="Times New Roman"/>
                <w:b/>
                <w:i w:val="0"/>
                <w:color w:val="000000"/>
                <w:kern w:val="0"/>
                <w:sz w:val="24"/>
                <w:szCs w:val="24"/>
                <w:u w:val="none"/>
                <w:lang w:val="en-US" w:eastAsia="zh-CN" w:bidi="ar"/>
              </w:rPr>
              <w:t>类别</w:t>
            </w: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b/>
                <w:color w:val="000000"/>
                <w:sz w:val="24"/>
                <w:szCs w:val="24"/>
              </w:rPr>
            </w:pPr>
            <w:r>
              <w:rPr>
                <w:rFonts w:hint="default" w:ascii="Times New Roman" w:hAnsi="Times New Roman" w:eastAsia="宋体" w:cs="Times New Roman"/>
                <w:b/>
                <w:i w:val="0"/>
                <w:color w:val="000000"/>
                <w:kern w:val="0"/>
                <w:sz w:val="24"/>
                <w:szCs w:val="24"/>
                <w:u w:val="none"/>
                <w:lang w:val="en-US" w:eastAsia="zh-CN" w:bidi="ar"/>
              </w:rPr>
              <w:t>序号</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b/>
                <w:i w:val="0"/>
                <w:color w:val="000000"/>
                <w:kern w:val="0"/>
                <w:sz w:val="24"/>
                <w:szCs w:val="24"/>
                <w:u w:val="none"/>
                <w:lang w:val="en-US" w:eastAsia="zh-CN" w:bidi="ar"/>
              </w:rPr>
              <w:t>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商业银行</w:t>
            </w:r>
            <w:r>
              <w:rPr>
                <w:rFonts w:hint="default" w:ascii="Times New Roman" w:hAnsi="Times New Roman" w:eastAsia="宋体" w:cs="Times New Roman"/>
                <w:i w:val="0"/>
                <w:color w:val="000000"/>
                <w:kern w:val="0"/>
                <w:sz w:val="24"/>
                <w:szCs w:val="24"/>
                <w:u w:val="none"/>
                <w:lang w:val="en-US" w:eastAsia="zh-CN" w:bidi="ar"/>
              </w:rPr>
              <w:br w:type="textWrapping"/>
            </w:r>
            <w:r>
              <w:rPr>
                <w:rFonts w:hint="default" w:ascii="Times New Roman" w:hAnsi="Times New Roman" w:eastAsia="宋体" w:cs="Times New Roman"/>
                <w:i w:val="0"/>
                <w:color w:val="000000"/>
                <w:kern w:val="0"/>
                <w:sz w:val="24"/>
                <w:szCs w:val="24"/>
                <w:u w:val="none"/>
                <w:lang w:val="en-US" w:eastAsia="zh-CN" w:bidi="ar"/>
              </w:rPr>
              <w:t>（1</w:t>
            </w:r>
            <w:r>
              <w:rPr>
                <w:rFonts w:hint="default" w:ascii="Times New Roman" w:hAnsi="Times New Roman" w:cs="Times New Roman"/>
                <w:i w:val="0"/>
                <w:color w:val="000000"/>
                <w:kern w:val="0"/>
                <w:sz w:val="24"/>
                <w:szCs w:val="24"/>
                <w:u w:val="none"/>
                <w:lang w:val="en-US" w:eastAsia="zh-CN" w:bidi="ar"/>
              </w:rPr>
              <w:t>9</w:t>
            </w:r>
            <w:r>
              <w:rPr>
                <w:rFonts w:hint="default" w:ascii="Times New Roman" w:hAnsi="Times New Roman" w:eastAsia="宋体" w:cs="Times New Roman"/>
                <w:i w:val="0"/>
                <w:color w:val="000000"/>
                <w:kern w:val="0"/>
                <w:sz w:val="24"/>
                <w:szCs w:val="24"/>
                <w:u w:val="none"/>
                <w:lang w:val="en-US" w:eastAsia="zh-CN" w:bidi="ar"/>
              </w:rPr>
              <w:t>家）</w:t>
            </w: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2</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中国农业银行股份有限公司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3</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4</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中国建设银行股份有限公司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5</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交通银行股份有限公司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6</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中国邮政储蓄银行股份有限公司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7</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中信银行股份有限公司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8</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中国光大银行股份有限公司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9</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10</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上海浦东发展银行股份有限公司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11</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中国民生银行股份有限公司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12</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平安银行股份有限公司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13</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兴业银行股份有限公司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14</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广发银行股份有限公司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15</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北京银行股份有限公司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16</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17</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华夏银行股份有限公司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18</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上海银行股份有限公司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19</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江苏银行股份有限公司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证券公司</w:t>
            </w:r>
            <w:r>
              <w:rPr>
                <w:rFonts w:hint="default" w:ascii="Times New Roman" w:hAnsi="Times New Roman" w:eastAsia="宋体" w:cs="Times New Roman"/>
                <w:i w:val="0"/>
                <w:color w:val="000000"/>
                <w:kern w:val="0"/>
                <w:sz w:val="24"/>
                <w:szCs w:val="24"/>
                <w:u w:val="none"/>
                <w:lang w:val="en-US" w:eastAsia="zh-CN" w:bidi="ar"/>
              </w:rPr>
              <w:br w:type="textWrapping"/>
            </w:r>
            <w:r>
              <w:rPr>
                <w:rFonts w:hint="default" w:ascii="Times New Roman" w:hAnsi="Times New Roman" w:eastAsia="宋体" w:cs="Times New Roman"/>
                <w:i w:val="0"/>
                <w:color w:val="000000"/>
                <w:kern w:val="0"/>
                <w:sz w:val="24"/>
                <w:szCs w:val="24"/>
                <w:u w:val="none"/>
                <w:lang w:val="en-US" w:eastAsia="zh-CN" w:bidi="ar"/>
              </w:rPr>
              <w:t>（</w:t>
            </w:r>
            <w:r>
              <w:rPr>
                <w:rFonts w:hint="default" w:ascii="Times New Roman" w:hAnsi="Times New Roman" w:cs="Times New Roman"/>
                <w:i w:val="0"/>
                <w:color w:val="000000"/>
                <w:kern w:val="0"/>
                <w:sz w:val="24"/>
                <w:szCs w:val="24"/>
                <w:u w:val="none"/>
                <w:lang w:val="en-US" w:eastAsia="zh-CN" w:bidi="ar"/>
              </w:rPr>
              <w:t>24</w:t>
            </w:r>
            <w:r>
              <w:rPr>
                <w:rFonts w:hint="default" w:ascii="Times New Roman" w:hAnsi="Times New Roman" w:eastAsia="宋体" w:cs="Times New Roman"/>
                <w:i w:val="0"/>
                <w:color w:val="000000"/>
                <w:kern w:val="0"/>
                <w:sz w:val="24"/>
                <w:szCs w:val="24"/>
                <w:u w:val="none"/>
                <w:lang w:val="en-US" w:eastAsia="zh-CN" w:bidi="ar"/>
              </w:rPr>
              <w:t>家）</w:t>
            </w: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20</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华泰证券股份有限公司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21</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中信证券股份有限公司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22</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广发证券股份有限公司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23</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中信建投证券股份有限公司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24</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招商证券股份有限公司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25</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中国银河证券股份有限公司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26</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highlight w:val="none"/>
                <w:u w:val="none"/>
                <w:lang w:val="en-US" w:eastAsia="zh-CN" w:bidi="ar"/>
              </w:rPr>
              <w:t>国泰</w:t>
            </w:r>
            <w:r>
              <w:rPr>
                <w:rFonts w:hint="default" w:ascii="Times New Roman" w:hAnsi="Times New Roman" w:cs="Times New Roman"/>
                <w:i w:val="0"/>
                <w:color w:val="000000"/>
                <w:kern w:val="0"/>
                <w:sz w:val="24"/>
                <w:szCs w:val="24"/>
                <w:highlight w:val="none"/>
                <w:u w:val="none"/>
                <w:lang w:val="en-US" w:eastAsia="zh-CN" w:bidi="ar"/>
              </w:rPr>
              <w:t>海通</w:t>
            </w:r>
            <w:r>
              <w:rPr>
                <w:rFonts w:hint="default" w:ascii="Times New Roman" w:hAnsi="Times New Roman" w:eastAsia="宋体" w:cs="Times New Roman"/>
                <w:i w:val="0"/>
                <w:color w:val="000000"/>
                <w:kern w:val="0"/>
                <w:sz w:val="24"/>
                <w:szCs w:val="24"/>
                <w:highlight w:val="none"/>
                <w:u w:val="none"/>
                <w:lang w:val="en-US" w:eastAsia="zh-CN" w:bidi="ar"/>
              </w:rPr>
              <w:t>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27</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国信证券股份有限公司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28</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东方证券股份有限公司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29</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兴业证券股份有限公司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cs="Times New Roman"/>
                <w:i w:val="0"/>
                <w:color w:val="000000"/>
                <w:kern w:val="0"/>
                <w:sz w:val="24"/>
                <w:szCs w:val="24"/>
                <w:u w:val="none"/>
                <w:lang w:val="en-US" w:eastAsia="zh-CN" w:bidi="ar"/>
              </w:rPr>
              <w:t>30</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申万宏源证券有限公司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3</w:t>
            </w:r>
            <w:r>
              <w:rPr>
                <w:rFonts w:hint="default" w:ascii="Times New Roman" w:hAnsi="Times New Roman" w:cs="Times New Roman"/>
                <w:i w:val="0"/>
                <w:color w:val="000000"/>
                <w:kern w:val="0"/>
                <w:sz w:val="24"/>
                <w:szCs w:val="24"/>
                <w:u w:val="none"/>
                <w:lang w:val="en-US" w:eastAsia="zh-CN" w:bidi="ar"/>
              </w:rPr>
              <w:t>1</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中国中金财富证券有限公司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3</w:t>
            </w:r>
            <w:r>
              <w:rPr>
                <w:rFonts w:hint="default" w:ascii="Times New Roman" w:hAnsi="Times New Roman" w:cs="Times New Roman"/>
                <w:i w:val="0"/>
                <w:color w:val="000000"/>
                <w:kern w:val="0"/>
                <w:sz w:val="24"/>
                <w:szCs w:val="24"/>
                <w:u w:val="none"/>
                <w:lang w:val="en-US" w:eastAsia="zh-CN" w:bidi="ar"/>
              </w:rPr>
              <w:t>2</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长江证券股份有限公司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3</w:t>
            </w:r>
            <w:r>
              <w:rPr>
                <w:rFonts w:hint="default" w:ascii="Times New Roman" w:hAnsi="Times New Roman" w:cs="Times New Roman"/>
                <w:i w:val="0"/>
                <w:color w:val="000000"/>
                <w:kern w:val="0"/>
                <w:sz w:val="24"/>
                <w:szCs w:val="24"/>
                <w:u w:val="none"/>
                <w:lang w:val="en-US" w:eastAsia="zh-CN" w:bidi="ar"/>
              </w:rPr>
              <w:t>3</w:t>
            </w:r>
          </w:p>
        </w:tc>
        <w:tc>
          <w:tcPr>
            <w:tcW w:w="5490" w:type="dxa"/>
            <w:tcBorders>
              <w:tl2br w:val="nil"/>
              <w:tr2bl w:val="nil"/>
            </w:tcBorders>
            <w:noWrap w:val="0"/>
            <w:vAlign w:val="bottom"/>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中信证券（山东）有限责任公司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3</w:t>
            </w:r>
            <w:r>
              <w:rPr>
                <w:rFonts w:hint="default" w:ascii="Times New Roman" w:hAnsi="Times New Roman" w:cs="Times New Roman"/>
                <w:i w:val="0"/>
                <w:color w:val="000000"/>
                <w:kern w:val="0"/>
                <w:sz w:val="24"/>
                <w:szCs w:val="24"/>
                <w:u w:val="none"/>
                <w:lang w:val="en-US" w:eastAsia="zh-CN" w:bidi="ar"/>
              </w:rPr>
              <w:t>4</w:t>
            </w:r>
          </w:p>
        </w:tc>
        <w:tc>
          <w:tcPr>
            <w:tcW w:w="5490" w:type="dxa"/>
            <w:tcBorders>
              <w:tl2br w:val="nil"/>
              <w:tr2bl w:val="nil"/>
            </w:tcBorders>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中信证券华南股份有限公司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u w:val="none"/>
                <w:lang w:val="en-US" w:eastAsia="zh-CN" w:bidi="ar"/>
              </w:rPr>
              <w:t>3</w:t>
            </w:r>
            <w:r>
              <w:rPr>
                <w:rFonts w:hint="default" w:ascii="Times New Roman" w:hAnsi="Times New Roman" w:cs="Times New Roman"/>
                <w:i w:val="0"/>
                <w:color w:val="000000"/>
                <w:kern w:val="0"/>
                <w:sz w:val="24"/>
                <w:szCs w:val="24"/>
                <w:u w:val="none"/>
                <w:lang w:val="en-US" w:eastAsia="zh-CN" w:bidi="ar"/>
              </w:rPr>
              <w:t>5</w:t>
            </w:r>
          </w:p>
        </w:tc>
        <w:tc>
          <w:tcPr>
            <w:tcW w:w="5490" w:type="dxa"/>
            <w:tcBorders>
              <w:tl2br w:val="nil"/>
              <w:tr2bl w:val="nil"/>
            </w:tcBorders>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平安证券股份有限公司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宋体" w:cs="Times New Roman"/>
                <w:i w:val="0"/>
                <w:color w:val="000000"/>
                <w:kern w:val="0"/>
                <w:sz w:val="24"/>
                <w:szCs w:val="24"/>
                <w:highlight w:val="none"/>
                <w:u w:val="none"/>
                <w:lang w:val="en-US" w:eastAsia="zh-CN" w:bidi="ar"/>
              </w:rPr>
              <w:t>3</w:t>
            </w:r>
            <w:r>
              <w:rPr>
                <w:rFonts w:hint="default" w:ascii="Times New Roman" w:hAnsi="Times New Roman" w:cs="Times New Roman"/>
                <w:i w:val="0"/>
                <w:color w:val="000000"/>
                <w:kern w:val="0"/>
                <w:sz w:val="24"/>
                <w:szCs w:val="24"/>
                <w:highlight w:val="none"/>
                <w:u w:val="none"/>
                <w:lang w:val="en-US" w:eastAsia="zh-CN" w:bidi="ar"/>
              </w:rPr>
              <w:t>6</w:t>
            </w:r>
          </w:p>
        </w:tc>
        <w:tc>
          <w:tcPr>
            <w:tcW w:w="5490" w:type="dxa"/>
            <w:tcBorders>
              <w:tl2br w:val="nil"/>
              <w:tr2bl w:val="nil"/>
            </w:tcBorders>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cs="Times New Roman"/>
                <w:i w:val="0"/>
                <w:color w:val="000000"/>
                <w:kern w:val="0"/>
                <w:sz w:val="24"/>
                <w:szCs w:val="24"/>
                <w:highlight w:val="none"/>
                <w:u w:val="none"/>
                <w:lang w:val="en-US" w:eastAsia="zh-CN" w:bidi="ar"/>
              </w:rPr>
              <w:t>国投</w:t>
            </w:r>
            <w:r>
              <w:rPr>
                <w:rFonts w:hint="default" w:ascii="Times New Roman" w:hAnsi="Times New Roman" w:eastAsia="宋体" w:cs="Times New Roman"/>
                <w:i w:val="0"/>
                <w:color w:val="000000"/>
                <w:kern w:val="0"/>
                <w:sz w:val="24"/>
                <w:szCs w:val="24"/>
                <w:highlight w:val="none"/>
                <w:u w:val="none"/>
                <w:lang w:val="en-US" w:eastAsia="zh-CN" w:bidi="ar"/>
              </w:rPr>
              <w:t>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highlight w:val="none"/>
                <w:lang w:val="en-US" w:eastAsia="zh-CN" w:bidi="ar-SA"/>
              </w:rPr>
            </w:pPr>
            <w:r>
              <w:rPr>
                <w:rFonts w:hint="default" w:ascii="Times New Roman" w:hAnsi="Times New Roman" w:eastAsia="瀹嬩綋" w:cs="Times New Roman"/>
                <w:color w:val="000000"/>
                <w:sz w:val="24"/>
                <w:szCs w:val="24"/>
                <w:lang w:val="en-US" w:eastAsia="zh-CN"/>
              </w:rPr>
              <w:t>37</w:t>
            </w:r>
          </w:p>
        </w:tc>
        <w:tc>
          <w:tcPr>
            <w:tcW w:w="5490" w:type="dxa"/>
            <w:tcBorders>
              <w:tl2br w:val="nil"/>
              <w:tr2bl w:val="nil"/>
            </w:tcBorders>
            <w:shd w:val="clear" w:color="auto" w:fill="auto"/>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highlight w:val="none"/>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方正证券股份有限公司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38</w:t>
            </w:r>
          </w:p>
        </w:tc>
        <w:tc>
          <w:tcPr>
            <w:tcW w:w="5490" w:type="dxa"/>
            <w:tcBorders>
              <w:tl2br w:val="nil"/>
              <w:tr2bl w:val="nil"/>
            </w:tcBorders>
            <w:shd w:val="clear" w:color="auto" w:fill="auto"/>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中银国际证券股份有限公司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39</w:t>
            </w:r>
          </w:p>
        </w:tc>
        <w:tc>
          <w:tcPr>
            <w:tcW w:w="5490" w:type="dxa"/>
            <w:tcBorders>
              <w:tl2br w:val="nil"/>
              <w:tr2bl w:val="nil"/>
            </w:tcBorders>
            <w:shd w:val="clear" w:color="auto" w:fill="auto"/>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中泰证券股份有限公司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40</w:t>
            </w:r>
          </w:p>
        </w:tc>
        <w:tc>
          <w:tcPr>
            <w:tcW w:w="5490" w:type="dxa"/>
            <w:tcBorders>
              <w:tl2br w:val="nil"/>
              <w:tr2bl w:val="nil"/>
            </w:tcBorders>
            <w:shd w:val="clear" w:color="auto" w:fill="auto"/>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申万宏源西部证券有限公司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41</w:t>
            </w:r>
          </w:p>
        </w:tc>
        <w:tc>
          <w:tcPr>
            <w:tcW w:w="5490" w:type="dxa"/>
            <w:tcBorders>
              <w:tl2br w:val="nil"/>
              <w:tr2bl w:val="nil"/>
            </w:tcBorders>
            <w:shd w:val="clear" w:color="auto" w:fill="auto"/>
            <w:noWrap w:val="0"/>
            <w:vAlign w:val="bottom"/>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瀹嬩綋" w:cs="Times New Roman"/>
                <w:color w:val="000000"/>
                <w:sz w:val="24"/>
                <w:szCs w:val="24"/>
                <w:lang w:val="en-US" w:eastAsia="zh-CN"/>
              </w:rPr>
              <w:t>光大证券股份有限公司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lang w:val="en-US" w:eastAsia="zh-CN"/>
              </w:rPr>
            </w:pPr>
            <w:r>
              <w:rPr>
                <w:rFonts w:hint="default" w:ascii="Times New Roman" w:hAnsi="Times New Roman" w:eastAsia="瀹嬩綋" w:cs="Times New Roman"/>
                <w:color w:val="000000"/>
                <w:sz w:val="24"/>
                <w:szCs w:val="24"/>
                <w:lang w:val="en-US" w:eastAsia="zh-CN"/>
              </w:rPr>
              <w:t>42</w:t>
            </w:r>
          </w:p>
        </w:tc>
        <w:tc>
          <w:tcPr>
            <w:tcW w:w="5490" w:type="dxa"/>
            <w:tcBorders>
              <w:tl2br w:val="nil"/>
              <w:tr2bl w:val="nil"/>
            </w:tcBorders>
            <w:shd w:val="clear" w:color="auto" w:fill="auto"/>
            <w:noWrap w:val="0"/>
            <w:vAlign w:val="bottom"/>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lang w:val="en-US" w:eastAsia="zh-CN"/>
              </w:rPr>
            </w:pPr>
            <w:r>
              <w:rPr>
                <w:rFonts w:hint="default" w:ascii="Times New Roman" w:hAnsi="Times New Roman" w:eastAsia="瀹嬩綋" w:cs="Times New Roman"/>
                <w:color w:val="000000"/>
                <w:sz w:val="24"/>
                <w:szCs w:val="24"/>
                <w:lang w:val="en-US" w:eastAsia="zh-CN"/>
              </w:rPr>
              <w:t>东方财富证券股份有限公司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lang w:val="en-US" w:eastAsia="zh-CN"/>
              </w:rPr>
            </w:pPr>
            <w:r>
              <w:rPr>
                <w:rFonts w:hint="default" w:ascii="Times New Roman" w:hAnsi="Times New Roman" w:eastAsia="瀹嬩綋" w:cs="Times New Roman"/>
                <w:color w:val="000000"/>
                <w:sz w:val="24"/>
                <w:szCs w:val="24"/>
                <w:highlight w:val="none"/>
                <w:lang w:val="en-US" w:eastAsia="zh-CN"/>
              </w:rPr>
              <w:t>43</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lang w:val="en-US" w:eastAsia="zh-CN"/>
              </w:rPr>
            </w:pPr>
            <w:r>
              <w:rPr>
                <w:rFonts w:hint="default" w:ascii="Times New Roman" w:hAnsi="Times New Roman" w:eastAsia="宋体" w:cs="Times New Roman"/>
                <w:i w:val="0"/>
                <w:color w:val="000000"/>
                <w:kern w:val="0"/>
                <w:sz w:val="24"/>
                <w:szCs w:val="24"/>
                <w:highlight w:val="none"/>
                <w:u w:val="none"/>
                <w:lang w:val="en-US" w:eastAsia="zh-CN" w:bidi="ar"/>
              </w:rPr>
              <w:t>国金证券股份有限公司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r>
              <w:rPr>
                <w:rFonts w:hint="default" w:ascii="Times New Roman" w:hAnsi="Times New Roman" w:eastAsia="宋体" w:cs="Times New Roman"/>
                <w:i w:val="0"/>
                <w:color w:val="000000"/>
                <w:kern w:val="0"/>
                <w:sz w:val="24"/>
                <w:szCs w:val="24"/>
                <w:u w:val="none"/>
                <w:lang w:val="en-US" w:eastAsia="zh-CN" w:bidi="ar"/>
              </w:rPr>
              <w:t>独立基金销售机构</w:t>
            </w:r>
            <w:r>
              <w:rPr>
                <w:rFonts w:hint="default" w:ascii="Times New Roman" w:hAnsi="Times New Roman" w:eastAsia="宋体" w:cs="Times New Roman"/>
                <w:i w:val="0"/>
                <w:color w:val="000000"/>
                <w:kern w:val="0"/>
                <w:sz w:val="24"/>
                <w:szCs w:val="24"/>
                <w:u w:val="none"/>
                <w:lang w:val="en-US" w:eastAsia="zh-CN" w:bidi="ar"/>
              </w:rPr>
              <w:br w:type="textWrapping"/>
            </w: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cs="Times New Roman"/>
                <w:i w:val="0"/>
                <w:color w:val="000000"/>
                <w:kern w:val="0"/>
                <w:sz w:val="24"/>
                <w:szCs w:val="24"/>
                <w:u w:val="none"/>
                <w:lang w:val="en-US" w:eastAsia="zh-CN" w:bidi="ar"/>
              </w:rPr>
              <w:t>9</w:t>
            </w:r>
            <w:r>
              <w:rPr>
                <w:rFonts w:hint="default" w:ascii="Times New Roman" w:hAnsi="Times New Roman" w:eastAsia="宋体" w:cs="Times New Roman"/>
                <w:i w:val="0"/>
                <w:color w:val="000000"/>
                <w:kern w:val="0"/>
                <w:sz w:val="24"/>
                <w:szCs w:val="24"/>
                <w:u w:val="none"/>
                <w:lang w:val="en-US" w:eastAsia="zh-CN" w:bidi="ar"/>
              </w:rPr>
              <w:t>家）</w:t>
            </w: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lang w:val="en-US" w:eastAsia="zh-CN"/>
              </w:rPr>
            </w:pPr>
            <w:r>
              <w:rPr>
                <w:rFonts w:hint="default" w:ascii="Times New Roman" w:hAnsi="Times New Roman" w:eastAsia="瀹嬩綋" w:cs="Times New Roman"/>
                <w:color w:val="000000"/>
                <w:sz w:val="24"/>
                <w:szCs w:val="24"/>
                <w:lang w:val="en-US" w:eastAsia="zh-CN"/>
              </w:rPr>
              <w:t>44</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蚂蚁（杭州）基金销售有限公司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45</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上海天天基金销售有限公司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46</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腾安基金销售（深圳）有限公司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kern w:val="2"/>
                <w:sz w:val="24"/>
                <w:szCs w:val="24"/>
                <w:lang w:val="en-US" w:eastAsia="zh-CN" w:bidi="ar-SA"/>
              </w:rPr>
              <w:t>47</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珠海盈米基金销售有限公司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kern w:val="2"/>
                <w:sz w:val="24"/>
                <w:szCs w:val="24"/>
                <w:lang w:val="en-US" w:eastAsia="zh-CN" w:bidi="ar-SA"/>
              </w:rPr>
              <w:t>48</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浙江同花顺基金销售有限公司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49</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北京雪球基金销售有限公司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kern w:val="2"/>
                <w:sz w:val="24"/>
                <w:szCs w:val="24"/>
                <w:lang w:val="en-US" w:eastAsia="zh-CN" w:bidi="ar-SA"/>
              </w:rPr>
            </w:pPr>
            <w:r>
              <w:rPr>
                <w:rFonts w:hint="default" w:ascii="Times New Roman" w:hAnsi="Times New Roman" w:eastAsia="瀹嬩綋" w:cs="Times New Roman"/>
                <w:color w:val="000000"/>
                <w:sz w:val="24"/>
                <w:szCs w:val="24"/>
                <w:lang w:val="en-US" w:eastAsia="zh-CN"/>
              </w:rPr>
              <w:t>50</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color w:val="000000"/>
                <w:kern w:val="0"/>
                <w:sz w:val="24"/>
                <w:szCs w:val="24"/>
                <w:u w:val="none"/>
                <w:lang w:val="en-US" w:eastAsia="zh-CN" w:bidi="ar"/>
              </w:rPr>
              <w:t>京东肯特瑞基金销售有限公司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lang w:val="en-US" w:eastAsia="zh-CN"/>
              </w:rPr>
            </w:pPr>
            <w:r>
              <w:rPr>
                <w:rFonts w:hint="default" w:ascii="Times New Roman" w:hAnsi="Times New Roman" w:eastAsia="瀹嬩綋" w:cs="Times New Roman"/>
                <w:color w:val="000000"/>
                <w:sz w:val="24"/>
                <w:szCs w:val="24"/>
                <w:lang w:val="en-US" w:eastAsia="zh-CN"/>
              </w:rPr>
              <w:t>51</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cs="Times New Roman"/>
                <w:i w:val="0"/>
                <w:color w:val="000000"/>
                <w:kern w:val="0"/>
                <w:sz w:val="24"/>
                <w:szCs w:val="24"/>
                <w:u w:val="none"/>
                <w:lang w:val="en-US" w:eastAsia="zh-CN" w:bidi="ar"/>
              </w:rPr>
              <w:t>上海好买基金销售有限公司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98" w:type="dxa"/>
            <w:vMerge w:val="continue"/>
            <w:tcBorders>
              <w:tl2br w:val="nil"/>
              <w:tr2bl w:val="nil"/>
            </w:tcBorders>
            <w:noWrap w:val="0"/>
            <w:vAlign w:val="center"/>
          </w:tcPr>
          <w:p>
            <w:pPr>
              <w:jc w:val="center"/>
              <w:rPr>
                <w:rFonts w:hint="default" w:ascii="Times New Roman" w:hAnsi="Times New Roman" w:eastAsia="瀹嬩綋" w:cs="Times New Roman"/>
                <w:color w:val="000000"/>
                <w:sz w:val="24"/>
                <w:szCs w:val="24"/>
              </w:rPr>
            </w:pPr>
          </w:p>
        </w:tc>
        <w:tc>
          <w:tcPr>
            <w:tcW w:w="118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瀹嬩綋" w:cs="Times New Roman"/>
                <w:color w:val="000000"/>
                <w:sz w:val="24"/>
                <w:szCs w:val="24"/>
                <w:highlight w:val="none"/>
                <w:lang w:val="en-US" w:eastAsia="zh-CN"/>
              </w:rPr>
            </w:pPr>
            <w:r>
              <w:rPr>
                <w:rFonts w:hint="eastAsia" w:ascii="Times New Roman" w:hAnsi="Times New Roman" w:eastAsia="瀹嬩綋" w:cs="Times New Roman"/>
                <w:color w:val="000000"/>
                <w:sz w:val="24"/>
                <w:szCs w:val="24"/>
                <w:highlight w:val="none"/>
                <w:lang w:val="en-US" w:eastAsia="zh-CN"/>
              </w:rPr>
              <w:t>52</w:t>
            </w:r>
          </w:p>
        </w:tc>
        <w:tc>
          <w:tcPr>
            <w:tcW w:w="549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kern w:val="0"/>
                <w:sz w:val="24"/>
                <w:szCs w:val="24"/>
                <w:highlight w:val="none"/>
                <w:u w:val="none"/>
                <w:lang w:val="en-US" w:eastAsia="zh-CN" w:bidi="ar"/>
              </w:rPr>
            </w:pPr>
            <w:r>
              <w:rPr>
                <w:rFonts w:hint="default" w:ascii="Times New Roman" w:hAnsi="Times New Roman" w:cs="Times New Roman"/>
                <w:i w:val="0"/>
                <w:color w:val="000000"/>
                <w:kern w:val="0"/>
                <w:sz w:val="24"/>
                <w:szCs w:val="24"/>
                <w:highlight w:val="none"/>
                <w:u w:val="none"/>
                <w:lang w:val="en-US" w:eastAsia="zh-CN" w:bidi="ar"/>
              </w:rPr>
              <w:t>易方达财富管理基金销售（广州）有限公司</w:t>
            </w:r>
          </w:p>
        </w:tc>
      </w:tr>
    </w:tbl>
    <w:p>
      <w:pP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注：1、实时名录信息以人社部信息平台及基金行业平台发布的名录为准。</w:t>
      </w:r>
    </w:p>
    <w:p>
      <w:pP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 xml:space="preserve">    2、非名录内的基金管理人及其销售子公司可以办理该基金管理人募集的个人养老金基金的销售相关业务。</w:t>
      </w:r>
    </w:p>
    <w:p>
      <w:pPr>
        <w:rPr>
          <w:rFonts w:hint="default"/>
        </w:rPr>
      </w:pPr>
    </w:p>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瀹嬩綋">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D5787D0"/>
    <w:rsid w:val="37F910EE"/>
    <w:rsid w:val="3B6BAD8D"/>
    <w:rsid w:val="3EAB0813"/>
    <w:rsid w:val="3F6F6905"/>
    <w:rsid w:val="4EFDBD1C"/>
    <w:rsid w:val="57F7AEDA"/>
    <w:rsid w:val="59FC7DE7"/>
    <w:rsid w:val="5F7E3CAB"/>
    <w:rsid w:val="5FD17F2B"/>
    <w:rsid w:val="5FED00B4"/>
    <w:rsid w:val="64DC6F63"/>
    <w:rsid w:val="67F3CD61"/>
    <w:rsid w:val="6BEA13AD"/>
    <w:rsid w:val="74F6BA60"/>
    <w:rsid w:val="74FC837B"/>
    <w:rsid w:val="77F37B54"/>
    <w:rsid w:val="7AD69403"/>
    <w:rsid w:val="7BFFB4A4"/>
    <w:rsid w:val="7D0B8530"/>
    <w:rsid w:val="7E6F2CB2"/>
    <w:rsid w:val="7F7D01B4"/>
    <w:rsid w:val="7FB3F0B8"/>
    <w:rsid w:val="7FBCED03"/>
    <w:rsid w:val="7FDF1374"/>
    <w:rsid w:val="9FF700F2"/>
    <w:rsid w:val="A5FFFB6C"/>
    <w:rsid w:val="AFEB67C5"/>
    <w:rsid w:val="B5ABDFD1"/>
    <w:rsid w:val="D53E9D07"/>
    <w:rsid w:val="D7D7DCAF"/>
    <w:rsid w:val="DD7D1714"/>
    <w:rsid w:val="DEBF18F3"/>
    <w:rsid w:val="F3FFB882"/>
    <w:rsid w:val="F9991BB1"/>
    <w:rsid w:val="FDDADCB3"/>
    <w:rsid w:val="FFF995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2014-11-08T04:08:00Z</dcterms:created>
  <dc:creator>Administrator</dc:creator>
  <cp:lastModifiedBy>聂怡然</cp:lastModifiedBy>
  <cp:lastPrinted>2022-11-26T18:58:00Z</cp:lastPrinted>
  <dcterms:modified xsi:type="dcterms:W3CDTF">2026-10-08T16:29:29Z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047CA511DD86DF3D53E5EC67E7135328</vt:lpwstr>
  </property>
</Properties>
</file>