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default" w:ascii="方正魏碑_GBK" w:eastAsia="方正魏碑_GBK"/>
          <w:b/>
          <w:color w:val="FF0000"/>
          <w:sz w:val="120"/>
        </w:rPr>
      </w:pPr>
      <w:r>
        <w:rPr>
          <w:rFonts w:ascii="方正魏碑_GBK" w:eastAsia="方正魏碑_GBK"/>
          <w:b/>
          <w:color w:val="FF0000"/>
          <w:sz w:val="120"/>
        </w:rPr>
        <w:t>证券工作信息</w:t>
      </w:r>
    </w:p>
    <w:p>
      <w:pPr>
        <w:pStyle w:val="6"/>
        <w:jc w:val="center"/>
        <w:rPr>
          <w:rFonts w:ascii="仿宋_GB2312" w:eastAsia="仿宋_GB2312"/>
          <w:sz w:val="13"/>
        </w:rPr>
      </w:pPr>
    </w:p>
    <w:p>
      <w:pPr>
        <w:pStyle w:val="6"/>
        <w:jc w:val="center"/>
        <w:rPr>
          <w:rFonts w:hint="default" w:ascii="仿宋_GB2312" w:eastAsia="仿宋_GB2312"/>
          <w:sz w:val="32"/>
          <w:lang w:val="en"/>
        </w:rPr>
      </w:pPr>
      <w:bookmarkStart w:id="0" w:name="WH"/>
      <w:bookmarkEnd w:id="0"/>
      <w:r>
        <w:rPr>
          <w:rFonts w:hint="default" w:ascii="仿宋_GB2312" w:eastAsia="仿宋_GB2312"/>
          <w:sz w:val="32"/>
          <w:lang w:val="en"/>
        </w:rPr>
        <w:t>证券工作信息〔2021〕123号</w:t>
      </w:r>
    </w:p>
    <w:p>
      <w:pPr>
        <w:pStyle w:val="6"/>
        <w:rPr>
          <w:rFonts w:hint="default" w:ascii="仿宋_GB2312" w:eastAsia="仿宋_GB2312"/>
          <w:color w:val="000000"/>
          <w:sz w:val="32"/>
          <w:lang w:val="en"/>
        </w:rPr>
      </w:pPr>
      <w:r>
        <w:rPr>
          <w:rFonts w:hint="default" w:ascii="仿宋_GB2312" w:eastAsia="仿宋_GB2312"/>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367665</wp:posOffset>
                </wp:positionV>
                <wp:extent cx="5417820" cy="16510"/>
                <wp:effectExtent l="0" t="9525" r="11430" b="12065"/>
                <wp:wrapNone/>
                <wp:docPr id="1" name="直接连接符 1"/>
                <wp:cNvGraphicFramePr/>
                <a:graphic xmlns:a="http://schemas.openxmlformats.org/drawingml/2006/main">
                  <a:graphicData uri="http://schemas.microsoft.com/office/word/2010/wordprocessingShape">
                    <wps:wsp>
                      <wps:cNvSpPr/>
                      <wps:spPr>
                        <a:xfrm>
                          <a:off x="0" y="0"/>
                          <a:ext cx="5417820" cy="1651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8.95pt;height:1.3pt;width:426.6pt;z-index:251658240;mso-width-relative:page;mso-height-relative:page;" filled="f" stroked="t" coordsize="21600,21600" o:gfxdata="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60EJ91wAAAAYBAAAPAAAAAAAAAAEAIAAAADgAAABkcnMvZG93bnJldi54bWxQ&#10;SwECFAAUAAAACACHTuJA53KDMeIBAACeAwAADgAAAAAAAAABACAAAAA8AQAAZHJzL2Uyb0RvYy54&#10;bWxQSwUGAAAAAAYABgBZAQAAkAUAAAAA&#10;">
                <v:path arrowok="t"/>
                <v:fill on="f" focussize="0,0"/>
                <v:stroke weight="1.5pt" color="#FF0000"/>
                <v:imagedata o:title=""/>
                <o:lock v:ext="edit" grouping="f" rotation="f" text="f" aspectratio="f"/>
              </v:line>
            </w:pict>
          </mc:Fallback>
        </mc:AlternateContent>
      </w:r>
      <w:r>
        <w:rPr>
          <w:rFonts w:ascii="仿宋_GB2312" w:eastAsia="仿宋_GB2312"/>
          <w:color w:val="000000"/>
          <w:sz w:val="32"/>
        </w:rPr>
        <w:t xml:space="preserve">中国证监会宁夏监管局                </w:t>
      </w:r>
      <w:bookmarkStart w:id="1" w:name="NGSJ"/>
      <w:bookmarkEnd w:id="1"/>
      <w:r>
        <w:rPr>
          <w:rFonts w:ascii="仿宋_GB2312" w:eastAsia="仿宋_GB2312"/>
          <w:color w:val="000000"/>
          <w:sz w:val="32"/>
          <w:lang w:val="en"/>
        </w:rPr>
        <w:t>2021年12月1</w:t>
      </w:r>
      <w:r>
        <w:rPr>
          <w:rFonts w:hint="default" w:ascii="仿宋_GB2312" w:eastAsia="仿宋_GB2312"/>
          <w:color w:val="000000"/>
          <w:sz w:val="32"/>
          <w:lang w:val="en"/>
        </w:rPr>
        <w:t>7</w:t>
      </w:r>
      <w:r>
        <w:rPr>
          <w:rFonts w:ascii="仿宋_GB2312" w:eastAsia="仿宋_GB2312"/>
          <w:color w:val="000000"/>
          <w:sz w:val="32"/>
          <w:lang w:val="en"/>
        </w:rPr>
        <w:t>日</w:t>
      </w:r>
    </w:p>
    <w:p>
      <w:pPr>
        <w:pStyle w:val="7"/>
        <w:rPr>
          <w:sz w:val="24"/>
        </w:rPr>
      </w:pPr>
    </w:p>
    <w:p>
      <w:pPr>
        <w:jc w:val="center"/>
        <w:rPr>
          <w:rFonts w:hint="eastAsia" w:ascii="方正小标宋_GBK" w:hAnsi="方正小标宋_GBK" w:eastAsia="方正小标宋_GBK" w:cs="方正小标宋_GBK"/>
          <w:sz w:val="44"/>
          <w:szCs w:val="44"/>
        </w:rPr>
      </w:pPr>
      <w:bookmarkStart w:id="2" w:name="内容"/>
      <w:bookmarkEnd w:id="2"/>
      <w:bookmarkStart w:id="3" w:name="quanwen"/>
      <w:r>
        <w:rPr>
          <w:rFonts w:hint="eastAsia" w:ascii="方正小标宋_GBK" w:hAnsi="方正小标宋_GBK" w:eastAsia="方正小标宋_GBK" w:cs="方正小标宋_GBK"/>
          <w:sz w:val="44"/>
          <w:szCs w:val="44"/>
        </w:rPr>
        <w:t xml:space="preserve">四部门联合发文 </w:t>
      </w:r>
      <w:r>
        <w:rPr>
          <w:rFonts w:hint="eastAsia" w:ascii="方正小标宋_GBK" w:hAnsi="方正小标宋_GBK" w:eastAsia="方正小标宋_GBK" w:cs="方正小标宋_GBK"/>
          <w:sz w:val="44"/>
          <w:szCs w:val="44"/>
          <w:lang w:eastAsia="zh-CN"/>
        </w:rPr>
        <w:t>宁夏</w:t>
      </w:r>
      <w:r>
        <w:rPr>
          <w:rFonts w:hint="eastAsia" w:ascii="方正小标宋_GBK" w:hAnsi="方正小标宋_GBK" w:eastAsia="方正小标宋_GBK" w:cs="方正小标宋_GBK"/>
          <w:sz w:val="44"/>
          <w:szCs w:val="44"/>
        </w:rPr>
        <w:t>投资者教育</w:t>
      </w:r>
      <w:r>
        <w:rPr>
          <w:rFonts w:hint="eastAsia" w:ascii="方正小标宋_GBK" w:hAnsi="方正小标宋_GBK" w:eastAsia="方正小标宋_GBK" w:cs="方正小标宋_GBK"/>
          <w:sz w:val="44"/>
          <w:szCs w:val="44"/>
          <w:lang w:eastAsia="zh-CN"/>
        </w:rPr>
        <w:t>纳入国民教育体系</w:t>
      </w:r>
      <w:r>
        <w:rPr>
          <w:rFonts w:hint="eastAsia" w:ascii="方正小标宋_GBK" w:hAnsi="方正小标宋_GBK" w:eastAsia="方正小标宋_GBK" w:cs="方正小标宋_GBK"/>
          <w:sz w:val="44"/>
          <w:szCs w:val="44"/>
        </w:rPr>
        <w:t>工作又</w:t>
      </w:r>
      <w:r>
        <w:rPr>
          <w:rFonts w:hint="eastAsia" w:ascii="方正小标宋_GBK" w:hAnsi="方正小标宋_GBK" w:eastAsia="方正小标宋_GBK" w:cs="方正小标宋_GBK"/>
          <w:sz w:val="44"/>
          <w:szCs w:val="44"/>
          <w:lang w:eastAsia="zh-CN"/>
        </w:rPr>
        <w:t>添</w:t>
      </w:r>
      <w:r>
        <w:rPr>
          <w:rFonts w:hint="eastAsia" w:ascii="方正小标宋_GBK" w:hAnsi="方正小标宋_GBK" w:eastAsia="方正小标宋_GBK" w:cs="方正小标宋_GBK"/>
          <w:sz w:val="44"/>
          <w:szCs w:val="44"/>
        </w:rPr>
        <w:t>新成效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监会与教育部联合印发《关于加强证券期货知识普及教育的合作备忘录》以来，宁夏证监局主动作为，多方协调，持续推进，会同上交所、北方民大和南京证券签署了《投资者教育纳入国民教育体系合作备忘录》，在证券期货知识普及、学科建设、教材编制、学术研究、人才培训等领域展开深入合作，各方合作编著的《证券投资学》教材已完成初稿</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en" w:eastAsia="zh-CN"/>
        </w:rPr>
        <w:t>年将正式投入教学</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近日，</w:t>
      </w:r>
      <w:r>
        <w:rPr>
          <w:rFonts w:hint="eastAsia" w:ascii="仿宋_GB2312" w:hAnsi="仿宋_GB2312" w:eastAsia="仿宋_GB2312" w:cs="仿宋_GB2312"/>
          <w:sz w:val="32"/>
          <w:szCs w:val="32"/>
          <w:lang w:eastAsia="zh-CN"/>
        </w:rPr>
        <w:t>我局联合人行银川中支、宁夏银保监局、自治区教育厅印发了《关于推进大中小学金融知识普及教育工作的通知》，</w:t>
      </w:r>
      <w:r>
        <w:rPr>
          <w:rFonts w:hint="eastAsia" w:ascii="仿宋_GB2312" w:hAnsi="仿宋_GB2312" w:eastAsia="仿宋_GB2312" w:cs="仿宋_GB2312"/>
          <w:sz w:val="32"/>
          <w:szCs w:val="32"/>
          <w:lang w:val="en-US" w:eastAsia="zh-CN"/>
        </w:rPr>
        <w:t>明确了推进大中小学金融知识普及教育工作的重要意义、工作原则和目标，提出了集中宣传与日常教育相结合、课堂教育与应用实践相结合、普适性教育与精准教育相结合的工作措施，明确了各方工作职责和要求，特别强调鼓励有条件的高校和职业院校按照《证监会教育部关于加强证券期货知识普及教育合作备忘录》的内容，推动开展投资者教育纳入国民教育体系工作，</w:t>
      </w:r>
      <w:r>
        <w:rPr>
          <w:rFonts w:hint="eastAsia" w:ascii="仿宋_GB2312" w:hAnsi="仿宋_GB2312" w:eastAsia="仿宋_GB2312" w:cs="仿宋_GB2312"/>
          <w:sz w:val="32"/>
          <w:szCs w:val="32"/>
          <w:lang w:eastAsia="zh-CN"/>
        </w:rPr>
        <w:t>这是继</w:t>
      </w:r>
      <w:r>
        <w:rPr>
          <w:rFonts w:hint="eastAsia" w:ascii="仿宋_GB2312" w:hAnsi="仿宋_GB2312" w:eastAsia="仿宋_GB2312" w:cs="仿宋_GB2312"/>
          <w:sz w:val="32"/>
          <w:szCs w:val="32"/>
          <w:lang w:val="en-US" w:eastAsia="zh-CN"/>
        </w:rPr>
        <w:t>《投资者教育纳入国民教育体系合作备忘录》后，辖区投资者教育纳入国民教育体系取得的又一积极成果，</w:t>
      </w:r>
      <w:r>
        <w:rPr>
          <w:rFonts w:hint="eastAsia" w:ascii="仿宋_GB2312" w:hAnsi="仿宋_GB2312" w:eastAsia="仿宋_GB2312" w:cs="仿宋_GB2312"/>
          <w:sz w:val="32"/>
          <w:szCs w:val="32"/>
          <w:lang w:eastAsia="zh-CN"/>
        </w:rPr>
        <w:t>进一步夯实了辖区投资者教育纳入国民教育体系的制度基础。</w:t>
      </w:r>
    </w:p>
    <w:p>
      <w:pPr>
        <w:ind w:firstLine="640"/>
        <w:rPr>
          <w:rFonts w:hint="eastAsia" w:ascii="仿宋_GB2312" w:hAnsi="仿宋_GB2312" w:eastAsia="仿宋_GB2312" w:cs="仿宋_GB2312"/>
          <w:sz w:val="32"/>
          <w:szCs w:val="32"/>
          <w:lang w:val="en-US" w:eastAsia="zh-CN"/>
        </w:rPr>
      </w:pP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局将持续加强与各部门沟通合作，动员证券期货经营机构探索建立金融机构与联系学校之间“一对一”对接合作模式，落实《通知》提出的各项工作要求，推动辖区投资者教育纳入国民教育体系工作不断走向深入。</w:t>
      </w:r>
    </w:p>
    <w:bookmarkEnd w:id="3"/>
    <w:p/>
    <w:p>
      <w:pPr>
        <w:rPr>
          <w:rFonts w:hint="eastAsia"/>
        </w:rPr>
      </w:pPr>
      <w:r>
        <w:rPr>
          <w:rFonts w:hint="eastAsia"/>
        </w:rPr>
        <w:t xml:space="preserve"> </w:t>
      </w:r>
      <w:bookmarkStart w:id="4" w:name="结束"/>
      <w:bookmarkEnd w:id="4"/>
    </w:p>
    <w:p>
      <w:pPr>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bookmarkStart w:id="5" w:name="_GoBack"/>
      <w:bookmarkEnd w:id="5"/>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keepNext w:val="0"/>
        <w:keepLines w:val="0"/>
        <w:widowControl/>
        <w:suppressLineNumbers w:val="0"/>
        <w:jc w:val="left"/>
        <w:rPr>
          <w:rFonts w:hint="default" w:ascii="仿宋" w:hAnsi="仿宋" w:eastAsia="仿宋" w:cs="仿宋"/>
          <w:color w:val="000000"/>
          <w:sz w:val="28"/>
          <w:szCs w:val="32"/>
          <w:lang w:val="en" w:eastAsia="zh-CN"/>
        </w:rPr>
      </w:pPr>
      <w:r>
        <w:rPr>
          <w:rFonts w:hint="eastAsia" w:ascii="仿宋_GB2312" w:hAnsi="仿宋_GB2312" w:eastAsia="仿宋_GB2312" w:cs="仿宋_GB2312"/>
          <w:color w:val="000000"/>
          <w:sz w:val="28"/>
          <w:szCs w:val="32"/>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54768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7687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31.25pt;z-index:251688960;mso-width-relative:page;mso-height-relative:page;" filled="f" stroked="t" coordsize="21600,21600" o:gfxdata="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qtkOC0gAAAAIBAAAPAAAAAAAAAAEAIAAAADgAAABkcnMvZG93bnJldi54bWxQSwECFAAU&#10;AAAACACHTuJA/ESLGuEBAACnAwAADgAAAAAAAAABACAAAAA3AQAAZHJzL2Uyb0RvYy54bWxQSwUG&#10;AAAAAAYABgBZAQAAigUAAAAA&#10;">
                <v:fill on="f" focussize="0,0"/>
                <v:stroke color="#000000" joinstyle="round"/>
                <v:imagedata o:title=""/>
                <o:lock v:ext="edit" aspectratio="f"/>
              </v:line>
            </w:pict>
          </mc:Fallback>
        </mc:AlternateContent>
      </w:r>
      <w:r>
        <w:rPr>
          <w:rFonts w:hint="eastAsia" w:ascii="黑体" w:hAnsi="黑体" w:eastAsia="黑体" w:cs="黑体"/>
          <w:color w:val="000000"/>
          <w:sz w:val="28"/>
          <w:szCs w:val="32"/>
          <w:lang w:val="en-US" w:eastAsia="zh-CN"/>
        </w:rPr>
        <w:t xml:space="preserve">  本期发送：</w:t>
      </w:r>
      <w:r>
        <w:rPr>
          <w:rFonts w:hint="eastAsia" w:ascii="仿宋_GB2312" w:hAnsi="仿宋_GB2312" w:eastAsia="仿宋_GB2312" w:cs="仿宋_GB2312"/>
          <w:color w:val="000000"/>
          <w:sz w:val="28"/>
          <w:szCs w:val="32"/>
          <w:lang w:val="en-US" w:eastAsia="zh-CN"/>
        </w:rPr>
        <w:t>会投保局</w:t>
      </w:r>
      <w:r>
        <w:rPr>
          <w:rFonts w:hint="eastAsia" w:ascii="仿宋" w:hAnsi="仿宋" w:eastAsia="仿宋" w:cs="仿宋"/>
          <w:color w:val="000000"/>
          <w:sz w:val="28"/>
          <w:szCs w:val="32"/>
          <w:lang w:val="en-US" w:eastAsia="zh-CN"/>
        </w:rPr>
        <w:t>。</w:t>
      </w:r>
    </w:p>
    <w:p>
      <w:pPr>
        <w:keepNext w:val="0"/>
        <w:keepLines w:val="0"/>
        <w:widowControl/>
        <w:suppressLineNumbers w:val="0"/>
        <w:ind w:firstLine="1680" w:firstLineChars="600"/>
        <w:jc w:val="left"/>
        <w:rPr>
          <w:rFonts w:hint="eastAsia" w:ascii="仿宋_GB2312" w:hAnsi="仿宋_GB2312" w:eastAsia="仿宋_GB2312"/>
          <w:color w:val="000000"/>
          <w:sz w:val="28"/>
          <w:szCs w:val="32"/>
        </w:rPr>
      </w:pPr>
      <w:r>
        <w:rPr>
          <w:rFonts w:hint="eastAsia" w:ascii="仿宋_GB2312" w:hAnsi="仿宋_GB2312" w:eastAsia="仿宋_GB2312"/>
          <w:color w:val="000000"/>
          <w:sz w:val="28"/>
          <w:szCs w:val="32"/>
          <w:lang w:eastAsia="zh-CN"/>
        </w:rPr>
        <w:t>存档。</w:t>
      </w:r>
    </w:p>
    <w:p>
      <w:pPr>
        <w:pStyle w:val="9"/>
        <w:spacing w:line="560" w:lineRule="exact"/>
        <w:ind w:left="1600" w:hanging="1400" w:hangingChars="500"/>
        <w:rPr>
          <w:rFonts w:hint="eastAsia" w:ascii="仿宋_GB2312" w:eastAsia="仿宋_GB2312"/>
          <w:color w:val="000000"/>
          <w:sz w:val="28"/>
          <w:szCs w:val="32"/>
        </w:rPr>
      </w:pPr>
      <w:r>
        <w:rPr>
          <w:rFonts w:hint="eastAsia" w:ascii="仿宋_GB2312" w:eastAsia="仿宋_GB2312"/>
          <w:color w:val="000000"/>
          <w:sz w:val="28"/>
          <w:szCs w:val="32"/>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54768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47687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31.25pt;z-index:251687936;mso-width-relative:page;mso-height-relative:page;" filled="f" stroked="t" coordsize="21600,21600" o:gfxdata="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qtkOC0gAAAAIBAAAPAAAAAAAAAAEAIAAAADgAAABkcnMvZG93bnJldi54bWxQSwECFAAU&#10;AAAACACHTuJACm+DGuEBAACnAwAADgAAAAAAAAABACAAAAA3AQAAZHJzL2Uyb0RvYy54bWxQSwUG&#10;AAAAAAYABgBZAQAAigUAAAAA&#10;">
                <v:fill on="f" focussize="0,0"/>
                <v:stroke color="#000000" joinstyle="round"/>
                <v:imagedata o:title=""/>
                <o:lock v:ext="edit" aspectratio="f"/>
              </v:line>
            </w:pict>
          </mc:Fallback>
        </mc:AlternateContent>
      </w:r>
      <w:r>
        <w:rPr>
          <w:rFonts w:hint="eastAsia" w:ascii="仿宋_GB2312" w:eastAsia="仿宋_GB2312"/>
          <w:color w:val="000000"/>
          <w:sz w:val="28"/>
          <w:szCs w:val="32"/>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373380</wp:posOffset>
                </wp:positionV>
                <wp:extent cx="54768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47687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9pt;margin-top:29.4pt;height:0pt;width:431.25pt;z-index:251686912;mso-width-relative:page;mso-height-relative:page;" filled="f" stroked="t" coordsize="21600,21600" o:gfxdata="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Yl4srXAAAACAEAAA8AAAAAAAAAAQAgAAAAOAAAAGRycy9kb3ducmV2LnhtbFBL&#10;AQIUABQAAAAIAIdO4kBfIduE4QEAAKoDAAAOAAAAAAAAAAEAIAAAADwBAABkcnMvZTJvRG9jLnht&#10;bFBLBQYAAAAABgAGAFkBAACPBQAAAAA=&#10;">
                <v:fill on="f" focussize="0,0"/>
                <v:stroke weight="1pt" color="#000000" joinstyle="round"/>
                <v:imagedata o:title=""/>
                <o:lock v:ext="edit" aspectratio="f"/>
              </v:line>
            </w:pict>
          </mc:Fallback>
        </mc:AlternateContent>
      </w:r>
      <w:r>
        <w:rPr>
          <w:rFonts w:hint="eastAsia" w:ascii="仿宋_GB2312" w:eastAsia="仿宋_GB2312"/>
          <w:color w:val="000000"/>
          <w:sz w:val="28"/>
          <w:szCs w:val="32"/>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547687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47687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31.25pt;z-index:251685888;mso-width-relative:page;mso-height-relative:page;" filled="f" stroked="t" coordsize="21600,21600" o:gfxdata="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arZDgtIAAAACAQAADwAAAAAAAAABACAAAAA4AAAAZHJzL2Rvd25yZXYueG1sUEsBAhQA&#10;FAAAAAgAh07iQA07krviAQAAqQMAAA4AAAAAAAAAAQAgAAAANwEAAGRycy9lMm9Eb2MueG1sUEsF&#10;BgAAAAAGAAYAWQEAAIsFAAAAAA==&#10;">
                <v:fill on="f" focussize="0,0"/>
                <v:stroke color="#000000" joinstyle="round"/>
                <v:imagedata o:title=""/>
                <o:lock v:ext="edit" aspectratio="f"/>
              </v:line>
            </w:pict>
          </mc:Fallback>
        </mc:AlternateContent>
      </w:r>
      <w:r>
        <w:rPr>
          <w:rFonts w:hint="eastAsia" w:ascii="仿宋_GB2312" w:eastAsia="仿宋_GB2312"/>
          <w:color w:val="000000"/>
          <w:sz w:val="28"/>
          <w:szCs w:val="32"/>
        </w:rPr>
        <w:t xml:space="preserve">  中国证监会宁夏监管局   </w:t>
      </w:r>
      <w:r>
        <w:rPr>
          <w:rFonts w:hint="eastAsia" w:ascii="仿宋_GB2312" w:eastAsia="仿宋_GB2312"/>
          <w:color w:val="000000"/>
          <w:sz w:val="28"/>
          <w:szCs w:val="32"/>
          <w:lang w:val="en-US" w:eastAsia="zh-CN"/>
        </w:rPr>
        <w:t xml:space="preserve">             </w:t>
      </w:r>
      <w:r>
        <w:rPr>
          <w:rFonts w:hint="eastAsia" w:ascii="仿宋_GB2312" w:eastAsia="仿宋_GB2312"/>
          <w:color w:val="000000"/>
          <w:sz w:val="28"/>
          <w:szCs w:val="32"/>
        </w:rPr>
        <w:t>20</w:t>
      </w:r>
      <w:r>
        <w:rPr>
          <w:rFonts w:hint="eastAsia" w:ascii="仿宋_GB2312" w:eastAsia="仿宋_GB2312"/>
          <w:color w:val="000000"/>
          <w:sz w:val="28"/>
          <w:szCs w:val="32"/>
          <w:lang w:val="en-US" w:eastAsia="zh-CN"/>
        </w:rPr>
        <w:t>21</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12</w:t>
      </w:r>
      <w:r>
        <w:rPr>
          <w:rFonts w:hint="eastAsia" w:ascii="仿宋_GB2312" w:eastAsia="仿宋_GB2312"/>
          <w:color w:val="000000"/>
          <w:sz w:val="28"/>
          <w:szCs w:val="32"/>
        </w:rPr>
        <w:t>月</w:t>
      </w:r>
      <w:r>
        <w:rPr>
          <w:rFonts w:hint="default" w:ascii="仿宋_GB2312" w:eastAsia="仿宋_GB2312"/>
          <w:color w:val="000000"/>
          <w:sz w:val="28"/>
          <w:szCs w:val="32"/>
          <w:lang w:val="en" w:eastAsia="zh-CN"/>
        </w:rPr>
        <w:t>20</w:t>
      </w:r>
      <w:r>
        <w:rPr>
          <w:rFonts w:hint="eastAsia" w:ascii="仿宋_GB2312" w:eastAsia="仿宋_GB2312"/>
          <w:color w:val="000000"/>
          <w:sz w:val="28"/>
          <w:szCs w:val="32"/>
        </w:rPr>
        <w:t xml:space="preserve">日印发 </w:t>
      </w:r>
      <w:r>
        <w:rPr>
          <w:rFonts w:hint="eastAsia" w:ascii="仿宋_GB2312" w:eastAsia="仿宋_GB2312"/>
          <w:color w:val="000000"/>
          <w:sz w:val="28"/>
          <w:szCs w:val="32"/>
          <w:lang w:val="en-US" w:eastAsia="zh-CN"/>
        </w:rPr>
        <w:t xml:space="preserve"> </w:t>
      </w:r>
    </w:p>
    <w:p>
      <w:r>
        <w:rPr>
          <w:rFonts w:hint="eastAsia" w:ascii="仿宋_GB2312" w:eastAsia="仿宋_GB2312"/>
          <w:color w:val="000000"/>
          <w:sz w:val="28"/>
          <w:szCs w:val="32"/>
          <w:lang w:val="en-US" w:eastAsia="zh-CN"/>
        </w:rPr>
        <w:t xml:space="preserve">                              </w:t>
      </w:r>
      <w:r>
        <w:rPr>
          <w:rFonts w:hint="eastAsia" w:ascii="仿宋_GB2312"/>
          <w:color w:val="000000"/>
          <w:sz w:val="28"/>
          <w:szCs w:val="32"/>
          <w:lang w:val="en-US" w:eastAsia="zh-CN"/>
        </w:rPr>
        <w:t xml:space="preserve">   </w:t>
      </w:r>
      <w:r>
        <w:rPr>
          <w:rFonts w:hint="eastAsia" w:ascii="仿宋_GB2312" w:eastAsia="仿宋_GB2312"/>
          <w:color w:val="000000"/>
          <w:sz w:val="28"/>
          <w:szCs w:val="32"/>
          <w:lang w:val="en-US" w:eastAsia="zh-CN"/>
        </w:rPr>
        <w:t xml:space="preserve">             </w:t>
      </w:r>
      <w:r>
        <w:rPr>
          <w:rFonts w:hint="eastAsia" w:ascii="仿宋_GB2312" w:eastAsia="仿宋_GB2312"/>
          <w:color w:val="000000"/>
          <w:sz w:val="28"/>
          <w:szCs w:val="32"/>
        </w:rPr>
        <w:t>（共印</w:t>
      </w:r>
      <w:r>
        <w:rPr>
          <w:rFonts w:hint="eastAsia" w:ascii="仿宋_GB2312"/>
          <w:color w:val="000000"/>
          <w:sz w:val="28"/>
          <w:szCs w:val="32"/>
          <w:lang w:val="en-US" w:eastAsia="zh-CN"/>
        </w:rPr>
        <w:t>2</w:t>
      </w:r>
      <w:r>
        <w:rPr>
          <w:rFonts w:hint="eastAsia" w:ascii="仿宋_GB2312" w:eastAsia="仿宋_GB2312"/>
          <w:color w:val="000000"/>
          <w:sz w:val="28"/>
          <w:szCs w:val="32"/>
        </w:rPr>
        <w:t>份）</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魏碑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5C14C67"/>
    <w:rsid w:val="59D7DD19"/>
    <w:rsid w:val="69BFB493"/>
    <w:rsid w:val="6FAF3D9E"/>
    <w:rsid w:val="7F7F0929"/>
    <w:rsid w:val="B57B14DE"/>
    <w:rsid w:val="C4F67EB0"/>
    <w:rsid w:val="C9DEA0E7"/>
    <w:rsid w:val="CDEEF9F3"/>
    <w:rsid w:val="D7B728A6"/>
    <w:rsid w:val="EFB9FD66"/>
    <w:rsid w:val="EFF3425C"/>
    <w:rsid w:val="F7F931B9"/>
    <w:rsid w:val="FDD5B4B9"/>
    <w:rsid w:val="FFBD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New New New New New New New New New New"/>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rPr>
  </w:style>
  <w:style w:type="paragraph" w:customStyle="1" w:styleId="8">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9">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2021-12-17T07:58:00Z</dcterms:created>
  <dc:creator>王小玮：各处室工作人员</dc:creator>
  <cp:lastModifiedBy>马来兄</cp:lastModifiedBy>
  <dcterms:modified xsi:type="dcterms:W3CDTF">2021-12-20T10:28:52Z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