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hAnsi="仿宋_GB2312" w:eastAsia="仿宋_GB2312"/>
          <w:color w:val="FF0000"/>
          <w:sz w:val="32"/>
        </w:rPr>
      </w:pPr>
      <w:r>
        <w:rPr>
          <w:rFonts w:hint="eastAsia" w:ascii="新宋体" w:hAnsi="新宋体" w:eastAsia="新宋体"/>
          <w:b/>
          <w:color w:val="FF0000"/>
          <w:sz w:val="72"/>
        </w:rPr>
        <w:t>中国证券投资基金业协会</w:t>
      </w:r>
    </w:p>
    <w:p>
      <w:pPr>
        <w:jc w:val="left"/>
      </w:pPr>
      <w:r>
        <w:rPr>
          <w:rFonts w:ascii="Times New Roman" w:hAnsi="Times New Roman" w:eastAsia="宋体" w:cs="Times New Roman"/>
          <w:kern w:val="2"/>
          <w:sz w:val="21"/>
          <w:lang w:val="en-US" w:eastAsia="zh-CN" w:bidi="ar-SA"/>
        </w:rPr>
        <w:pict>
          <v:line id="直接连接符 6" o:spid="_x0000_s1026" style="position:absolute;left:0;margin-left:7.4pt;margin-top:10.15pt;height:0.05pt;width:422.25pt;rotation:0f;z-index:251658240;"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pict>
      </w:r>
      <w:r>
        <w:rPr>
          <w:rFonts w:ascii="Times New Roman" w:hAnsi="Times New Roman" w:eastAsia="宋体" w:cs="Times New Roman"/>
          <w:kern w:val="2"/>
          <w:sz w:val="21"/>
          <w:lang w:val="en-US" w:eastAsia="zh-CN" w:bidi="ar-SA"/>
        </w:rPr>
        <w:pict>
          <v:line id="直接连接符 8" o:spid="_x0000_s1027" style="position:absolute;left:0;margin-left:7.25pt;margin-top:7.9pt;height:0.05pt;width:422.25pt;rotation:0f;z-index:251659264;" o:ole="f" fillcolor="#FFFFFF" filled="f" o:preferrelative="t" stroked="t" coordsize="21600,21600">
            <v:fill on="f" color2="#FFFFFF" focus="0%"/>
            <v:stroke color="#FF0000" color2="#FFFFFF" miterlimit="2"/>
            <v:imagedata gain="65536f" blacklevel="0f" gamma="0"/>
            <o:lock v:ext="edit" position="f" selection="f" grouping="f" rotation="f" cropping="f" text="f" aspectratio="f"/>
          </v:line>
        </w:pict>
      </w:r>
      <w:r>
        <w:rPr>
          <w:rFonts w:hint="eastAsia"/>
        </w:rPr>
        <w:t xml:space="preserve">　　                                                                            </w:t>
      </w:r>
    </w:p>
    <w:p>
      <w:pPr>
        <w:spacing w:line="540" w:lineRule="exact"/>
        <w:jc w:val="right"/>
        <w:rPr>
          <w:rFonts w:ascii="黑体" w:hAnsi="黑体" w:eastAsia="黑体" w:cs="宋体"/>
          <w:spacing w:val="-6"/>
          <w:kern w:val="0"/>
          <w:sz w:val="32"/>
          <w:szCs w:val="32"/>
        </w:rPr>
      </w:pPr>
      <w:r>
        <w:rPr>
          <w:rFonts w:hint="eastAsia" w:ascii="仿宋" w:hAnsi="仿宋" w:eastAsia="仿宋" w:cs="宋体"/>
          <w:spacing w:val="-6"/>
          <w:kern w:val="0"/>
          <w:sz w:val="32"/>
          <w:szCs w:val="32"/>
        </w:rPr>
        <w:t>中基协字〔2020〕</w:t>
      </w:r>
      <w:r>
        <w:rPr>
          <w:rFonts w:ascii="仿宋" w:hAnsi="仿宋" w:eastAsia="仿宋" w:cs="宋体"/>
          <w:spacing w:val="-6"/>
          <w:kern w:val="0"/>
          <w:sz w:val="32"/>
          <w:szCs w:val="32"/>
        </w:rPr>
        <w:t>89</w:t>
      </w:r>
      <w:r>
        <w:rPr>
          <w:rFonts w:hint="eastAsia" w:ascii="仿宋" w:hAnsi="仿宋" w:eastAsia="仿宋" w:cs="宋体"/>
          <w:spacing w:val="-6"/>
          <w:kern w:val="0"/>
          <w:sz w:val="32"/>
          <w:szCs w:val="32"/>
        </w:rPr>
        <w:t>号</w:t>
      </w:r>
    </w:p>
    <w:p>
      <w:pPr>
        <w:widowControl/>
        <w:snapToGrid w:val="0"/>
        <w:spacing w:line="520" w:lineRule="exact"/>
        <w:jc w:val="right"/>
        <w:rPr>
          <w:rFonts w:ascii="仿宋" w:hAnsi="仿宋" w:eastAsia="仿宋" w:cs="宋体"/>
          <w:color w:val="000000"/>
          <w:spacing w:val="-6"/>
          <w:kern w:val="0"/>
          <w:sz w:val="32"/>
          <w:szCs w:val="32"/>
        </w:rPr>
      </w:pPr>
    </w:p>
    <w:p>
      <w:pPr>
        <w:spacing w:line="540" w:lineRule="exact"/>
        <w:jc w:val="center"/>
        <w:rPr>
          <w:rFonts w:ascii="宋体" w:hAnsi="宋体" w:eastAsia="宋体"/>
          <w:b/>
          <w:kern w:val="0"/>
          <w:sz w:val="44"/>
          <w:szCs w:val="44"/>
        </w:rPr>
      </w:pPr>
      <w:r>
        <w:rPr>
          <w:rFonts w:hint="eastAsia" w:ascii="宋体" w:hAnsi="宋体" w:eastAsia="宋体"/>
          <w:b/>
          <w:sz w:val="44"/>
          <w:szCs w:val="44"/>
        </w:rPr>
        <w:t>关于注销</w:t>
      </w:r>
      <w:r>
        <w:rPr>
          <w:rFonts w:hint="eastAsia" w:ascii="宋体" w:hAnsi="宋体" w:eastAsia="宋体"/>
          <w:b/>
          <w:kern w:val="0"/>
          <w:sz w:val="44"/>
          <w:szCs w:val="44"/>
        </w:rPr>
        <w:t>民信幸福投资基金管理（北京）</w:t>
      </w:r>
    </w:p>
    <w:p>
      <w:pPr>
        <w:spacing w:line="540" w:lineRule="exact"/>
        <w:jc w:val="center"/>
        <w:rPr>
          <w:rFonts w:ascii="宋体" w:hAnsi="宋体" w:eastAsia="宋体"/>
          <w:b/>
          <w:sz w:val="44"/>
          <w:szCs w:val="44"/>
        </w:rPr>
      </w:pPr>
      <w:r>
        <w:rPr>
          <w:rFonts w:hint="eastAsia" w:ascii="宋体" w:hAnsi="宋体" w:eastAsia="宋体"/>
          <w:b/>
          <w:kern w:val="0"/>
          <w:sz w:val="44"/>
          <w:szCs w:val="44"/>
        </w:rPr>
        <w:t>有限公司等17家</w:t>
      </w:r>
      <w:r>
        <w:rPr>
          <w:rFonts w:hint="eastAsia" w:ascii="宋体" w:hAnsi="宋体" w:eastAsia="宋体"/>
          <w:b/>
          <w:sz w:val="44"/>
          <w:szCs w:val="44"/>
        </w:rPr>
        <w:t>期限届满未提交专项</w:t>
      </w:r>
    </w:p>
    <w:p>
      <w:pPr>
        <w:spacing w:line="540" w:lineRule="exact"/>
        <w:jc w:val="center"/>
        <w:rPr>
          <w:rFonts w:ascii="宋体" w:hAnsi="宋体" w:eastAsia="宋体"/>
          <w:b/>
          <w:sz w:val="44"/>
          <w:szCs w:val="44"/>
        </w:rPr>
      </w:pPr>
      <w:r>
        <w:rPr>
          <w:rFonts w:hint="eastAsia" w:ascii="宋体" w:hAnsi="宋体" w:eastAsia="宋体"/>
          <w:b/>
          <w:sz w:val="44"/>
          <w:szCs w:val="44"/>
        </w:rPr>
        <w:t>法律意见书的私募基金管理人登记的公告</w:t>
      </w:r>
    </w:p>
    <w:p>
      <w:pPr>
        <w:spacing w:line="540" w:lineRule="exact"/>
        <w:jc w:val="center"/>
        <w:rPr>
          <w:rFonts w:ascii="仿宋" w:hAnsi="仿宋" w:eastAsia="仿宋"/>
          <w:color w:val="000000"/>
          <w:sz w:val="32"/>
          <w:szCs w:val="32"/>
        </w:rPr>
      </w:pP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2018年3月</w:t>
      </w:r>
      <w:r>
        <w:rPr>
          <w:rFonts w:ascii="仿宋" w:hAnsi="仿宋" w:eastAsia="仿宋"/>
          <w:color w:val="000000"/>
          <w:sz w:val="32"/>
          <w:szCs w:val="32"/>
        </w:rPr>
        <w:t>27</w:t>
      </w:r>
      <w:r>
        <w:rPr>
          <w:rFonts w:hint="eastAsia" w:ascii="仿宋" w:hAnsi="仿宋" w:eastAsia="仿宋"/>
          <w:color w:val="000000"/>
          <w:sz w:val="32"/>
          <w:szCs w:val="32"/>
        </w:rPr>
        <w:t>日，中国证券投资基金业协会（以下简称“协会”）发布《关于私募基金管理人在异常经营情形下提交专项法律意见书的公告》（中基协发〔2018〕2号，以下</w:t>
      </w:r>
      <w:r>
        <w:rPr>
          <w:rFonts w:ascii="仿宋" w:hAnsi="仿宋" w:eastAsia="仿宋"/>
          <w:color w:val="000000"/>
          <w:sz w:val="32"/>
          <w:szCs w:val="32"/>
        </w:rPr>
        <w:t>简称《</w:t>
      </w:r>
      <w:r>
        <w:rPr>
          <w:rFonts w:hint="eastAsia" w:ascii="仿宋" w:hAnsi="仿宋" w:eastAsia="仿宋"/>
          <w:color w:val="000000"/>
          <w:sz w:val="32"/>
          <w:szCs w:val="32"/>
        </w:rPr>
        <w:t>公告</w:t>
      </w:r>
      <w:r>
        <w:rPr>
          <w:rFonts w:ascii="仿宋" w:hAnsi="仿宋" w:eastAsia="仿宋"/>
          <w:color w:val="000000"/>
          <w:sz w:val="32"/>
          <w:szCs w:val="32"/>
        </w:rPr>
        <w:t>》</w:t>
      </w:r>
      <w:r>
        <w:rPr>
          <w:rFonts w:hint="eastAsia" w:ascii="仿宋" w:hAnsi="仿宋" w:eastAsia="仿宋"/>
          <w:color w:val="000000"/>
          <w:sz w:val="32"/>
          <w:szCs w:val="32"/>
        </w:rPr>
        <w:t>）。《公告》规定，“私募基金管理人未能在书面通知发出后的3个月内提交符合规定的专项法律意见书的，协会将按照《关于进一步规范私募基金管理人登记若干事项的公告》的有关规定予以注销，注销后不得重新登记。”</w:t>
      </w:r>
    </w:p>
    <w:p>
      <w:pPr>
        <w:tabs>
          <w:tab w:val="left" w:pos="5461"/>
        </w:tabs>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现有民信幸福投资基金管理（北京）有限公司等17家</w:t>
      </w:r>
      <w:r>
        <w:rPr>
          <w:rFonts w:hint="eastAsia" w:ascii="仿宋" w:hAnsi="仿宋" w:eastAsia="仿宋"/>
          <w:color w:val="000000"/>
          <w:kern w:val="0"/>
          <w:sz w:val="32"/>
          <w:szCs w:val="32"/>
        </w:rPr>
        <w:t>私募</w:t>
      </w:r>
      <w:r>
        <w:rPr>
          <w:rFonts w:ascii="仿宋" w:hAnsi="仿宋" w:eastAsia="仿宋"/>
          <w:color w:val="000000"/>
          <w:kern w:val="0"/>
          <w:sz w:val="32"/>
          <w:szCs w:val="32"/>
        </w:rPr>
        <w:t>基金管理人</w:t>
      </w:r>
      <w:r>
        <w:rPr>
          <w:rFonts w:hint="eastAsia" w:ascii="仿宋" w:hAnsi="仿宋" w:eastAsia="仿宋"/>
          <w:color w:val="000000"/>
          <w:sz w:val="32"/>
          <w:szCs w:val="32"/>
        </w:rPr>
        <w:t>未能在书面通知发出后的3个月内提交符合规定的专项法律意见书，协会将注销该17</w:t>
      </w:r>
      <w:r>
        <w:rPr>
          <w:rFonts w:ascii="仿宋" w:hAnsi="仿宋" w:eastAsia="仿宋"/>
          <w:color w:val="000000"/>
          <w:sz w:val="32"/>
          <w:szCs w:val="32"/>
        </w:rPr>
        <w:t>家</w:t>
      </w:r>
      <w:r>
        <w:rPr>
          <w:rFonts w:hint="eastAsia" w:ascii="仿宋" w:hAnsi="仿宋" w:eastAsia="仿宋"/>
          <w:color w:val="000000"/>
          <w:sz w:val="32"/>
          <w:szCs w:val="32"/>
        </w:rPr>
        <w:t>机构的</w:t>
      </w:r>
      <w:r>
        <w:rPr>
          <w:rFonts w:ascii="仿宋" w:hAnsi="仿宋" w:eastAsia="仿宋"/>
          <w:color w:val="000000"/>
          <w:sz w:val="32"/>
          <w:szCs w:val="32"/>
        </w:rPr>
        <w:t>私</w:t>
      </w:r>
      <w:r>
        <w:rPr>
          <w:rFonts w:hint="eastAsia" w:ascii="仿宋" w:hAnsi="仿宋" w:eastAsia="仿宋"/>
          <w:color w:val="000000"/>
          <w:sz w:val="32"/>
          <w:szCs w:val="32"/>
        </w:rPr>
        <w:t>募基金管理人登记，并将上述情形录入资本市场诚信档案数据库。已注销的私募基金管理人和相关当事人，应当根据《中华</w:t>
      </w:r>
      <w:r>
        <w:rPr>
          <w:rFonts w:ascii="仿宋" w:hAnsi="仿宋" w:eastAsia="仿宋"/>
          <w:color w:val="000000"/>
          <w:sz w:val="32"/>
          <w:szCs w:val="32"/>
        </w:rPr>
        <w:t>人民共和国</w:t>
      </w:r>
      <w:r>
        <w:rPr>
          <w:rFonts w:hint="eastAsia" w:ascii="仿宋" w:hAnsi="仿宋" w:eastAsia="仿宋"/>
          <w:color w:val="000000"/>
          <w:sz w:val="32"/>
          <w:szCs w:val="32"/>
        </w:rPr>
        <w:t>证券投资基金法》、协会相关自律规则和基金合同约定，妥善处置在管基金财产，依法保障投资者的合法利益。</w:t>
      </w:r>
    </w:p>
    <w:p>
      <w:pPr>
        <w:widowControl/>
        <w:snapToGrid w:val="0"/>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协会提醒投资者持续关注私募基金管理人的诚信合规情况，谨慎做出基金投资决策，通过基金合同约定的纠纷解决机制和相关法律渠道维护自身合法权益。协会将继续秉持“扶优限劣”基本方针，不断完善私募基金行业诚信信息记录积累机制，促进行业合规健康发展。</w:t>
      </w:r>
    </w:p>
    <w:p>
      <w:pPr>
        <w:widowControl/>
        <w:snapToGrid w:val="0"/>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特此公告。</w:t>
      </w:r>
    </w:p>
    <w:p>
      <w:pPr>
        <w:widowControl/>
        <w:snapToGrid w:val="0"/>
        <w:spacing w:line="540" w:lineRule="exact"/>
        <w:ind w:firstLine="640" w:firstLineChars="200"/>
        <w:rPr>
          <w:rFonts w:ascii="仿宋" w:hAnsi="仿宋" w:eastAsia="仿宋"/>
          <w:color w:val="000000"/>
          <w:sz w:val="32"/>
          <w:szCs w:val="32"/>
        </w:rPr>
      </w:pPr>
    </w:p>
    <w:p>
      <w:pPr>
        <w:spacing w:line="540" w:lineRule="exact"/>
        <w:ind w:left="1574" w:leftChars="305" w:hanging="934" w:hangingChars="292"/>
        <w:jc w:val="left"/>
        <w:rPr>
          <w:rFonts w:ascii="仿宋" w:hAnsi="仿宋" w:eastAsia="仿宋"/>
          <w:color w:val="000000"/>
          <w:sz w:val="32"/>
          <w:szCs w:val="32"/>
        </w:rPr>
      </w:pPr>
      <w:r>
        <w:rPr>
          <w:rFonts w:hint="eastAsia" w:ascii="仿宋" w:hAnsi="仿宋" w:eastAsia="仿宋"/>
          <w:color w:val="000000"/>
          <w:sz w:val="32"/>
          <w:szCs w:val="32"/>
        </w:rPr>
        <w:t>附件：期限届满未提交专项法律意见书的私募基金管理人注销登记名单</w:t>
      </w:r>
    </w:p>
    <w:p>
      <w:pPr>
        <w:widowControl/>
        <w:snapToGrid w:val="0"/>
        <w:spacing w:line="540" w:lineRule="exact"/>
        <w:ind w:right="960" w:firstLine="645"/>
        <w:jc w:val="right"/>
        <w:rPr>
          <w:rFonts w:ascii="仿宋" w:hAnsi="仿宋" w:eastAsia="仿宋"/>
          <w:b/>
          <w:color w:val="FF0000"/>
          <w:kern w:val="0"/>
          <w:sz w:val="32"/>
          <w:szCs w:val="32"/>
        </w:rPr>
      </w:pPr>
    </w:p>
    <w:p>
      <w:pPr>
        <w:widowControl/>
        <w:snapToGrid w:val="0"/>
        <w:spacing w:line="540" w:lineRule="exact"/>
        <w:ind w:right="960" w:firstLine="645"/>
        <w:jc w:val="right"/>
        <w:rPr>
          <w:rFonts w:ascii="仿宋" w:hAnsi="仿宋" w:eastAsia="仿宋"/>
          <w:b/>
          <w:color w:val="FF0000"/>
          <w:kern w:val="0"/>
          <w:sz w:val="32"/>
          <w:szCs w:val="32"/>
        </w:rPr>
      </w:pPr>
    </w:p>
    <w:p>
      <w:pPr>
        <w:widowControl/>
        <w:snapToGrid w:val="0"/>
        <w:spacing w:line="540" w:lineRule="exact"/>
        <w:ind w:right="960" w:firstLine="645"/>
        <w:jc w:val="right"/>
        <w:rPr>
          <w:rFonts w:ascii="仿宋" w:hAnsi="仿宋" w:eastAsia="仿宋"/>
          <w:color w:val="000000"/>
          <w:sz w:val="32"/>
          <w:szCs w:val="32"/>
        </w:rPr>
      </w:pPr>
    </w:p>
    <w:p>
      <w:pPr>
        <w:widowControl/>
        <w:snapToGrid w:val="0"/>
        <w:spacing w:line="540" w:lineRule="exact"/>
        <w:ind w:right="320" w:firstLine="645"/>
        <w:jc w:val="right"/>
        <w:rPr>
          <w:rFonts w:ascii="仿宋" w:hAnsi="仿宋" w:eastAsia="仿宋"/>
          <w:color w:val="000000"/>
          <w:sz w:val="32"/>
          <w:szCs w:val="32"/>
        </w:rPr>
      </w:pPr>
      <w:r>
        <w:rPr>
          <w:rFonts w:hint="eastAsia" w:ascii="仿宋" w:hAnsi="仿宋" w:eastAsia="仿宋"/>
          <w:color w:val="000000"/>
          <w:sz w:val="32"/>
          <w:szCs w:val="32"/>
        </w:rPr>
        <w:t>中国证券投资基金业协会</w:t>
      </w:r>
    </w:p>
    <w:p>
      <w:pPr>
        <w:widowControl/>
        <w:wordWrap w:val="0"/>
        <w:snapToGrid w:val="0"/>
        <w:spacing w:line="540" w:lineRule="exact"/>
        <w:ind w:right="508"/>
        <w:jc w:val="right"/>
        <w:rPr>
          <w:rFonts w:ascii="仿宋" w:hAnsi="仿宋" w:eastAsia="仿宋"/>
          <w:color w:val="000000"/>
          <w:sz w:val="32"/>
          <w:szCs w:val="32"/>
        </w:rPr>
      </w:pPr>
      <w:r>
        <w:rPr>
          <w:rFonts w:hint="eastAsia" w:ascii="仿宋" w:hAnsi="仿宋" w:eastAsia="仿宋"/>
          <w:color w:val="000000"/>
          <w:sz w:val="32"/>
          <w:szCs w:val="32"/>
        </w:rPr>
        <w:t>二〇二〇年七月二日</w:t>
      </w:r>
    </w:p>
    <w:p>
      <w:pPr>
        <w:widowControl/>
        <w:jc w:val="left"/>
        <w:rPr>
          <w:rFonts w:ascii="仿宋" w:hAnsi="仿宋" w:eastAsia="仿宋"/>
          <w:b/>
          <w:color w:val="000000"/>
          <w:sz w:val="32"/>
          <w:szCs w:val="32"/>
        </w:rPr>
      </w:pPr>
      <w:r>
        <w:rPr>
          <w:rFonts w:ascii="仿宋" w:hAnsi="仿宋" w:eastAsia="仿宋"/>
          <w:b/>
          <w:color w:val="000000"/>
          <w:sz w:val="32"/>
          <w:szCs w:val="32"/>
        </w:rPr>
        <w:br w:type="page"/>
      </w:r>
    </w:p>
    <w:p>
      <w:pPr>
        <w:jc w:val="left"/>
        <w:rPr>
          <w:rFonts w:ascii="黑体" w:hAnsi="黑体" w:eastAsia="黑体" w:cs="华文仿宋"/>
          <w:bCs/>
          <w:color w:val="000000"/>
          <w:sz w:val="30"/>
          <w:szCs w:val="30"/>
        </w:rPr>
      </w:pPr>
      <w:r>
        <w:rPr>
          <w:rFonts w:hint="eastAsia" w:ascii="黑体" w:hAnsi="黑体" w:eastAsia="黑体" w:cs="华文仿宋"/>
          <w:bCs/>
          <w:color w:val="000000"/>
          <w:sz w:val="30"/>
          <w:szCs w:val="30"/>
        </w:rPr>
        <w:t>附件</w:t>
      </w:r>
    </w:p>
    <w:tbl>
      <w:tblPr>
        <w:tblStyle w:val="7"/>
        <w:tblpPr w:leftFromText="180" w:rightFromText="180" w:vertAnchor="text" w:tblpX="-528" w:tblpY="1"/>
        <w:tblOverlap w:val="neve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103"/>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747" w:type="dxa"/>
            <w:gridSpan w:val="4"/>
            <w:vAlign w:val="center"/>
          </w:tcPr>
          <w:p>
            <w:pPr>
              <w:widowControl/>
              <w:jc w:val="center"/>
              <w:rPr>
                <w:rFonts w:ascii="宋体" w:hAnsi="宋体" w:cs="宋体"/>
                <w:b/>
                <w:bCs/>
                <w:color w:val="000000"/>
                <w:kern w:val="0"/>
                <w:sz w:val="24"/>
                <w:szCs w:val="22"/>
              </w:rPr>
            </w:pPr>
            <w:r>
              <w:rPr>
                <w:rFonts w:hint="eastAsia" w:ascii="宋体" w:hAnsi="宋体" w:cs="华文仿宋"/>
                <w:b/>
                <w:bCs/>
                <w:color w:val="000000"/>
                <w:sz w:val="28"/>
                <w:szCs w:val="30"/>
              </w:rPr>
              <w:t>期限届满未提交专项法律意见书的私募基金管理人注销登记名单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75"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5103"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机构名称</w:t>
            </w:r>
          </w:p>
        </w:tc>
        <w:tc>
          <w:tcPr>
            <w:tcW w:w="2551"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统一社会信用代码</w:t>
            </w:r>
          </w:p>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/组织机构代码/注册号</w:t>
            </w:r>
          </w:p>
        </w:tc>
        <w:tc>
          <w:tcPr>
            <w:tcW w:w="1418"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通知发送</w:t>
            </w:r>
          </w:p>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民信幸福投资基金管理（北京）有限公司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911101050855357677</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长沙联创永锋投资管理合伙企业（有限合伙）</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9143010058279337X5</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赛伯乐绿科南京投资管理有限公司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913200003140904675</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上海星黔投资有限公司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91310115301398649A</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北京华致基金管理有限公司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91110105330375665X</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上海帝德投资管理有限公司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9131000032463339XB</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天津暴风创新投资管理有限公司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91120116MA0665455E</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长沙红森林资产管理有限公司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91430105091994986Q</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上海甚信股权投资基金管理有限公司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91310000MA1FL0A00F</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北京非凡领驭投资管理有限公司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9111010506729439XF</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上海宏驰股权投资基金管理有限公司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913100003245008293</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深圳国民基金管理有限公司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91440300070364766G</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广州汉锦资产管理有限公司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91440106304419206N</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北京信诚达融资产管理有限公司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91110101330265140U</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b/>
                <w:bCs/>
                <w:color w:val="FF0000"/>
                <w:sz w:val="28"/>
                <w:szCs w:val="28"/>
              </w:rPr>
              <w:t>哈尔滨中兴股权投资基金管理有限公司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912301023011937073</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中科融联投资基金管理（北京）有限公司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911101083356095475</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5" w:type="dxa"/>
            <w:shd w:val="clear" w:color="000000" w:fill="FFFFFF"/>
            <w:vAlign w:val="center"/>
          </w:tcPr>
          <w:p>
            <w:pPr>
              <w:pStyle w:val="8"/>
              <w:numPr>
                <w:ilvl w:val="0"/>
                <w:numId w:val="1"/>
              </w:numPr>
              <w:ind w:firstLineChars="0"/>
              <w:jc w:val="center"/>
              <w:rPr>
                <w:rFonts w:eastAsia="仿宋"/>
                <w:color w:val="000000"/>
                <w:sz w:val="24"/>
                <w:szCs w:val="24"/>
              </w:rPr>
            </w:pPr>
          </w:p>
        </w:tc>
        <w:tc>
          <w:tcPr>
            <w:tcW w:w="5103" w:type="dxa"/>
            <w:shd w:val="clear" w:color="000000" w:fill="FFFFFF"/>
            <w:vAlign w:val="center"/>
          </w:tcPr>
          <w:p>
            <w:pPr>
              <w:jc w:val="center"/>
              <w:rPr>
                <w:rFonts w:ascii="宋体" w:hAnsi="宋体" w:cs="宋体"/>
                <w:color w:val="000000"/>
                <w:sz w:val="22"/>
                <w:szCs w:val="22"/>
              </w:rPr>
            </w:pPr>
            <w:r>
              <w:rPr>
                <w:rFonts w:hint="eastAsia"/>
                <w:color w:val="000000"/>
                <w:sz w:val="22"/>
                <w:szCs w:val="22"/>
              </w:rPr>
              <w:t>北京华建融信资产管理有限公司</w:t>
            </w:r>
          </w:p>
        </w:tc>
        <w:tc>
          <w:tcPr>
            <w:tcW w:w="2551" w:type="dxa"/>
            <w:shd w:val="clear" w:color="000000" w:fill="FFFFFF"/>
            <w:vAlign w:val="center"/>
          </w:tcPr>
          <w:p>
            <w:pPr>
              <w:jc w:val="center"/>
              <w:rPr>
                <w:rFonts w:ascii="宋体" w:hAnsi="宋体" w:cs="宋体"/>
                <w:color w:val="000000"/>
                <w:sz w:val="22"/>
                <w:szCs w:val="22"/>
              </w:rPr>
            </w:pPr>
            <w:r>
              <w:rPr>
                <w:rFonts w:hint="eastAsia"/>
                <w:color w:val="000000"/>
                <w:sz w:val="22"/>
                <w:szCs w:val="22"/>
              </w:rPr>
              <w:t>911101010975597072</w:t>
            </w:r>
          </w:p>
        </w:tc>
        <w:tc>
          <w:tcPr>
            <w:tcW w:w="1418" w:type="dxa"/>
            <w:shd w:val="clear" w:color="000000" w:fill="FFFFFF"/>
            <w:vAlign w:val="center"/>
          </w:tcPr>
          <w:p>
            <w:pPr>
              <w:jc w:val="center"/>
              <w:rPr>
                <w:rFonts w:ascii="宋体" w:hAnsi="宋体" w:cs="宋体"/>
                <w:color w:val="000000"/>
                <w:sz w:val="22"/>
                <w:szCs w:val="22"/>
              </w:rPr>
            </w:pPr>
            <w:r>
              <w:rPr>
                <w:rFonts w:hint="eastAsia"/>
                <w:color w:val="000000"/>
                <w:sz w:val="22"/>
                <w:szCs w:val="22"/>
              </w:rPr>
              <w:t>2019/9/26</w:t>
            </w:r>
          </w:p>
        </w:tc>
      </w:tr>
    </w:tbl>
    <w:p>
      <w:pPr>
        <w:widowControl/>
        <w:snapToGrid w:val="0"/>
        <w:spacing w:line="540" w:lineRule="exact"/>
        <w:ind w:right="2246"/>
        <w:rPr>
          <w:rFonts w:ascii="仿宋_GB2312" w:hAnsi="宋体" w:eastAsia="仿宋_GB2312"/>
          <w:b/>
          <w:sz w:val="32"/>
          <w:szCs w:val="32"/>
        </w:rPr>
      </w:pPr>
      <w:bookmarkStart w:id="0" w:name="_GoBack"/>
      <w:bookmarkEnd w:id="0"/>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75215">
    <w:nsid w:val="01431BAF"/>
    <w:multiLevelType w:val="multilevel"/>
    <w:tmpl w:val="01431BAF"/>
    <w:lvl w:ilvl="0" w:tentative="1">
      <w:start w:val="1"/>
      <w:numFmt w:val="decimal"/>
      <w:suff w:val="nothing"/>
      <w:lvlText w:val="%1"/>
      <w:lvlJc w:val="center"/>
      <w:pPr>
        <w:ind w:left="0" w:firstLine="0"/>
      </w:pPr>
      <w:rPr>
        <w:rFonts w:hint="eastAsia"/>
      </w:rPr>
    </w:lvl>
    <w:lvl w:ilvl="1" w:tentative="1">
      <w:start w:val="1"/>
      <w:numFmt w:val="lowerLetter"/>
      <w:lvlText w:val="%2)"/>
      <w:lvlJc w:val="left"/>
      <w:pPr>
        <w:ind w:left="0" w:firstLine="0"/>
      </w:pPr>
      <w:rPr>
        <w:rFonts w:hint="eastAsia"/>
      </w:rPr>
    </w:lvl>
    <w:lvl w:ilvl="2" w:tentative="1">
      <w:start w:val="1"/>
      <w:numFmt w:val="lowerRoman"/>
      <w:lvlText w:val="%3."/>
      <w:lvlJc w:val="right"/>
      <w:pPr>
        <w:ind w:left="0" w:firstLine="0"/>
      </w:pPr>
      <w:rPr>
        <w:rFonts w:hint="eastAsia"/>
      </w:rPr>
    </w:lvl>
    <w:lvl w:ilvl="3" w:tentative="1">
      <w:start w:val="1"/>
      <w:numFmt w:val="decimal"/>
      <w:lvlText w:val="%4."/>
      <w:lvlJc w:val="left"/>
      <w:pPr>
        <w:ind w:left="0" w:firstLine="0"/>
      </w:pPr>
      <w:rPr>
        <w:rFonts w:hint="eastAsia"/>
      </w:rPr>
    </w:lvl>
    <w:lvl w:ilvl="4" w:tentative="1">
      <w:start w:val="1"/>
      <w:numFmt w:val="lowerLetter"/>
      <w:lvlText w:val="%5)"/>
      <w:lvlJc w:val="left"/>
      <w:pPr>
        <w:ind w:left="0" w:firstLine="0"/>
      </w:pPr>
      <w:rPr>
        <w:rFonts w:hint="eastAsia"/>
      </w:rPr>
    </w:lvl>
    <w:lvl w:ilvl="5" w:tentative="1">
      <w:start w:val="1"/>
      <w:numFmt w:val="lowerRoman"/>
      <w:lvlText w:val="%6."/>
      <w:lvlJc w:val="right"/>
      <w:pPr>
        <w:ind w:left="0" w:firstLine="0"/>
      </w:pPr>
      <w:rPr>
        <w:rFonts w:hint="eastAsia"/>
      </w:rPr>
    </w:lvl>
    <w:lvl w:ilvl="6" w:tentative="1">
      <w:start w:val="1"/>
      <w:numFmt w:val="decimal"/>
      <w:lvlText w:val="%7."/>
      <w:lvlJc w:val="left"/>
      <w:pPr>
        <w:ind w:left="0" w:firstLine="0"/>
      </w:pPr>
      <w:rPr>
        <w:rFonts w:hint="eastAsia"/>
      </w:rPr>
    </w:lvl>
    <w:lvl w:ilvl="7" w:tentative="1">
      <w:start w:val="1"/>
      <w:numFmt w:val="lowerLetter"/>
      <w:lvlText w:val="%8)"/>
      <w:lvlJc w:val="left"/>
      <w:pPr>
        <w:ind w:left="0" w:firstLine="0"/>
      </w:pPr>
      <w:rPr>
        <w:rFonts w:hint="eastAsia"/>
      </w:rPr>
    </w:lvl>
    <w:lvl w:ilvl="8" w:tentative="1">
      <w:start w:val="1"/>
      <w:numFmt w:val="lowerRoman"/>
      <w:lvlText w:val="%9."/>
      <w:lvlJc w:val="right"/>
      <w:pPr>
        <w:ind w:left="0" w:firstLine="0"/>
      </w:pPr>
      <w:rPr>
        <w:rFonts w:hint="eastAsia"/>
      </w:rPr>
    </w:lvl>
  </w:abstractNum>
  <w:num w:numId="1">
    <w:abstractNumId w:val="211752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35DCD"/>
    <w:rsid w:val="00022E94"/>
    <w:rsid w:val="00040694"/>
    <w:rsid w:val="00041140"/>
    <w:rsid w:val="0005303B"/>
    <w:rsid w:val="00055B20"/>
    <w:rsid w:val="00065632"/>
    <w:rsid w:val="000715A9"/>
    <w:rsid w:val="0007289B"/>
    <w:rsid w:val="00072FDB"/>
    <w:rsid w:val="00084270"/>
    <w:rsid w:val="00085808"/>
    <w:rsid w:val="0009044E"/>
    <w:rsid w:val="00092800"/>
    <w:rsid w:val="00096402"/>
    <w:rsid w:val="000965A2"/>
    <w:rsid w:val="00096A48"/>
    <w:rsid w:val="000B35A6"/>
    <w:rsid w:val="000C310E"/>
    <w:rsid w:val="000C5FA5"/>
    <w:rsid w:val="000E0989"/>
    <w:rsid w:val="000E2712"/>
    <w:rsid w:val="000E379C"/>
    <w:rsid w:val="000E3EB0"/>
    <w:rsid w:val="000F3BD3"/>
    <w:rsid w:val="000F6983"/>
    <w:rsid w:val="000F769E"/>
    <w:rsid w:val="001006F9"/>
    <w:rsid w:val="00130D53"/>
    <w:rsid w:val="0013134A"/>
    <w:rsid w:val="001347AC"/>
    <w:rsid w:val="00136585"/>
    <w:rsid w:val="001469B1"/>
    <w:rsid w:val="001474BA"/>
    <w:rsid w:val="00147564"/>
    <w:rsid w:val="00155156"/>
    <w:rsid w:val="00165112"/>
    <w:rsid w:val="00173241"/>
    <w:rsid w:val="00174F17"/>
    <w:rsid w:val="00176D8B"/>
    <w:rsid w:val="00182DF1"/>
    <w:rsid w:val="00182F6F"/>
    <w:rsid w:val="00185DB0"/>
    <w:rsid w:val="00192D6E"/>
    <w:rsid w:val="001B1C27"/>
    <w:rsid w:val="001B668B"/>
    <w:rsid w:val="001B7FF9"/>
    <w:rsid w:val="001D017A"/>
    <w:rsid w:val="001E7C43"/>
    <w:rsid w:val="001F22E6"/>
    <w:rsid w:val="001F551B"/>
    <w:rsid w:val="00224C39"/>
    <w:rsid w:val="00226DBB"/>
    <w:rsid w:val="002277B8"/>
    <w:rsid w:val="002403C1"/>
    <w:rsid w:val="00244D10"/>
    <w:rsid w:val="00250BC5"/>
    <w:rsid w:val="00250D96"/>
    <w:rsid w:val="002642C5"/>
    <w:rsid w:val="00282696"/>
    <w:rsid w:val="0029476D"/>
    <w:rsid w:val="002A32E8"/>
    <w:rsid w:val="002A76F9"/>
    <w:rsid w:val="002B1B25"/>
    <w:rsid w:val="002B61C1"/>
    <w:rsid w:val="002C385E"/>
    <w:rsid w:val="002C6D53"/>
    <w:rsid w:val="002D7ACD"/>
    <w:rsid w:val="002F149E"/>
    <w:rsid w:val="002F27A0"/>
    <w:rsid w:val="002F3E8D"/>
    <w:rsid w:val="00302583"/>
    <w:rsid w:val="00312900"/>
    <w:rsid w:val="0031698F"/>
    <w:rsid w:val="0032484B"/>
    <w:rsid w:val="0032648D"/>
    <w:rsid w:val="003277AF"/>
    <w:rsid w:val="00334365"/>
    <w:rsid w:val="003415C8"/>
    <w:rsid w:val="00345061"/>
    <w:rsid w:val="003536E2"/>
    <w:rsid w:val="00356EF8"/>
    <w:rsid w:val="00357040"/>
    <w:rsid w:val="00360352"/>
    <w:rsid w:val="00360A72"/>
    <w:rsid w:val="003666FE"/>
    <w:rsid w:val="00367C5C"/>
    <w:rsid w:val="00385137"/>
    <w:rsid w:val="00394EB9"/>
    <w:rsid w:val="0039568A"/>
    <w:rsid w:val="003A6B35"/>
    <w:rsid w:val="003B03F7"/>
    <w:rsid w:val="003B127F"/>
    <w:rsid w:val="003C037F"/>
    <w:rsid w:val="003D319E"/>
    <w:rsid w:val="003E1C6B"/>
    <w:rsid w:val="003E2879"/>
    <w:rsid w:val="003F6837"/>
    <w:rsid w:val="004126C5"/>
    <w:rsid w:val="004174FA"/>
    <w:rsid w:val="00440A7D"/>
    <w:rsid w:val="00443FD6"/>
    <w:rsid w:val="00460623"/>
    <w:rsid w:val="00466C3B"/>
    <w:rsid w:val="00471EA0"/>
    <w:rsid w:val="00475167"/>
    <w:rsid w:val="00476972"/>
    <w:rsid w:val="00481B11"/>
    <w:rsid w:val="004827EC"/>
    <w:rsid w:val="0049079D"/>
    <w:rsid w:val="00497875"/>
    <w:rsid w:val="004B119F"/>
    <w:rsid w:val="004B2889"/>
    <w:rsid w:val="004C115C"/>
    <w:rsid w:val="004C2A81"/>
    <w:rsid w:val="004D7B0B"/>
    <w:rsid w:val="004E0049"/>
    <w:rsid w:val="004E2F1E"/>
    <w:rsid w:val="004E381D"/>
    <w:rsid w:val="004F0F63"/>
    <w:rsid w:val="004F66F0"/>
    <w:rsid w:val="004F6A72"/>
    <w:rsid w:val="0051139F"/>
    <w:rsid w:val="00516691"/>
    <w:rsid w:val="0051709D"/>
    <w:rsid w:val="00522474"/>
    <w:rsid w:val="005242E2"/>
    <w:rsid w:val="005267D3"/>
    <w:rsid w:val="005313A2"/>
    <w:rsid w:val="00533569"/>
    <w:rsid w:val="00540021"/>
    <w:rsid w:val="005521EB"/>
    <w:rsid w:val="005533C6"/>
    <w:rsid w:val="005632EE"/>
    <w:rsid w:val="005678BD"/>
    <w:rsid w:val="005808DF"/>
    <w:rsid w:val="00586E85"/>
    <w:rsid w:val="005A22AA"/>
    <w:rsid w:val="005A3C9D"/>
    <w:rsid w:val="005B2F3E"/>
    <w:rsid w:val="005C1512"/>
    <w:rsid w:val="005C316D"/>
    <w:rsid w:val="005D35B1"/>
    <w:rsid w:val="005D73EA"/>
    <w:rsid w:val="005E44FD"/>
    <w:rsid w:val="005F4B66"/>
    <w:rsid w:val="00600B99"/>
    <w:rsid w:val="00605DF5"/>
    <w:rsid w:val="006126BA"/>
    <w:rsid w:val="006212C5"/>
    <w:rsid w:val="00624E35"/>
    <w:rsid w:val="0063377A"/>
    <w:rsid w:val="00635988"/>
    <w:rsid w:val="00635D64"/>
    <w:rsid w:val="00641F02"/>
    <w:rsid w:val="006460BC"/>
    <w:rsid w:val="0066217A"/>
    <w:rsid w:val="0067444B"/>
    <w:rsid w:val="0067629D"/>
    <w:rsid w:val="00676517"/>
    <w:rsid w:val="00687224"/>
    <w:rsid w:val="006B091F"/>
    <w:rsid w:val="006B6A77"/>
    <w:rsid w:val="006B6AA1"/>
    <w:rsid w:val="006F4452"/>
    <w:rsid w:val="00701048"/>
    <w:rsid w:val="007034F9"/>
    <w:rsid w:val="00722844"/>
    <w:rsid w:val="00731DFF"/>
    <w:rsid w:val="00744D59"/>
    <w:rsid w:val="00747A36"/>
    <w:rsid w:val="00755554"/>
    <w:rsid w:val="007714DE"/>
    <w:rsid w:val="00780079"/>
    <w:rsid w:val="00780593"/>
    <w:rsid w:val="007901FE"/>
    <w:rsid w:val="007906F7"/>
    <w:rsid w:val="00795551"/>
    <w:rsid w:val="00796B75"/>
    <w:rsid w:val="007A77C4"/>
    <w:rsid w:val="007A7926"/>
    <w:rsid w:val="007B001C"/>
    <w:rsid w:val="007B44AA"/>
    <w:rsid w:val="007C185E"/>
    <w:rsid w:val="007C70F1"/>
    <w:rsid w:val="007D1349"/>
    <w:rsid w:val="007D1F82"/>
    <w:rsid w:val="007E2997"/>
    <w:rsid w:val="007F1AF3"/>
    <w:rsid w:val="00803A9C"/>
    <w:rsid w:val="008068CF"/>
    <w:rsid w:val="00811A65"/>
    <w:rsid w:val="00817AE5"/>
    <w:rsid w:val="00821AC8"/>
    <w:rsid w:val="008341FE"/>
    <w:rsid w:val="00835DCD"/>
    <w:rsid w:val="00845AB6"/>
    <w:rsid w:val="00862C33"/>
    <w:rsid w:val="00862E99"/>
    <w:rsid w:val="008634D0"/>
    <w:rsid w:val="0086605A"/>
    <w:rsid w:val="00867C13"/>
    <w:rsid w:val="00872F84"/>
    <w:rsid w:val="008738A7"/>
    <w:rsid w:val="00876E4C"/>
    <w:rsid w:val="008778E4"/>
    <w:rsid w:val="008779A7"/>
    <w:rsid w:val="00895F41"/>
    <w:rsid w:val="00896675"/>
    <w:rsid w:val="00897A47"/>
    <w:rsid w:val="008A09FE"/>
    <w:rsid w:val="008A34DA"/>
    <w:rsid w:val="008A3832"/>
    <w:rsid w:val="008A6096"/>
    <w:rsid w:val="008B0DFD"/>
    <w:rsid w:val="008C45F2"/>
    <w:rsid w:val="008C538D"/>
    <w:rsid w:val="008D07F9"/>
    <w:rsid w:val="008D24FB"/>
    <w:rsid w:val="008E3165"/>
    <w:rsid w:val="008E5AD1"/>
    <w:rsid w:val="00903DC9"/>
    <w:rsid w:val="00911ADA"/>
    <w:rsid w:val="00922C84"/>
    <w:rsid w:val="00926824"/>
    <w:rsid w:val="00926874"/>
    <w:rsid w:val="00930620"/>
    <w:rsid w:val="00932B69"/>
    <w:rsid w:val="00934CCB"/>
    <w:rsid w:val="00944280"/>
    <w:rsid w:val="00946E18"/>
    <w:rsid w:val="00947714"/>
    <w:rsid w:val="009477F0"/>
    <w:rsid w:val="0095364F"/>
    <w:rsid w:val="009666AB"/>
    <w:rsid w:val="00990C2F"/>
    <w:rsid w:val="00990E46"/>
    <w:rsid w:val="009960C6"/>
    <w:rsid w:val="009A0B87"/>
    <w:rsid w:val="009A69B2"/>
    <w:rsid w:val="009C07AD"/>
    <w:rsid w:val="009C13E6"/>
    <w:rsid w:val="009D2FEA"/>
    <w:rsid w:val="009D560F"/>
    <w:rsid w:val="009D61EE"/>
    <w:rsid w:val="009D6E7F"/>
    <w:rsid w:val="009F2305"/>
    <w:rsid w:val="009F4DD9"/>
    <w:rsid w:val="009F76A3"/>
    <w:rsid w:val="00A15C1D"/>
    <w:rsid w:val="00A26898"/>
    <w:rsid w:val="00A42DC2"/>
    <w:rsid w:val="00A55E86"/>
    <w:rsid w:val="00A5778F"/>
    <w:rsid w:val="00A64F0A"/>
    <w:rsid w:val="00A771BE"/>
    <w:rsid w:val="00A777E8"/>
    <w:rsid w:val="00A80F04"/>
    <w:rsid w:val="00A83019"/>
    <w:rsid w:val="00A905EE"/>
    <w:rsid w:val="00A9445E"/>
    <w:rsid w:val="00A95765"/>
    <w:rsid w:val="00A95FCD"/>
    <w:rsid w:val="00AA1E83"/>
    <w:rsid w:val="00AA3873"/>
    <w:rsid w:val="00AA4F3C"/>
    <w:rsid w:val="00AA6554"/>
    <w:rsid w:val="00AB1309"/>
    <w:rsid w:val="00AD30CD"/>
    <w:rsid w:val="00AE261E"/>
    <w:rsid w:val="00AE2BF1"/>
    <w:rsid w:val="00AF1506"/>
    <w:rsid w:val="00B045EA"/>
    <w:rsid w:val="00B07D09"/>
    <w:rsid w:val="00B22C7A"/>
    <w:rsid w:val="00B2300C"/>
    <w:rsid w:val="00B356B3"/>
    <w:rsid w:val="00B5003C"/>
    <w:rsid w:val="00B51DBE"/>
    <w:rsid w:val="00B63455"/>
    <w:rsid w:val="00B63563"/>
    <w:rsid w:val="00B86853"/>
    <w:rsid w:val="00BA5DDE"/>
    <w:rsid w:val="00BC6F9B"/>
    <w:rsid w:val="00BF37C2"/>
    <w:rsid w:val="00BF5501"/>
    <w:rsid w:val="00BF5C78"/>
    <w:rsid w:val="00C0232E"/>
    <w:rsid w:val="00C07053"/>
    <w:rsid w:val="00C10146"/>
    <w:rsid w:val="00C253D3"/>
    <w:rsid w:val="00C25FE0"/>
    <w:rsid w:val="00C26134"/>
    <w:rsid w:val="00C3162D"/>
    <w:rsid w:val="00C327FD"/>
    <w:rsid w:val="00C42D0C"/>
    <w:rsid w:val="00C43076"/>
    <w:rsid w:val="00C471CB"/>
    <w:rsid w:val="00C53037"/>
    <w:rsid w:val="00C56438"/>
    <w:rsid w:val="00C6287B"/>
    <w:rsid w:val="00C64535"/>
    <w:rsid w:val="00C66965"/>
    <w:rsid w:val="00C704C5"/>
    <w:rsid w:val="00C717FF"/>
    <w:rsid w:val="00C731DB"/>
    <w:rsid w:val="00C73FD6"/>
    <w:rsid w:val="00C851EA"/>
    <w:rsid w:val="00C86FD2"/>
    <w:rsid w:val="00C9115B"/>
    <w:rsid w:val="00C937D3"/>
    <w:rsid w:val="00C94062"/>
    <w:rsid w:val="00CA2A15"/>
    <w:rsid w:val="00CA3F7A"/>
    <w:rsid w:val="00CA5087"/>
    <w:rsid w:val="00CA6C82"/>
    <w:rsid w:val="00CB0FF5"/>
    <w:rsid w:val="00CC0B70"/>
    <w:rsid w:val="00CD06A7"/>
    <w:rsid w:val="00CD2095"/>
    <w:rsid w:val="00CD48A3"/>
    <w:rsid w:val="00CD6654"/>
    <w:rsid w:val="00CE343F"/>
    <w:rsid w:val="00CE7795"/>
    <w:rsid w:val="00CF29EF"/>
    <w:rsid w:val="00CF53CB"/>
    <w:rsid w:val="00CF5D7B"/>
    <w:rsid w:val="00D119DD"/>
    <w:rsid w:val="00D149A2"/>
    <w:rsid w:val="00D21CD3"/>
    <w:rsid w:val="00D24824"/>
    <w:rsid w:val="00D25E01"/>
    <w:rsid w:val="00D26419"/>
    <w:rsid w:val="00D42B69"/>
    <w:rsid w:val="00D4712D"/>
    <w:rsid w:val="00D51CA8"/>
    <w:rsid w:val="00D5319F"/>
    <w:rsid w:val="00D55EF1"/>
    <w:rsid w:val="00D618A3"/>
    <w:rsid w:val="00D81B6C"/>
    <w:rsid w:val="00D84525"/>
    <w:rsid w:val="00D91AE7"/>
    <w:rsid w:val="00D95995"/>
    <w:rsid w:val="00DA4F0D"/>
    <w:rsid w:val="00DB384C"/>
    <w:rsid w:val="00DB554C"/>
    <w:rsid w:val="00DC4228"/>
    <w:rsid w:val="00DD0AD2"/>
    <w:rsid w:val="00DD1329"/>
    <w:rsid w:val="00DD73B8"/>
    <w:rsid w:val="00DE3C6E"/>
    <w:rsid w:val="00DF7AC4"/>
    <w:rsid w:val="00E027BF"/>
    <w:rsid w:val="00E265EE"/>
    <w:rsid w:val="00E34673"/>
    <w:rsid w:val="00E415AE"/>
    <w:rsid w:val="00E435B3"/>
    <w:rsid w:val="00E4479E"/>
    <w:rsid w:val="00E604E7"/>
    <w:rsid w:val="00E62F42"/>
    <w:rsid w:val="00E63168"/>
    <w:rsid w:val="00E66003"/>
    <w:rsid w:val="00E720D9"/>
    <w:rsid w:val="00E74964"/>
    <w:rsid w:val="00E835F0"/>
    <w:rsid w:val="00E90F9D"/>
    <w:rsid w:val="00E94101"/>
    <w:rsid w:val="00E97D27"/>
    <w:rsid w:val="00EA226C"/>
    <w:rsid w:val="00EA5E2C"/>
    <w:rsid w:val="00EB1943"/>
    <w:rsid w:val="00EB5EC7"/>
    <w:rsid w:val="00EC3E6F"/>
    <w:rsid w:val="00EC6E3D"/>
    <w:rsid w:val="00ED021C"/>
    <w:rsid w:val="00ED45EE"/>
    <w:rsid w:val="00ED5DC6"/>
    <w:rsid w:val="00EF0C85"/>
    <w:rsid w:val="00EF5D2D"/>
    <w:rsid w:val="00EF7F64"/>
    <w:rsid w:val="00F0728C"/>
    <w:rsid w:val="00F10E58"/>
    <w:rsid w:val="00F2091C"/>
    <w:rsid w:val="00F2109B"/>
    <w:rsid w:val="00F22332"/>
    <w:rsid w:val="00F25278"/>
    <w:rsid w:val="00F41779"/>
    <w:rsid w:val="00F45634"/>
    <w:rsid w:val="00F55BED"/>
    <w:rsid w:val="00F606F7"/>
    <w:rsid w:val="00F7001F"/>
    <w:rsid w:val="00F73031"/>
    <w:rsid w:val="00F851AC"/>
    <w:rsid w:val="00F86A9D"/>
    <w:rsid w:val="00F93AF7"/>
    <w:rsid w:val="00FA1434"/>
    <w:rsid w:val="00FA21BE"/>
    <w:rsid w:val="00FA234B"/>
    <w:rsid w:val="00FA2AA2"/>
    <w:rsid w:val="00FA3461"/>
    <w:rsid w:val="00FA5EE3"/>
    <w:rsid w:val="00FA72C4"/>
    <w:rsid w:val="00FB0951"/>
    <w:rsid w:val="00FB3BA6"/>
    <w:rsid w:val="00FB405A"/>
    <w:rsid w:val="00FC1C79"/>
    <w:rsid w:val="00FD0814"/>
    <w:rsid w:val="00FE6A00"/>
    <w:rsid w:val="24A56E7D"/>
    <w:rsid w:val="5A4E25DA"/>
    <w:rsid w:val="737F927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6">
    <w:name w:val="Hyperlink"/>
    <w:basedOn w:val="5"/>
    <w:unhideWhenUsed/>
    <w:qFormat/>
    <w:uiPriority w:val="99"/>
    <w:rPr>
      <w:color w:val="0000FF"/>
      <w:u w:val="single"/>
    </w:rPr>
  </w:style>
  <w:style w:type="paragraph" w:customStyle="1" w:styleId="8">
    <w:name w:val="列出段落1"/>
    <w:basedOn w:val="1"/>
    <w:qFormat/>
    <w:uiPriority w:val="34"/>
    <w:pPr>
      <w:ind w:firstLine="420" w:firstLineChars="200"/>
    </w:p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character" w:customStyle="1" w:styleId="11">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236</Words>
  <Characters>1348</Characters>
  <Lines>11</Lines>
  <Paragraphs>3</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2020-07-03T01:29:00Z</dcterms:created>
  <dc:creator>种世彬:返回拟稿人</dc:creator>
  <cp:lastModifiedBy>段清文：拟稿</cp:lastModifiedBy>
  <cp:lastPrinted>2018-09-13T13:27:00Z</cp:lastPrinted>
  <dcterms:modified xsi:type="dcterms:W3CDTF">2020-07-09T01:24:52Z</dcterms:modified>
  <dc:title>中国证券投资基金业协会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