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68"/>
          <w:szCs w:val="68"/>
        </w:rPr>
      </w:pPr>
    </w:p>
    <w:p>
      <w:pPr>
        <w:spacing w:line="360" w:lineRule="auto"/>
        <w:jc w:val="center"/>
        <w:rPr>
          <w:rFonts w:ascii="仿宋_GB2312" w:hAnsi="宋体" w:eastAsia="仿宋_GB2312"/>
          <w:sz w:val="32"/>
          <w:szCs w:val="32"/>
        </w:rPr>
      </w:pPr>
      <w:r>
        <w:rPr>
          <w:rFonts w:hint="eastAsia" w:ascii="宋体" w:hAnsi="宋体"/>
          <w:b/>
          <w:sz w:val="68"/>
          <w:szCs w:val="68"/>
        </w:rPr>
        <w:t>贵州辖区证券期货市场概况</w:t>
      </w: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default" w:ascii="仿宋_GB2312" w:hAnsi="宋体" w:eastAsia="仿宋_GB2312"/>
          <w:sz w:val="32"/>
          <w:szCs w:val="32"/>
          <w:lang w:val="en" w:eastAsia="zh-CN"/>
        </w:rPr>
        <w:t>10</w:t>
      </w:r>
      <w:r>
        <w:rPr>
          <w:rFonts w:hint="eastAsia" w:ascii="仿宋_GB2312" w:hAnsi="宋体" w:eastAsia="仿宋_GB2312"/>
          <w:sz w:val="32"/>
          <w:szCs w:val="32"/>
        </w:rPr>
        <w:t>月）</w:t>
      </w:r>
    </w:p>
    <w:p>
      <w:pPr>
        <w:spacing w:line="360" w:lineRule="auto"/>
        <w:jc w:val="center"/>
        <w:rPr>
          <w:rFonts w:ascii="宋体" w:hAnsi="宋体"/>
          <w:b/>
          <w:sz w:val="68"/>
          <w:szCs w:val="68"/>
        </w:rPr>
      </w:pPr>
    </w:p>
    <w:p>
      <w:pPr>
        <w:spacing w:afterLines="50" w:line="440" w:lineRule="exact"/>
        <w:ind w:firstLine="560" w:firstLineChars="200"/>
        <w:jc w:val="center"/>
        <w:rPr>
          <w:rFonts w:ascii="仿宋_GB2312" w:hAnsi="宋体" w:eastAsia="仿宋_GB2312"/>
          <w:bCs/>
          <w:sz w:val="28"/>
          <w:szCs w:val="28"/>
        </w:rPr>
      </w:pPr>
      <w:r>
        <w:rPr>
          <w:rFonts w:hint="eastAsia" w:ascii="仿宋_GB2312" w:hAnsi="宋体" w:eastAsia="仿宋_GB2312"/>
          <w:bCs/>
          <w:sz w:val="28"/>
          <w:szCs w:val="28"/>
        </w:rPr>
        <w:t>表1：贵州辖区证券市场融资情况表</w:t>
      </w:r>
    </w:p>
    <w:tbl>
      <w:tblPr>
        <w:tblStyle w:val="7"/>
        <w:tblW w:w="8047" w:type="dxa"/>
        <w:jc w:val="center"/>
        <w:tblLayout w:type="fixed"/>
        <w:tblCellMar>
          <w:top w:w="0" w:type="dxa"/>
          <w:left w:w="108" w:type="dxa"/>
          <w:bottom w:w="0" w:type="dxa"/>
          <w:right w:w="108" w:type="dxa"/>
        </w:tblCellMar>
      </w:tblPr>
      <w:tblGrid>
        <w:gridCol w:w="2261"/>
        <w:gridCol w:w="2102"/>
        <w:gridCol w:w="1842"/>
        <w:gridCol w:w="1842"/>
      </w:tblGrid>
      <w:tr>
        <w:tblPrEx>
          <w:tblCellMar>
            <w:top w:w="0" w:type="dxa"/>
            <w:left w:w="108" w:type="dxa"/>
            <w:bottom w:w="0" w:type="dxa"/>
            <w:right w:w="108" w:type="dxa"/>
          </w:tblCellMar>
        </w:tblPrEx>
        <w:trPr>
          <w:trHeight w:val="450"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b/>
                <w:bCs/>
                <w:color w:val="000000"/>
                <w:kern w:val="0"/>
                <w:sz w:val="36"/>
                <w:szCs w:val="36"/>
              </w:rPr>
            </w:pP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 xml:space="preserve">                </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单位：亿元</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40" w:firstLineChars="200"/>
              <w:jc w:val="left"/>
              <w:rPr>
                <w:rFonts w:hint="eastAsia" w:ascii="仿宋_GB2312" w:hAnsi="宋体" w:eastAsia="仿宋_GB2312" w:cs="宋体"/>
                <w:color w:val="000000"/>
                <w:kern w:val="0"/>
                <w:sz w:val="22"/>
              </w:rPr>
            </w:pPr>
          </w:p>
        </w:tc>
      </w:tr>
      <w:tr>
        <w:tblPrEx>
          <w:tblCellMar>
            <w:top w:w="0" w:type="dxa"/>
            <w:left w:w="108" w:type="dxa"/>
            <w:bottom w:w="0" w:type="dxa"/>
            <w:right w:w="108" w:type="dxa"/>
          </w:tblCellMar>
        </w:tblPrEx>
        <w:trPr>
          <w:trHeight w:val="300"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指标名称</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color w:val="000000"/>
                <w:kern w:val="0"/>
                <w:sz w:val="22"/>
                <w:lang w:eastAsia="zh-CN"/>
              </w:rPr>
            </w:pPr>
            <w:r>
              <w:rPr>
                <w:rFonts w:hint="eastAsia" w:ascii="仿宋_GB2312" w:hAnsi="宋体" w:eastAsia="仿宋_GB2312" w:cs="宋体"/>
                <w:b/>
                <w:color w:val="000000"/>
                <w:kern w:val="0"/>
                <w:sz w:val="22"/>
              </w:rPr>
              <w:t>202</w:t>
            </w:r>
            <w:r>
              <w:rPr>
                <w:rFonts w:hint="eastAsia" w:ascii="仿宋_GB2312" w:hAnsi="宋体" w:eastAsia="仿宋_GB2312" w:cs="宋体"/>
                <w:b/>
                <w:color w:val="000000"/>
                <w:kern w:val="0"/>
                <w:sz w:val="22"/>
                <w:lang w:val="en-US" w:eastAsia="zh-CN"/>
              </w:rPr>
              <w:t>2</w:t>
            </w:r>
            <w:r>
              <w:rPr>
                <w:rFonts w:hint="eastAsia" w:ascii="仿宋_GB2312" w:hAnsi="宋体" w:eastAsia="仿宋_GB2312" w:cs="宋体"/>
                <w:b/>
                <w:color w:val="000000"/>
                <w:kern w:val="0"/>
                <w:sz w:val="22"/>
              </w:rPr>
              <w:t>年</w:t>
            </w:r>
            <w:r>
              <w:rPr>
                <w:rFonts w:hint="default" w:ascii="仿宋_GB2312" w:hAnsi="宋体" w:eastAsia="仿宋_GB2312" w:cs="宋体"/>
                <w:b/>
                <w:color w:val="000000"/>
                <w:kern w:val="0"/>
                <w:sz w:val="22"/>
                <w:lang w:val="en" w:eastAsia="zh-CN"/>
              </w:rPr>
              <w:t>10</w:t>
            </w:r>
            <w:r>
              <w:rPr>
                <w:rFonts w:hint="eastAsia" w:ascii="仿宋_GB2312" w:hAnsi="宋体" w:eastAsia="仿宋_GB2312" w:cs="宋体"/>
                <w:b/>
                <w:color w:val="000000"/>
                <w:kern w:val="0"/>
                <w:sz w:val="22"/>
              </w:rPr>
              <w:t>月</w:t>
            </w:r>
            <w:r>
              <w:rPr>
                <w:rFonts w:hint="eastAsia" w:ascii="仿宋_GB2312" w:hAnsi="宋体" w:eastAsia="仿宋_GB2312" w:cs="宋体"/>
                <w:b/>
                <w:color w:val="000000"/>
                <w:kern w:val="0"/>
                <w:sz w:val="22"/>
                <w:lang w:eastAsia="zh-CN"/>
              </w:rPr>
              <w:t>数</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color w:val="000000"/>
                <w:kern w:val="0"/>
                <w:sz w:val="22"/>
              </w:rPr>
            </w:pPr>
            <w:r>
              <w:rPr>
                <w:rFonts w:hint="eastAsia" w:ascii="仿宋_GB2312" w:hAnsi="宋体" w:eastAsia="仿宋_GB2312" w:cs="宋体"/>
                <w:b/>
                <w:color w:val="000000"/>
                <w:kern w:val="0"/>
                <w:sz w:val="22"/>
                <w:lang w:val="en-US" w:eastAsia="zh-CN"/>
              </w:rPr>
              <w:t>2022</w:t>
            </w:r>
            <w:r>
              <w:rPr>
                <w:rFonts w:hint="eastAsia" w:ascii="仿宋_GB2312" w:hAnsi="宋体" w:eastAsia="仿宋_GB2312" w:cs="宋体"/>
                <w:b/>
                <w:color w:val="000000"/>
                <w:kern w:val="0"/>
                <w:sz w:val="22"/>
              </w:rPr>
              <w:t>年累计数</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b/>
                <w:color w:val="000000"/>
                <w:kern w:val="0"/>
                <w:sz w:val="22"/>
                <w:lang w:val="en-US" w:eastAsia="zh-CN"/>
              </w:rPr>
            </w:pPr>
            <w:r>
              <w:rPr>
                <w:rFonts w:hint="eastAsia" w:ascii="仿宋_GB2312" w:hAnsi="宋体" w:eastAsia="仿宋_GB2312" w:cs="宋体"/>
                <w:b/>
                <w:color w:val="000000"/>
                <w:kern w:val="0"/>
                <w:sz w:val="22"/>
                <w:lang w:eastAsia="zh-CN"/>
              </w:rPr>
              <w:t>同比增速（</w:t>
            </w:r>
            <w:r>
              <w:rPr>
                <w:rFonts w:hint="eastAsia" w:ascii="仿宋_GB2312" w:hAnsi="宋体" w:eastAsia="仿宋_GB2312" w:cs="宋体"/>
                <w:b/>
                <w:color w:val="000000"/>
                <w:kern w:val="0"/>
                <w:sz w:val="22"/>
                <w:lang w:val="en-US" w:eastAsia="zh-CN"/>
              </w:rPr>
              <w:t>%）</w:t>
            </w:r>
          </w:p>
        </w:tc>
      </w:tr>
      <w:tr>
        <w:tblPrEx>
          <w:tblCellMar>
            <w:top w:w="0" w:type="dxa"/>
            <w:left w:w="108" w:type="dxa"/>
            <w:bottom w:w="0" w:type="dxa"/>
            <w:right w:w="108" w:type="dxa"/>
          </w:tblCellMar>
        </w:tblPrEx>
        <w:trPr>
          <w:trHeight w:val="201"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首发（IPO）融资</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33.5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96.68</w:t>
            </w:r>
          </w:p>
        </w:tc>
      </w:tr>
      <w:tr>
        <w:tblPrEx>
          <w:tblCellMar>
            <w:top w:w="0" w:type="dxa"/>
            <w:left w:w="108" w:type="dxa"/>
            <w:bottom w:w="0" w:type="dxa"/>
            <w:right w:w="108" w:type="dxa"/>
          </w:tblCellMar>
        </w:tblPrEx>
        <w:trPr>
          <w:trHeight w:val="233"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上市公司再融资</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rPr>
            </w:pPr>
            <w:r>
              <w:rPr>
                <w:rFonts w:hint="default" w:ascii="仿宋_GB2312" w:hAnsi="宋体" w:eastAsia="仿宋_GB2312" w:cs="宋体"/>
                <w:color w:val="000000"/>
                <w:kern w:val="0"/>
                <w:sz w:val="22"/>
                <w:lang w:val="en"/>
              </w:rPr>
              <w:t>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rPr>
            </w:pPr>
            <w:r>
              <w:rPr>
                <w:rFonts w:hint="default" w:ascii="仿宋_GB2312" w:hAnsi="宋体" w:eastAsia="仿宋_GB2312" w:cs="宋体"/>
                <w:color w:val="000000"/>
                <w:kern w:val="0"/>
                <w:sz w:val="22"/>
                <w:lang w:val="en"/>
              </w:rPr>
              <w:t>54.46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eastAsia" w:ascii="仿宋_GB2312" w:hAnsi="宋体" w:eastAsia="仿宋_GB2312" w:cs="宋体"/>
                <w:color w:val="000000"/>
                <w:kern w:val="0"/>
                <w:sz w:val="22"/>
                <w:lang w:val="en-US" w:eastAsia="zh-CN"/>
              </w:rPr>
              <w:t>-</w:t>
            </w:r>
            <w:r>
              <w:rPr>
                <w:rFonts w:hint="default" w:ascii="仿宋_GB2312" w:hAnsi="宋体" w:eastAsia="仿宋_GB2312" w:cs="宋体"/>
                <w:color w:val="000000"/>
                <w:kern w:val="0"/>
                <w:sz w:val="22"/>
                <w:lang w:val="en" w:eastAsia="zh-CN"/>
              </w:rPr>
              <w:t>57.33</w:t>
            </w:r>
          </w:p>
        </w:tc>
      </w:tr>
      <w:tr>
        <w:tblPrEx>
          <w:tblCellMar>
            <w:top w:w="0" w:type="dxa"/>
            <w:left w:w="108" w:type="dxa"/>
            <w:bottom w:w="0" w:type="dxa"/>
            <w:right w:w="108" w:type="dxa"/>
          </w:tblCellMar>
        </w:tblPrEx>
        <w:trPr>
          <w:trHeight w:val="231"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新三板融资</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3.57</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3866.67</w:t>
            </w:r>
          </w:p>
        </w:tc>
      </w:tr>
      <w:tr>
        <w:tblPrEx>
          <w:tblCellMar>
            <w:top w:w="0" w:type="dxa"/>
            <w:left w:w="108" w:type="dxa"/>
            <w:bottom w:w="0" w:type="dxa"/>
            <w:right w:w="108" w:type="dxa"/>
          </w:tblCellMar>
        </w:tblPrEx>
        <w:trPr>
          <w:trHeight w:val="269"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优先股融资</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 w:val="22"/>
                <w:lang w:val="en-US" w:eastAsia="zh-CN"/>
              </w:rPr>
            </w:pPr>
            <w:r>
              <w:rPr>
                <w:rFonts w:hint="eastAsia" w:ascii="仿宋_GB2312" w:hAnsi="宋体" w:eastAsia="仿宋_GB2312" w:cs="宋体"/>
                <w:color w:val="000000"/>
                <w:kern w:val="0"/>
                <w:sz w:val="22"/>
                <w:lang w:val="en-US" w:eastAsia="zh-CN"/>
              </w:rPr>
              <w:t>-</w:t>
            </w:r>
          </w:p>
        </w:tc>
      </w:tr>
      <w:tr>
        <w:tblPrEx>
          <w:tblCellMar>
            <w:top w:w="0" w:type="dxa"/>
            <w:left w:w="108" w:type="dxa"/>
            <w:bottom w:w="0" w:type="dxa"/>
            <w:right w:w="108" w:type="dxa"/>
          </w:tblCellMar>
        </w:tblPrEx>
        <w:trPr>
          <w:trHeight w:val="269"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公司债融资</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21.13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191.95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eastAsia" w:ascii="仿宋_GB2312" w:hAnsi="宋体" w:eastAsia="仿宋_GB2312" w:cs="宋体"/>
                <w:color w:val="000000"/>
                <w:kern w:val="0"/>
                <w:sz w:val="22"/>
                <w:lang w:val="en-US" w:eastAsia="zh-CN"/>
              </w:rPr>
              <w:t>-</w:t>
            </w:r>
            <w:r>
              <w:rPr>
                <w:rFonts w:hint="default" w:ascii="仿宋_GB2312" w:hAnsi="宋体" w:eastAsia="仿宋_GB2312" w:cs="宋体"/>
                <w:color w:val="000000"/>
                <w:kern w:val="0"/>
                <w:sz w:val="22"/>
                <w:lang w:val="en" w:eastAsia="zh-CN"/>
              </w:rPr>
              <w:t>53.08</w:t>
            </w:r>
          </w:p>
        </w:tc>
      </w:tr>
      <w:tr>
        <w:tblPrEx>
          <w:tblCellMar>
            <w:top w:w="0" w:type="dxa"/>
            <w:left w:w="108" w:type="dxa"/>
            <w:bottom w:w="0" w:type="dxa"/>
            <w:right w:w="108" w:type="dxa"/>
          </w:tblCellMar>
        </w:tblPrEx>
        <w:trPr>
          <w:trHeight w:val="273"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可交换债融资</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 w:val="22"/>
                <w:lang w:val="en-US" w:eastAsia="zh-CN"/>
              </w:rPr>
            </w:pPr>
            <w:r>
              <w:rPr>
                <w:rFonts w:hint="eastAsia" w:ascii="仿宋_GB2312" w:hAnsi="宋体" w:eastAsia="仿宋_GB2312" w:cs="宋体"/>
                <w:color w:val="000000"/>
                <w:kern w:val="0"/>
                <w:sz w:val="22"/>
                <w:lang w:val="en-US" w:eastAsia="zh-CN"/>
              </w:rPr>
              <w:t>-</w:t>
            </w:r>
          </w:p>
        </w:tc>
      </w:tr>
      <w:tr>
        <w:tblPrEx>
          <w:tblCellMar>
            <w:top w:w="0" w:type="dxa"/>
            <w:left w:w="108" w:type="dxa"/>
            <w:bottom w:w="0" w:type="dxa"/>
            <w:right w:w="108" w:type="dxa"/>
          </w:tblCellMar>
        </w:tblPrEx>
        <w:trPr>
          <w:trHeight w:val="277"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资产证券化产品融资</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10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476.83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eastAsia" w:ascii="仿宋_GB2312" w:hAnsi="宋体" w:eastAsia="仿宋_GB2312" w:cs="宋体"/>
                <w:color w:val="000000"/>
                <w:kern w:val="0"/>
                <w:sz w:val="22"/>
                <w:lang w:val="en-US" w:eastAsia="zh-CN"/>
              </w:rPr>
              <w:t>-</w:t>
            </w:r>
            <w:r>
              <w:rPr>
                <w:rFonts w:hint="default" w:ascii="仿宋_GB2312" w:hAnsi="宋体" w:eastAsia="仿宋_GB2312" w:cs="宋体"/>
                <w:color w:val="000000"/>
                <w:kern w:val="0"/>
                <w:sz w:val="22"/>
                <w:lang w:val="en" w:eastAsia="zh-CN"/>
              </w:rPr>
              <w:t>57.42</w:t>
            </w:r>
          </w:p>
        </w:tc>
      </w:tr>
      <w:tr>
        <w:tblPrEx>
          <w:tblCellMar>
            <w:top w:w="0" w:type="dxa"/>
            <w:left w:w="108" w:type="dxa"/>
            <w:bottom w:w="0" w:type="dxa"/>
            <w:right w:w="108" w:type="dxa"/>
          </w:tblCellMar>
        </w:tblPrEx>
        <w:trPr>
          <w:trHeight w:val="261"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证券经营机构融资</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262.18</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-41.69</w:t>
            </w:r>
          </w:p>
        </w:tc>
      </w:tr>
      <w:tr>
        <w:tblPrEx>
          <w:tblCellMar>
            <w:top w:w="0" w:type="dxa"/>
            <w:left w:w="108" w:type="dxa"/>
            <w:bottom w:w="0" w:type="dxa"/>
            <w:right w:w="108" w:type="dxa"/>
          </w:tblCellMar>
        </w:tblPrEx>
        <w:trPr>
          <w:trHeight w:val="261" w:hRule="atLeast"/>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2"/>
                <w:lang w:eastAsia="zh-CN"/>
              </w:rPr>
            </w:pPr>
            <w:r>
              <w:rPr>
                <w:rFonts w:hint="eastAsia" w:ascii="仿宋_GB2312" w:hAnsi="宋体" w:eastAsia="仿宋_GB2312" w:cs="宋体"/>
                <w:color w:val="000000"/>
                <w:kern w:val="0"/>
                <w:sz w:val="22"/>
                <w:lang w:eastAsia="zh-CN"/>
              </w:rPr>
              <w:t>总计</w:t>
            </w:r>
          </w:p>
        </w:tc>
        <w:tc>
          <w:tcPr>
            <w:tcW w:w="2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31.13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1022.49</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color w:val="000000"/>
                <w:kern w:val="0"/>
                <w:sz w:val="22"/>
                <w:lang w:val="en" w:eastAsia="zh-CN"/>
              </w:rPr>
            </w:pPr>
            <w:r>
              <w:rPr>
                <w:rFonts w:hint="eastAsia" w:ascii="仿宋_GB2312" w:hAnsi="宋体" w:eastAsia="仿宋_GB2312" w:cs="宋体"/>
                <w:color w:val="000000"/>
                <w:kern w:val="0"/>
                <w:sz w:val="22"/>
                <w:lang w:val="en-US" w:eastAsia="zh-CN"/>
              </w:rPr>
              <w:t>-</w:t>
            </w:r>
            <w:r>
              <w:rPr>
                <w:rFonts w:hint="default" w:ascii="仿宋_GB2312" w:hAnsi="宋体" w:eastAsia="仿宋_GB2312" w:cs="宋体"/>
                <w:color w:val="000000"/>
                <w:kern w:val="0"/>
                <w:sz w:val="22"/>
                <w:lang w:val="en" w:eastAsia="zh-CN"/>
              </w:rPr>
              <w:t>51.84</w:t>
            </w:r>
          </w:p>
        </w:tc>
      </w:tr>
    </w:tbl>
    <w:p>
      <w:pPr>
        <w:spacing w:afterLines="50"/>
        <w:ind w:firstLine="560" w:firstLineChars="200"/>
        <w:jc w:val="center"/>
        <w:rPr>
          <w:rFonts w:ascii="仿宋_GB2312" w:hAnsi="宋体" w:eastAsia="仿宋_GB2312"/>
          <w:bCs/>
          <w:sz w:val="28"/>
          <w:szCs w:val="28"/>
        </w:rPr>
      </w:pPr>
    </w:p>
    <w:p>
      <w:pPr>
        <w:spacing w:afterLines="50"/>
        <w:ind w:firstLine="560" w:firstLineChars="200"/>
        <w:jc w:val="center"/>
        <w:rPr>
          <w:rFonts w:ascii="仿宋_GB2312" w:hAnsi="宋体" w:eastAsia="仿宋_GB2312"/>
          <w:bCs/>
          <w:sz w:val="28"/>
          <w:szCs w:val="28"/>
        </w:rPr>
      </w:pPr>
    </w:p>
    <w:p>
      <w:pPr>
        <w:spacing w:afterLines="50"/>
        <w:ind w:firstLine="560" w:firstLineChars="200"/>
        <w:jc w:val="center"/>
        <w:rPr>
          <w:rFonts w:ascii="仿宋_GB2312" w:hAnsi="宋体" w:eastAsia="仿宋_GB2312"/>
          <w:bCs/>
          <w:sz w:val="28"/>
          <w:szCs w:val="28"/>
        </w:rPr>
      </w:pPr>
      <w:r>
        <w:rPr>
          <w:rFonts w:hint="eastAsia" w:ascii="仿宋_GB2312" w:hAnsi="宋体" w:eastAsia="仿宋_GB2312"/>
          <w:bCs/>
          <w:sz w:val="28"/>
          <w:szCs w:val="28"/>
        </w:rPr>
        <w:t>表2：贵州辖区证券期货交易情况表</w:t>
      </w:r>
    </w:p>
    <w:tbl>
      <w:tblPr>
        <w:tblStyle w:val="7"/>
        <w:tblW w:w="8506" w:type="dxa"/>
        <w:jc w:val="center"/>
        <w:tblLayout w:type="fixed"/>
        <w:tblCellMar>
          <w:top w:w="0" w:type="dxa"/>
          <w:left w:w="108" w:type="dxa"/>
          <w:bottom w:w="0" w:type="dxa"/>
          <w:right w:w="108" w:type="dxa"/>
        </w:tblCellMar>
      </w:tblPr>
      <w:tblGrid>
        <w:gridCol w:w="2438"/>
        <w:gridCol w:w="2098"/>
        <w:gridCol w:w="1985"/>
        <w:gridCol w:w="1985"/>
      </w:tblGrid>
      <w:tr>
        <w:tblPrEx>
          <w:tblCellMar>
            <w:top w:w="0" w:type="dxa"/>
            <w:left w:w="108" w:type="dxa"/>
            <w:bottom w:w="0" w:type="dxa"/>
            <w:right w:w="108" w:type="dxa"/>
          </w:tblCellMar>
        </w:tblPrEx>
        <w:trPr>
          <w:trHeight w:val="369" w:hRule="atLeast"/>
          <w:jc w:val="center"/>
        </w:trPr>
        <w:tc>
          <w:tcPr>
            <w:tcW w:w="2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rPr>
            </w:pPr>
            <w:r>
              <w:rPr>
                <w:rFonts w:hint="eastAsia" w:ascii="仿宋_GB2312" w:hAnsi="宋体" w:eastAsia="仿宋_GB2312" w:cs="宋体"/>
                <w:b/>
                <w:color w:val="000000"/>
                <w:kern w:val="0"/>
                <w:sz w:val="22"/>
              </w:rPr>
              <w:t>指标名称</w:t>
            </w:r>
          </w:p>
        </w:tc>
        <w:tc>
          <w:tcPr>
            <w:tcW w:w="209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b/>
                <w:color w:val="000000"/>
                <w:kern w:val="0"/>
                <w:sz w:val="22"/>
                <w:lang w:eastAsia="zh-CN"/>
              </w:rPr>
            </w:pPr>
            <w:r>
              <w:rPr>
                <w:rFonts w:hint="eastAsia" w:ascii="仿宋_GB2312" w:hAnsi="宋体" w:eastAsia="仿宋_GB2312" w:cs="宋体"/>
                <w:b/>
                <w:color w:val="000000"/>
                <w:kern w:val="0"/>
                <w:sz w:val="22"/>
              </w:rPr>
              <w:t>202</w:t>
            </w:r>
            <w:r>
              <w:rPr>
                <w:rFonts w:hint="eastAsia" w:ascii="仿宋_GB2312" w:hAnsi="宋体" w:eastAsia="仿宋_GB2312" w:cs="宋体"/>
                <w:b/>
                <w:color w:val="000000"/>
                <w:kern w:val="0"/>
                <w:sz w:val="22"/>
                <w:lang w:val="en-US" w:eastAsia="zh-CN"/>
              </w:rPr>
              <w:t>2</w:t>
            </w:r>
            <w:r>
              <w:rPr>
                <w:rFonts w:hint="eastAsia" w:ascii="仿宋_GB2312" w:hAnsi="宋体" w:eastAsia="仿宋_GB2312" w:cs="宋体"/>
                <w:b/>
                <w:color w:val="000000"/>
                <w:kern w:val="0"/>
                <w:sz w:val="22"/>
              </w:rPr>
              <w:t>年</w:t>
            </w:r>
            <w:r>
              <w:rPr>
                <w:rFonts w:hint="default" w:ascii="仿宋_GB2312" w:hAnsi="宋体" w:eastAsia="仿宋_GB2312" w:cs="宋体"/>
                <w:b/>
                <w:color w:val="000000"/>
                <w:kern w:val="0"/>
                <w:sz w:val="22"/>
                <w:lang w:val="en" w:eastAsia="zh-CN"/>
              </w:rPr>
              <w:t>10</w:t>
            </w:r>
            <w:r>
              <w:rPr>
                <w:rFonts w:hint="eastAsia" w:ascii="仿宋_GB2312" w:hAnsi="宋体" w:eastAsia="仿宋_GB2312" w:cs="宋体"/>
                <w:b/>
                <w:color w:val="000000"/>
                <w:kern w:val="0"/>
                <w:sz w:val="22"/>
              </w:rPr>
              <w:t>月</w:t>
            </w:r>
            <w:r>
              <w:rPr>
                <w:rFonts w:hint="eastAsia" w:ascii="仿宋_GB2312" w:hAnsi="宋体" w:eastAsia="仿宋_GB2312" w:cs="宋体"/>
                <w:b/>
                <w:color w:val="000000"/>
                <w:kern w:val="0"/>
                <w:sz w:val="22"/>
                <w:lang w:eastAsia="zh-CN"/>
              </w:rPr>
              <w:t>数</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2"/>
              </w:rPr>
            </w:pPr>
            <w:r>
              <w:rPr>
                <w:rFonts w:hint="eastAsia" w:ascii="仿宋_GB2312" w:hAnsi="宋体" w:eastAsia="仿宋_GB2312" w:cs="宋体"/>
                <w:b/>
                <w:color w:val="000000"/>
                <w:kern w:val="0"/>
                <w:sz w:val="22"/>
                <w:lang w:val="en-US" w:eastAsia="zh-CN"/>
              </w:rPr>
              <w:t>2022</w:t>
            </w:r>
            <w:r>
              <w:rPr>
                <w:rFonts w:hint="eastAsia" w:ascii="仿宋_GB2312" w:hAnsi="宋体" w:eastAsia="仿宋_GB2312" w:cs="宋体"/>
                <w:b/>
                <w:color w:val="000000"/>
                <w:kern w:val="0"/>
                <w:sz w:val="22"/>
              </w:rPr>
              <w:t>年累计数</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宋体"/>
                <w:b/>
                <w:color w:val="000000"/>
                <w:kern w:val="0"/>
                <w:sz w:val="22"/>
                <w:lang w:val="en-US" w:eastAsia="zh-CN"/>
              </w:rPr>
            </w:pPr>
            <w:r>
              <w:rPr>
                <w:rFonts w:hint="eastAsia" w:ascii="仿宋_GB2312" w:hAnsi="宋体" w:eastAsia="仿宋_GB2312" w:cs="宋体"/>
                <w:b/>
                <w:color w:val="000000"/>
                <w:kern w:val="0"/>
                <w:sz w:val="22"/>
                <w:lang w:eastAsia="zh-CN"/>
              </w:rPr>
              <w:t>同比增速（</w:t>
            </w:r>
            <w:r>
              <w:rPr>
                <w:rFonts w:hint="eastAsia" w:ascii="仿宋_GB2312" w:hAnsi="宋体" w:eastAsia="仿宋_GB2312" w:cs="宋体"/>
                <w:b/>
                <w:color w:val="000000"/>
                <w:kern w:val="0"/>
                <w:sz w:val="22"/>
                <w:lang w:val="en-US" w:eastAsia="zh-CN"/>
              </w:rPr>
              <w:t>%）</w:t>
            </w:r>
          </w:p>
        </w:tc>
      </w:tr>
      <w:tr>
        <w:tblPrEx>
          <w:tblCellMar>
            <w:top w:w="0" w:type="dxa"/>
            <w:left w:w="108" w:type="dxa"/>
            <w:bottom w:w="0" w:type="dxa"/>
            <w:right w:w="108" w:type="dxa"/>
          </w:tblCellMar>
        </w:tblPrEx>
        <w:trPr>
          <w:trHeight w:val="416" w:hRule="atLeast"/>
          <w:jc w:val="center"/>
        </w:trPr>
        <w:tc>
          <w:tcPr>
            <w:tcW w:w="243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证券成交金额（亿元）</w:t>
            </w:r>
          </w:p>
        </w:tc>
        <w:tc>
          <w:tcPr>
            <w:tcW w:w="209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2533.9</w:t>
            </w:r>
          </w:p>
        </w:tc>
        <w:tc>
          <w:tcPr>
            <w:tcW w:w="198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2"/>
                <w:lang w:val="en" w:eastAsia="zh-CN"/>
              </w:rPr>
            </w:pPr>
            <w:r>
              <w:rPr>
                <w:rFonts w:hint="default" w:ascii="仿宋_GB2312" w:hAnsi="宋体" w:eastAsia="仿宋_GB2312" w:cs="宋体"/>
                <w:color w:val="000000"/>
                <w:kern w:val="0"/>
                <w:sz w:val="22"/>
                <w:lang w:val="en" w:eastAsia="zh-CN"/>
              </w:rPr>
              <w:t>31239.3</w:t>
            </w:r>
          </w:p>
        </w:tc>
        <w:tc>
          <w:tcPr>
            <w:tcW w:w="198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2"/>
                <w:lang w:val="en" w:eastAsia="zh-CN"/>
              </w:rPr>
            </w:pPr>
            <w:r>
              <w:rPr>
                <w:rFonts w:hint="eastAsia" w:ascii="仿宋_GB2312" w:hAnsi="宋体" w:eastAsia="仿宋_GB2312" w:cs="宋体"/>
                <w:color w:val="000000"/>
                <w:kern w:val="0"/>
                <w:sz w:val="22"/>
                <w:lang w:val="en-US" w:eastAsia="zh-CN"/>
              </w:rPr>
              <w:t>-</w:t>
            </w:r>
            <w:r>
              <w:rPr>
                <w:rFonts w:hint="default" w:ascii="仿宋_GB2312" w:hAnsi="宋体" w:eastAsia="仿宋_GB2312" w:cs="宋体"/>
                <w:color w:val="000000"/>
                <w:kern w:val="0"/>
                <w:sz w:val="22"/>
                <w:lang w:val="en" w:eastAsia="zh-CN"/>
              </w:rPr>
              <w:t>22.19</w:t>
            </w:r>
          </w:p>
        </w:tc>
      </w:tr>
      <w:tr>
        <w:tblPrEx>
          <w:tblCellMar>
            <w:top w:w="0" w:type="dxa"/>
            <w:left w:w="108" w:type="dxa"/>
            <w:bottom w:w="0" w:type="dxa"/>
            <w:right w:w="108" w:type="dxa"/>
          </w:tblCellMar>
        </w:tblPrEx>
        <w:trPr>
          <w:trHeight w:val="409" w:hRule="atLeast"/>
          <w:jc w:val="center"/>
        </w:trPr>
        <w:tc>
          <w:tcPr>
            <w:tcW w:w="243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期货成交数量（万手）</w:t>
            </w:r>
          </w:p>
        </w:tc>
        <w:tc>
          <w:tcPr>
            <w:tcW w:w="209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2"/>
                <w:lang w:val="en" w:eastAsia="zh-CN"/>
              </w:rPr>
            </w:pPr>
            <w:r>
              <w:rPr>
                <w:rFonts w:hint="default" w:ascii="仿宋_GB2312" w:hAnsi="宋体" w:eastAsia="仿宋_GB2312" w:cs="宋体"/>
                <w:kern w:val="0"/>
                <w:sz w:val="22"/>
                <w:lang w:val="en" w:eastAsia="zh-CN"/>
              </w:rPr>
              <w:t>75.9</w:t>
            </w:r>
          </w:p>
        </w:tc>
        <w:tc>
          <w:tcPr>
            <w:tcW w:w="198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2"/>
                <w:lang w:val="en" w:eastAsia="zh-CN"/>
              </w:rPr>
            </w:pPr>
            <w:r>
              <w:rPr>
                <w:rFonts w:hint="default" w:ascii="仿宋_GB2312" w:hAnsi="宋体" w:eastAsia="仿宋_GB2312" w:cs="宋体"/>
                <w:kern w:val="0"/>
                <w:sz w:val="22"/>
                <w:lang w:val="en" w:eastAsia="zh-CN"/>
              </w:rPr>
              <w:t>811.0</w:t>
            </w:r>
          </w:p>
        </w:tc>
        <w:tc>
          <w:tcPr>
            <w:tcW w:w="198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2"/>
                <w:lang w:val="en" w:eastAsia="zh-CN"/>
              </w:rPr>
            </w:pPr>
            <w:r>
              <w:rPr>
                <w:rFonts w:hint="eastAsia" w:ascii="仿宋_GB2312" w:hAnsi="宋体" w:eastAsia="仿宋_GB2312" w:cs="宋体"/>
                <w:kern w:val="0"/>
                <w:sz w:val="22"/>
                <w:lang w:val="en-US" w:eastAsia="zh-CN"/>
              </w:rPr>
              <w:t>-</w:t>
            </w:r>
            <w:r>
              <w:rPr>
                <w:rFonts w:hint="default" w:ascii="仿宋_GB2312" w:hAnsi="宋体" w:eastAsia="仿宋_GB2312" w:cs="宋体"/>
                <w:kern w:val="0"/>
                <w:sz w:val="22"/>
                <w:lang w:val="en" w:eastAsia="zh-CN"/>
              </w:rPr>
              <w:t>4.18</w:t>
            </w:r>
          </w:p>
        </w:tc>
      </w:tr>
      <w:tr>
        <w:trPr>
          <w:trHeight w:val="415" w:hRule="atLeast"/>
          <w:jc w:val="center"/>
        </w:trPr>
        <w:tc>
          <w:tcPr>
            <w:tcW w:w="243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期货成交金额（亿元）</w:t>
            </w:r>
          </w:p>
        </w:tc>
        <w:tc>
          <w:tcPr>
            <w:tcW w:w="2098"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2"/>
                <w:lang w:val="en" w:eastAsia="zh-CN"/>
              </w:rPr>
            </w:pPr>
            <w:r>
              <w:rPr>
                <w:rFonts w:hint="default" w:ascii="仿宋_GB2312" w:hAnsi="宋体" w:eastAsia="仿宋_GB2312" w:cs="宋体"/>
                <w:kern w:val="0"/>
                <w:sz w:val="22"/>
                <w:lang w:val="en" w:eastAsia="zh-CN"/>
              </w:rPr>
              <w:t>498.0</w:t>
            </w:r>
          </w:p>
        </w:tc>
        <w:tc>
          <w:tcPr>
            <w:tcW w:w="198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2"/>
                <w:lang w:val="en" w:eastAsia="zh-CN"/>
              </w:rPr>
            </w:pPr>
            <w:r>
              <w:rPr>
                <w:rFonts w:hint="default" w:ascii="仿宋_GB2312" w:hAnsi="宋体" w:eastAsia="仿宋_GB2312" w:cs="宋体"/>
                <w:kern w:val="0"/>
                <w:sz w:val="22"/>
                <w:lang w:val="en" w:eastAsia="zh-CN"/>
              </w:rPr>
              <w:t>5889.3</w:t>
            </w:r>
          </w:p>
        </w:tc>
        <w:tc>
          <w:tcPr>
            <w:tcW w:w="1985"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kern w:val="0"/>
                <w:sz w:val="22"/>
                <w:lang w:val="en" w:eastAsia="zh-CN"/>
              </w:rPr>
            </w:pPr>
            <w:r>
              <w:rPr>
                <w:rFonts w:hint="eastAsia" w:ascii="仿宋_GB2312" w:hAnsi="宋体" w:eastAsia="仿宋_GB2312" w:cs="宋体"/>
                <w:kern w:val="0"/>
                <w:sz w:val="22"/>
                <w:lang w:val="en-US" w:eastAsia="zh-CN"/>
              </w:rPr>
              <w:t>-</w:t>
            </w:r>
            <w:r>
              <w:rPr>
                <w:rFonts w:hint="default" w:ascii="仿宋_GB2312" w:hAnsi="宋体" w:eastAsia="仿宋_GB2312" w:cs="宋体"/>
                <w:kern w:val="0"/>
                <w:sz w:val="22"/>
                <w:lang w:val="en" w:eastAsia="zh-CN"/>
              </w:rPr>
              <w:t>16.57</w:t>
            </w:r>
          </w:p>
        </w:tc>
      </w:tr>
    </w:tbl>
    <w:p>
      <w:pPr>
        <w:spacing w:afterLines="50" w:line="260" w:lineRule="exact"/>
        <w:jc w:val="center"/>
        <w:rPr>
          <w:rFonts w:ascii="仿宋_GB2312" w:hAnsi="宋体" w:eastAsia="仿宋_GB2312"/>
          <w:bCs/>
          <w:sz w:val="18"/>
          <w:szCs w:val="18"/>
        </w:rPr>
      </w:pPr>
      <w:r>
        <w:rPr>
          <w:rFonts w:hint="eastAsia" w:ascii="仿宋_GB2312" w:hAnsi="宋体" w:eastAsia="仿宋_GB2312"/>
          <w:bCs/>
          <w:sz w:val="18"/>
          <w:szCs w:val="18"/>
        </w:rPr>
        <w:t xml:space="preserve">                    </w:t>
      </w:r>
    </w:p>
    <w:p>
      <w:pPr>
        <w:spacing w:afterLines="50" w:line="260" w:lineRule="exact"/>
        <w:jc w:val="center"/>
        <w:rPr>
          <w:rFonts w:ascii="仿宋_GB2312" w:hAnsi="宋体" w:eastAsia="仿宋_GB2312"/>
          <w:bCs/>
          <w:sz w:val="18"/>
          <w:szCs w:val="18"/>
        </w:rPr>
      </w:pPr>
    </w:p>
    <w:p>
      <w:pPr>
        <w:spacing w:afterLines="50" w:line="260" w:lineRule="exact"/>
        <w:jc w:val="center"/>
        <w:rPr>
          <w:rFonts w:ascii="仿宋_GB2312" w:hAnsi="宋体" w:eastAsia="仿宋_GB2312"/>
          <w:bCs/>
          <w:sz w:val="18"/>
          <w:szCs w:val="18"/>
        </w:rPr>
      </w:pPr>
    </w:p>
    <w:p>
      <w:pPr>
        <w:spacing w:afterLines="50" w:line="260" w:lineRule="exact"/>
        <w:jc w:val="center"/>
        <w:rPr>
          <w:rFonts w:ascii="仿宋_GB2312" w:hAnsi="宋体" w:eastAsia="仿宋_GB2312"/>
          <w:bCs/>
          <w:sz w:val="18"/>
          <w:szCs w:val="18"/>
        </w:rPr>
      </w:pPr>
    </w:p>
    <w:p>
      <w:pPr>
        <w:spacing w:afterLines="50" w:line="260" w:lineRule="exact"/>
        <w:jc w:val="center"/>
        <w:rPr>
          <w:rFonts w:ascii="仿宋_GB2312" w:hAnsi="宋体" w:eastAsia="仿宋_GB2312"/>
          <w:bCs/>
          <w:sz w:val="18"/>
          <w:szCs w:val="18"/>
        </w:rPr>
      </w:pPr>
    </w:p>
    <w:p>
      <w:pPr>
        <w:spacing w:afterLines="50" w:line="260" w:lineRule="exact"/>
        <w:jc w:val="center"/>
        <w:rPr>
          <w:rFonts w:ascii="仿宋_GB2312" w:hAnsi="宋体" w:eastAsia="仿宋_GB2312"/>
          <w:bCs/>
          <w:sz w:val="18"/>
          <w:szCs w:val="18"/>
        </w:rPr>
      </w:pPr>
    </w:p>
    <w:p>
      <w:pPr>
        <w:spacing w:afterLines="50" w:line="260" w:lineRule="exact"/>
        <w:jc w:val="center"/>
        <w:rPr>
          <w:rFonts w:ascii="仿宋_GB2312" w:hAnsi="宋体" w:eastAsia="仿宋_GB2312"/>
          <w:bCs/>
          <w:sz w:val="18"/>
          <w:szCs w:val="18"/>
        </w:rPr>
      </w:pPr>
    </w:p>
    <w:p>
      <w:pPr>
        <w:spacing w:afterLines="50" w:line="260" w:lineRule="exact"/>
        <w:jc w:val="center"/>
        <w:rPr>
          <w:rFonts w:ascii="仿宋_GB2312" w:hAnsi="宋体" w:eastAsia="仿宋_GB2312"/>
          <w:bCs/>
          <w:sz w:val="28"/>
          <w:szCs w:val="28"/>
        </w:rPr>
      </w:pPr>
      <w:r>
        <w:rPr>
          <w:rFonts w:hint="eastAsia" w:ascii="仿宋_GB2312" w:hAnsi="宋体" w:eastAsia="仿宋_GB2312"/>
          <w:bCs/>
          <w:sz w:val="28"/>
          <w:szCs w:val="28"/>
        </w:rPr>
        <w:t>表3：贵州辖区证券期货市场主体基本情况表</w:t>
      </w:r>
    </w:p>
    <w:p>
      <w:pPr>
        <w:spacing w:afterLines="50" w:line="260" w:lineRule="exact"/>
        <w:ind w:right="400"/>
        <w:jc w:val="center"/>
        <w:rPr>
          <w:rFonts w:ascii="仿宋_GB2312" w:hAnsi="宋体" w:eastAsia="仿宋_GB2312"/>
          <w:bCs/>
          <w:sz w:val="20"/>
          <w:szCs w:val="20"/>
        </w:rPr>
      </w:pPr>
      <w:r>
        <w:rPr>
          <w:rFonts w:hint="eastAsia" w:ascii="仿宋_GB2312" w:hAnsi="宋体" w:eastAsia="仿宋_GB2312"/>
          <w:bCs/>
          <w:sz w:val="20"/>
          <w:szCs w:val="20"/>
        </w:rPr>
        <w:t xml:space="preserve">                                                              截至202</w:t>
      </w:r>
      <w:r>
        <w:rPr>
          <w:rFonts w:hint="eastAsia" w:ascii="仿宋_GB2312" w:hAnsi="宋体" w:eastAsia="仿宋_GB2312"/>
          <w:bCs/>
          <w:sz w:val="20"/>
          <w:szCs w:val="20"/>
          <w:lang w:val="en-US" w:eastAsia="zh-CN"/>
        </w:rPr>
        <w:t>2</w:t>
      </w:r>
      <w:r>
        <w:rPr>
          <w:rFonts w:hint="eastAsia" w:ascii="仿宋_GB2312" w:hAnsi="宋体" w:eastAsia="仿宋_GB2312"/>
          <w:bCs/>
          <w:sz w:val="20"/>
          <w:szCs w:val="20"/>
        </w:rPr>
        <w:t>年</w:t>
      </w:r>
      <w:r>
        <w:rPr>
          <w:rFonts w:hint="default" w:ascii="仿宋_GB2312" w:hAnsi="宋体" w:eastAsia="仿宋_GB2312"/>
          <w:bCs/>
          <w:sz w:val="20"/>
          <w:szCs w:val="20"/>
          <w:lang w:val="en" w:eastAsia="zh-CN"/>
        </w:rPr>
        <w:t>10</w:t>
      </w:r>
      <w:r>
        <w:rPr>
          <w:rFonts w:hint="eastAsia" w:ascii="仿宋_GB2312" w:hAnsi="宋体" w:eastAsia="仿宋_GB2312"/>
          <w:bCs/>
          <w:sz w:val="20"/>
          <w:szCs w:val="20"/>
        </w:rPr>
        <w:t>月底</w:t>
      </w:r>
    </w:p>
    <w:tbl>
      <w:tblPr>
        <w:tblStyle w:val="7"/>
        <w:tblW w:w="8364" w:type="dxa"/>
        <w:jc w:val="center"/>
        <w:tblLayout w:type="fixed"/>
        <w:tblCellMar>
          <w:top w:w="0" w:type="dxa"/>
          <w:left w:w="108" w:type="dxa"/>
          <w:bottom w:w="0" w:type="dxa"/>
          <w:right w:w="108" w:type="dxa"/>
        </w:tblCellMar>
      </w:tblPr>
      <w:tblGrid>
        <w:gridCol w:w="1277"/>
        <w:gridCol w:w="3260"/>
        <w:gridCol w:w="992"/>
        <w:gridCol w:w="1276"/>
        <w:gridCol w:w="1559"/>
      </w:tblGrid>
      <w:tr>
        <w:tblPrEx>
          <w:tblCellMar>
            <w:top w:w="0" w:type="dxa"/>
            <w:left w:w="108" w:type="dxa"/>
            <w:bottom w:w="0" w:type="dxa"/>
            <w:right w:w="108" w:type="dxa"/>
          </w:tblCellMar>
        </w:tblPrEx>
        <w:trPr>
          <w:trHeight w:val="270" w:hRule="atLeast"/>
          <w:jc w:val="center"/>
        </w:trPr>
        <w:tc>
          <w:tcPr>
            <w:tcW w:w="127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类别</w:t>
            </w:r>
          </w:p>
        </w:tc>
        <w:tc>
          <w:tcPr>
            <w:tcW w:w="3260" w:type="dxa"/>
            <w:tcBorders>
              <w:top w:val="single" w:color="auto" w:sz="4" w:space="0"/>
              <w:left w:val="nil"/>
              <w:bottom w:val="single" w:color="auto" w:sz="4" w:space="0"/>
              <w:right w:val="single" w:color="auto" w:sz="4" w:space="0"/>
            </w:tcBorders>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指  标  名  称</w:t>
            </w:r>
          </w:p>
        </w:tc>
        <w:tc>
          <w:tcPr>
            <w:tcW w:w="992" w:type="dxa"/>
            <w:tcBorders>
              <w:top w:val="single" w:color="auto" w:sz="4" w:space="0"/>
              <w:left w:val="nil"/>
              <w:bottom w:val="single" w:color="auto" w:sz="4" w:space="0"/>
              <w:right w:val="single" w:color="auto" w:sz="4" w:space="0"/>
            </w:tcBorders>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单位</w:t>
            </w:r>
          </w:p>
        </w:tc>
        <w:tc>
          <w:tcPr>
            <w:tcW w:w="1276" w:type="dxa"/>
            <w:tcBorders>
              <w:top w:val="single" w:color="auto" w:sz="4" w:space="0"/>
              <w:left w:val="nil"/>
              <w:bottom w:val="single" w:color="auto" w:sz="4" w:space="0"/>
              <w:right w:val="single" w:color="auto" w:sz="4" w:space="0"/>
            </w:tcBorders>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年初数</w:t>
            </w:r>
          </w:p>
        </w:tc>
        <w:tc>
          <w:tcPr>
            <w:tcW w:w="1559" w:type="dxa"/>
            <w:tcBorders>
              <w:top w:val="single" w:color="auto" w:sz="4" w:space="0"/>
              <w:left w:val="nil"/>
              <w:bottom w:val="single" w:color="auto" w:sz="4" w:space="0"/>
              <w:right w:val="single" w:color="auto" w:sz="4" w:space="0"/>
            </w:tcBorders>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期末数</w:t>
            </w:r>
          </w:p>
        </w:tc>
      </w:tr>
      <w:tr>
        <w:tblPrEx>
          <w:tblCellMar>
            <w:top w:w="0" w:type="dxa"/>
            <w:left w:w="108" w:type="dxa"/>
            <w:bottom w:w="0" w:type="dxa"/>
            <w:right w:w="108" w:type="dxa"/>
          </w:tblCellMar>
        </w:tblPrEx>
        <w:trPr>
          <w:trHeight w:val="255" w:hRule="atLeast"/>
          <w:jc w:val="center"/>
        </w:trPr>
        <w:tc>
          <w:tcPr>
            <w:tcW w:w="127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上市公司</w:t>
            </w: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上市公司数量</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color w:val="000000"/>
                <w:kern w:val="0"/>
                <w:sz w:val="20"/>
                <w:szCs w:val="20"/>
                <w:lang w:val="en-US" w:eastAsia="zh-CN"/>
              </w:rPr>
            </w:pPr>
            <w:r>
              <w:rPr>
                <w:rFonts w:hint="eastAsia" w:ascii="仿宋_GB2312" w:hAnsi="华文楷体" w:eastAsia="仿宋_GB2312" w:cs="宋体"/>
                <w:color w:val="000000"/>
                <w:kern w:val="0"/>
                <w:sz w:val="20"/>
                <w:szCs w:val="20"/>
                <w:lang w:val="en-US" w:eastAsia="zh-CN"/>
              </w:rPr>
              <w:t>33</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 w:eastAsia="zh-CN"/>
              </w:rPr>
            </w:pPr>
            <w:r>
              <w:rPr>
                <w:rFonts w:hint="default" w:ascii="仿宋_GB2312" w:hAnsi="宋体" w:eastAsia="仿宋_GB2312" w:cs="宋体"/>
                <w:color w:val="000000"/>
                <w:kern w:val="0"/>
                <w:sz w:val="20"/>
                <w:szCs w:val="20"/>
                <w:lang w:val="en" w:eastAsia="zh-CN"/>
              </w:rPr>
              <w:t>35</w:t>
            </w:r>
          </w:p>
        </w:tc>
      </w:tr>
      <w:tr>
        <w:tblPrEx>
          <w:tblCellMar>
            <w:top w:w="0" w:type="dxa"/>
            <w:left w:w="108" w:type="dxa"/>
            <w:bottom w:w="0" w:type="dxa"/>
            <w:right w:w="108" w:type="dxa"/>
          </w:tblCellMar>
        </w:tblPrEx>
        <w:trPr>
          <w:trHeight w:val="30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 xml:space="preserve">    其中：主板</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color w:val="000000"/>
                <w:kern w:val="0"/>
                <w:sz w:val="20"/>
                <w:szCs w:val="20"/>
                <w:lang w:val="en-US" w:eastAsia="zh-CN"/>
              </w:rPr>
            </w:pPr>
            <w:r>
              <w:rPr>
                <w:rFonts w:hint="eastAsia" w:ascii="仿宋_GB2312" w:hAnsi="华文楷体" w:eastAsia="仿宋_GB2312" w:cs="宋体"/>
                <w:color w:val="000000"/>
                <w:kern w:val="0"/>
                <w:sz w:val="20"/>
                <w:szCs w:val="20"/>
                <w:lang w:val="en-US" w:eastAsia="zh-CN"/>
              </w:rPr>
              <w:t>29</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30</w:t>
            </w:r>
          </w:p>
        </w:tc>
      </w:tr>
      <w:tr>
        <w:tblPrEx>
          <w:tblCellMar>
            <w:top w:w="0" w:type="dxa"/>
            <w:left w:w="108" w:type="dxa"/>
            <w:bottom w:w="0" w:type="dxa"/>
            <w:right w:w="108" w:type="dxa"/>
          </w:tblCellMar>
        </w:tblPrEx>
        <w:trPr>
          <w:trHeight w:val="285"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 xml:space="preserve">          创业板</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eastAsia" w:ascii="仿宋_GB2312" w:hAnsi="华文楷体" w:eastAsia="仿宋_GB2312" w:cs="宋体"/>
                <w:color w:val="000000"/>
                <w:kern w:val="0"/>
                <w:sz w:val="20"/>
                <w:szCs w:val="20"/>
                <w:lang w:eastAsia="zh-CN"/>
              </w:rPr>
            </w:pPr>
            <w:r>
              <w:rPr>
                <w:rFonts w:hint="eastAsia" w:ascii="仿宋_GB2312" w:hAnsi="华文楷体" w:eastAsia="仿宋_GB2312" w:cs="宋体"/>
                <w:color w:val="000000"/>
                <w:kern w:val="0"/>
                <w:sz w:val="20"/>
                <w:szCs w:val="20"/>
                <w:lang w:val="en-US" w:eastAsia="zh-CN"/>
              </w:rPr>
              <w:t>2</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2</w:t>
            </w:r>
          </w:p>
        </w:tc>
      </w:tr>
      <w:tr>
        <w:tblPrEx>
          <w:tblCellMar>
            <w:top w:w="0" w:type="dxa"/>
            <w:left w:w="108" w:type="dxa"/>
            <w:bottom w:w="0" w:type="dxa"/>
            <w:right w:w="108" w:type="dxa"/>
          </w:tblCellMar>
        </w:tblPrEx>
        <w:trPr>
          <w:trHeight w:val="30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jc w:val="left"/>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 xml:space="preserve">          科创板</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eastAsia" w:ascii="仿宋_GB2312" w:hAnsi="华文楷体" w:eastAsia="仿宋_GB2312" w:cs="宋体"/>
                <w:color w:val="000000"/>
                <w:kern w:val="0"/>
                <w:sz w:val="20"/>
                <w:szCs w:val="20"/>
                <w:lang w:eastAsia="zh-CN"/>
              </w:rPr>
            </w:pPr>
            <w:r>
              <w:rPr>
                <w:rFonts w:hint="eastAsia" w:ascii="仿宋_GB2312" w:hAnsi="华文楷体" w:eastAsia="仿宋_GB2312" w:cs="宋体"/>
                <w:color w:val="000000"/>
                <w:kern w:val="0"/>
                <w:sz w:val="20"/>
                <w:szCs w:val="20"/>
                <w:lang w:val="en-US" w:eastAsia="zh-CN"/>
              </w:rPr>
              <w:t>2</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 w:eastAsia="zh-CN"/>
              </w:rPr>
            </w:pPr>
            <w:r>
              <w:rPr>
                <w:rFonts w:hint="default" w:ascii="仿宋_GB2312" w:hAnsi="宋体" w:eastAsia="仿宋_GB2312" w:cs="宋体"/>
                <w:color w:val="000000"/>
                <w:kern w:val="0"/>
                <w:sz w:val="20"/>
                <w:szCs w:val="20"/>
                <w:lang w:val="en" w:eastAsia="zh-CN"/>
              </w:rPr>
              <w:t>3</w:t>
            </w:r>
          </w:p>
        </w:tc>
      </w:tr>
      <w:tr>
        <w:tblPrEx>
          <w:tblCellMar>
            <w:top w:w="0" w:type="dxa"/>
            <w:left w:w="108" w:type="dxa"/>
            <w:bottom w:w="0" w:type="dxa"/>
            <w:right w:w="108" w:type="dxa"/>
          </w:tblCellMar>
        </w:tblPrEx>
        <w:trPr>
          <w:trHeight w:val="285"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jc w:val="left"/>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上市公司总股本</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亿股</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color w:val="000000"/>
                <w:kern w:val="0"/>
                <w:sz w:val="20"/>
                <w:szCs w:val="20"/>
                <w:lang w:val="en" w:eastAsia="zh-CN"/>
              </w:rPr>
            </w:pPr>
            <w:r>
              <w:rPr>
                <w:rFonts w:hint="default" w:ascii="仿宋_GB2312" w:hAnsi="华文楷体" w:eastAsia="仿宋_GB2312" w:cs="宋体"/>
                <w:color w:val="000000"/>
                <w:kern w:val="0"/>
                <w:sz w:val="20"/>
                <w:szCs w:val="20"/>
                <w:lang w:val="en" w:eastAsia="zh-CN"/>
              </w:rPr>
              <w:t>330.3</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 w:eastAsia="zh-CN"/>
              </w:rPr>
            </w:pPr>
            <w:r>
              <w:rPr>
                <w:rFonts w:hint="default" w:ascii="仿宋_GB2312" w:hAnsi="宋体" w:eastAsia="仿宋_GB2312" w:cs="宋体"/>
                <w:color w:val="000000"/>
                <w:kern w:val="0"/>
                <w:sz w:val="20"/>
                <w:szCs w:val="20"/>
                <w:lang w:val="en" w:eastAsia="zh-CN"/>
              </w:rPr>
              <w:t>357.83</w:t>
            </w:r>
          </w:p>
        </w:tc>
      </w:tr>
      <w:tr>
        <w:tblPrEx>
          <w:tblCellMar>
            <w:top w:w="0" w:type="dxa"/>
            <w:left w:w="108" w:type="dxa"/>
            <w:bottom w:w="0" w:type="dxa"/>
            <w:right w:w="108" w:type="dxa"/>
          </w:tblCellMar>
        </w:tblPrEx>
        <w:trPr>
          <w:trHeight w:val="285"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jc w:val="left"/>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上市公司总市值</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亿元</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color w:val="000000"/>
                <w:kern w:val="0"/>
                <w:sz w:val="20"/>
                <w:szCs w:val="20"/>
                <w:lang w:val="en"/>
              </w:rPr>
            </w:pPr>
            <w:r>
              <w:rPr>
                <w:rFonts w:hint="default" w:ascii="仿宋_GB2312" w:hAnsi="华文楷体" w:eastAsia="仿宋_GB2312" w:cs="宋体"/>
                <w:color w:val="000000"/>
                <w:kern w:val="0"/>
                <w:sz w:val="20"/>
                <w:szCs w:val="20"/>
                <w:lang w:val="en"/>
              </w:rPr>
              <w:t>29492.8</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 w:eastAsia="zh-CN"/>
              </w:rPr>
            </w:pPr>
            <w:r>
              <w:rPr>
                <w:rFonts w:hint="default" w:ascii="仿宋_GB2312" w:hAnsi="宋体" w:eastAsia="仿宋_GB2312" w:cs="宋体"/>
                <w:color w:val="000000"/>
                <w:kern w:val="0"/>
                <w:sz w:val="20"/>
                <w:szCs w:val="20"/>
                <w:lang w:val="en"/>
              </w:rPr>
              <w:t>21537.33</w:t>
            </w:r>
          </w:p>
        </w:tc>
      </w:tr>
      <w:tr>
        <w:tblPrEx>
          <w:tblCellMar>
            <w:top w:w="0" w:type="dxa"/>
            <w:left w:w="108" w:type="dxa"/>
            <w:bottom w:w="0" w:type="dxa"/>
            <w:right w:w="108" w:type="dxa"/>
          </w:tblCellMar>
        </w:tblPrEx>
        <w:trPr>
          <w:trHeight w:val="315" w:hRule="atLeast"/>
          <w:jc w:val="center"/>
        </w:trPr>
        <w:tc>
          <w:tcPr>
            <w:tcW w:w="127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新三板</w:t>
            </w: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挂牌公司数量</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color w:val="000000"/>
                <w:kern w:val="0"/>
                <w:sz w:val="20"/>
                <w:szCs w:val="20"/>
                <w:lang w:val="en-US" w:eastAsia="zh-CN"/>
              </w:rPr>
            </w:pPr>
            <w:r>
              <w:rPr>
                <w:rFonts w:hint="eastAsia" w:ascii="仿宋_GB2312" w:hAnsi="华文楷体" w:eastAsia="仿宋_GB2312" w:cs="宋体"/>
                <w:color w:val="000000"/>
                <w:kern w:val="0"/>
                <w:sz w:val="20"/>
                <w:szCs w:val="20"/>
                <w:lang w:val="en-US" w:eastAsia="zh-CN"/>
              </w:rPr>
              <w:t>41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0"/>
                <w:szCs w:val="20"/>
                <w:lang w:val="en" w:eastAsia="zh-CN"/>
              </w:rPr>
            </w:pPr>
            <w:r>
              <w:rPr>
                <w:rFonts w:hint="default" w:ascii="仿宋_GB2312" w:hAnsi="宋体" w:eastAsia="仿宋_GB2312" w:cs="宋体"/>
                <w:color w:val="000000"/>
                <w:kern w:val="0"/>
                <w:sz w:val="20"/>
                <w:szCs w:val="20"/>
                <w:lang w:val="en" w:eastAsia="zh-CN"/>
              </w:rPr>
              <w:t>36</w:t>
            </w:r>
          </w:p>
        </w:tc>
      </w:tr>
      <w:tr>
        <w:tblPrEx>
          <w:tblCellMar>
            <w:top w:w="0" w:type="dxa"/>
            <w:left w:w="108" w:type="dxa"/>
            <w:bottom w:w="0" w:type="dxa"/>
            <w:right w:w="108" w:type="dxa"/>
          </w:tblCellMar>
        </w:tblPrEx>
        <w:trPr>
          <w:trHeight w:val="30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jc w:val="left"/>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挂牌公司总股本</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亿股</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color w:val="000000"/>
                <w:kern w:val="0"/>
                <w:sz w:val="20"/>
                <w:szCs w:val="20"/>
                <w:lang w:val="en-US" w:eastAsia="zh-CN"/>
              </w:rPr>
            </w:pPr>
            <w:r>
              <w:rPr>
                <w:rFonts w:hint="eastAsia" w:ascii="仿宋_GB2312" w:hAnsi="华文楷体" w:eastAsia="仿宋_GB2312" w:cs="宋体"/>
                <w:color w:val="000000"/>
                <w:kern w:val="0"/>
                <w:sz w:val="20"/>
                <w:szCs w:val="20"/>
                <w:lang w:val="en-US" w:eastAsia="zh-CN"/>
              </w:rPr>
              <w:t>57.71</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 w:eastAsia="zh-CN"/>
              </w:rPr>
            </w:pPr>
            <w:r>
              <w:rPr>
                <w:rFonts w:hint="default" w:ascii="仿宋_GB2312" w:hAnsi="宋体" w:eastAsia="仿宋_GB2312" w:cs="宋体"/>
                <w:color w:val="000000"/>
                <w:kern w:val="0"/>
                <w:sz w:val="20"/>
                <w:szCs w:val="20"/>
                <w:lang w:val="en" w:eastAsia="zh-CN"/>
              </w:rPr>
              <w:t>58.47</w:t>
            </w:r>
          </w:p>
        </w:tc>
      </w:tr>
      <w:tr>
        <w:tblPrEx>
          <w:tblCellMar>
            <w:top w:w="0" w:type="dxa"/>
            <w:left w:w="108" w:type="dxa"/>
            <w:bottom w:w="0" w:type="dxa"/>
            <w:right w:w="108" w:type="dxa"/>
          </w:tblCellMar>
        </w:tblPrEx>
        <w:trPr>
          <w:trHeight w:val="300" w:hRule="atLeast"/>
          <w:jc w:val="center"/>
        </w:trPr>
        <w:tc>
          <w:tcPr>
            <w:tcW w:w="127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拟上市</w:t>
            </w:r>
          </w:p>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公司</w:t>
            </w: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拟上市公司数量</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color w:val="000000"/>
                <w:kern w:val="0"/>
                <w:sz w:val="20"/>
                <w:szCs w:val="20"/>
                <w:lang w:val="en-US" w:eastAsia="zh-CN"/>
              </w:rPr>
            </w:pPr>
            <w:r>
              <w:rPr>
                <w:rFonts w:hint="eastAsia" w:ascii="仿宋_GB2312" w:hAnsi="华文楷体" w:eastAsia="仿宋_GB2312" w:cs="宋体"/>
                <w:color w:val="000000"/>
                <w:kern w:val="0"/>
                <w:sz w:val="20"/>
                <w:szCs w:val="20"/>
                <w:lang w:val="en-US" w:eastAsia="zh-CN"/>
              </w:rPr>
              <w:t>10</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 w:eastAsia="zh-CN"/>
              </w:rPr>
            </w:pPr>
            <w:r>
              <w:rPr>
                <w:rFonts w:hint="default" w:ascii="仿宋_GB2312" w:hAnsi="宋体" w:eastAsia="仿宋_GB2312" w:cs="宋体"/>
                <w:color w:val="000000"/>
                <w:kern w:val="0"/>
                <w:sz w:val="20"/>
                <w:szCs w:val="20"/>
                <w:lang w:val="en" w:eastAsia="zh-CN"/>
              </w:rPr>
              <w:t>11</w:t>
            </w:r>
          </w:p>
        </w:tc>
      </w:tr>
      <w:tr>
        <w:tblPrEx>
          <w:tblCellMar>
            <w:top w:w="0" w:type="dxa"/>
            <w:left w:w="108" w:type="dxa"/>
            <w:bottom w:w="0" w:type="dxa"/>
            <w:right w:w="108" w:type="dxa"/>
          </w:tblCellMar>
        </w:tblPrEx>
        <w:trPr>
          <w:trHeight w:val="292"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hint="eastAsia" w:ascii="仿宋_GB2312" w:hAnsi="华文楷体" w:eastAsia="仿宋_GB2312" w:cs="宋体"/>
                <w:color w:val="000000"/>
                <w:kern w:val="0"/>
                <w:sz w:val="20"/>
                <w:szCs w:val="20"/>
                <w:lang w:val="en" w:eastAsia="zh-CN"/>
              </w:rPr>
            </w:pPr>
            <w:r>
              <w:rPr>
                <w:rFonts w:hint="eastAsia" w:ascii="仿宋_GB2312" w:hAnsi="华文楷体" w:eastAsia="仿宋_GB2312" w:cs="宋体"/>
                <w:color w:val="000000"/>
                <w:kern w:val="0"/>
                <w:sz w:val="20"/>
                <w:szCs w:val="20"/>
              </w:rPr>
              <w:t xml:space="preserve">    其中：已</w:t>
            </w:r>
            <w:r>
              <w:rPr>
                <w:rFonts w:hint="eastAsia" w:ascii="仿宋_GB2312" w:hAnsi="华文楷体" w:eastAsia="仿宋_GB2312" w:cs="宋体"/>
                <w:color w:val="000000"/>
                <w:kern w:val="0"/>
                <w:sz w:val="20"/>
                <w:szCs w:val="20"/>
                <w:lang w:eastAsia="zh-CN"/>
              </w:rPr>
              <w:t>过会</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eastAsia" w:ascii="仿宋_GB2312" w:hAnsi="华文楷体" w:eastAsia="仿宋_GB2312" w:cs="宋体"/>
                <w:color w:val="000000"/>
                <w:kern w:val="0"/>
                <w:sz w:val="20"/>
                <w:szCs w:val="20"/>
                <w:lang w:eastAsia="zh-CN"/>
              </w:rPr>
            </w:pPr>
            <w:r>
              <w:rPr>
                <w:rFonts w:hint="eastAsia" w:ascii="仿宋_GB2312" w:hAnsi="华文楷体" w:eastAsia="仿宋_GB2312" w:cs="宋体"/>
                <w:color w:val="000000"/>
                <w:kern w:val="0"/>
                <w:sz w:val="20"/>
                <w:szCs w:val="20"/>
                <w:lang w:val="en-US" w:eastAsia="zh-CN"/>
              </w:rPr>
              <w:t>0</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
              </w:rPr>
            </w:pPr>
            <w:r>
              <w:rPr>
                <w:rFonts w:hint="default" w:ascii="仿宋_GB2312" w:hAnsi="宋体" w:eastAsia="仿宋_GB2312" w:cs="宋体"/>
                <w:color w:val="000000"/>
                <w:kern w:val="0"/>
                <w:sz w:val="20"/>
                <w:szCs w:val="20"/>
                <w:lang w:val="en"/>
              </w:rPr>
              <w:t>1</w:t>
            </w:r>
          </w:p>
        </w:tc>
      </w:tr>
      <w:tr>
        <w:tblPrEx>
          <w:tblCellMar>
            <w:top w:w="0" w:type="dxa"/>
            <w:left w:w="108" w:type="dxa"/>
            <w:bottom w:w="0" w:type="dxa"/>
            <w:right w:w="108" w:type="dxa"/>
          </w:tblCellMar>
        </w:tblPrEx>
        <w:trPr>
          <w:trHeight w:val="255"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kern w:val="0"/>
                <w:sz w:val="20"/>
                <w:szCs w:val="20"/>
              </w:rPr>
            </w:pPr>
            <w:r>
              <w:rPr>
                <w:rFonts w:hint="eastAsia" w:ascii="仿宋_GB2312" w:hAnsi="华文楷体" w:eastAsia="仿宋_GB2312" w:cs="宋体"/>
                <w:kern w:val="0"/>
                <w:sz w:val="20"/>
                <w:szCs w:val="20"/>
              </w:rPr>
              <w:t xml:space="preserve">          已报送申请材料</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kern w:val="0"/>
                <w:sz w:val="20"/>
                <w:szCs w:val="20"/>
              </w:rPr>
            </w:pPr>
            <w:r>
              <w:rPr>
                <w:rFonts w:hint="eastAsia" w:ascii="仿宋_GB2312" w:hAnsi="华文楷体" w:eastAsia="仿宋_GB2312" w:cs="宋体"/>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eastAsia" w:ascii="仿宋_GB2312" w:hAnsi="华文楷体" w:eastAsia="仿宋_GB2312" w:cs="宋体"/>
                <w:kern w:val="0"/>
                <w:sz w:val="20"/>
                <w:szCs w:val="20"/>
                <w:lang w:eastAsia="zh-CN"/>
              </w:rPr>
            </w:pPr>
            <w:r>
              <w:rPr>
                <w:rFonts w:hint="eastAsia" w:ascii="仿宋_GB2312" w:hAnsi="华文楷体" w:eastAsia="仿宋_GB2312" w:cs="宋体"/>
                <w:kern w:val="0"/>
                <w:sz w:val="20"/>
                <w:szCs w:val="20"/>
                <w:lang w:val="en-US" w:eastAsia="zh-CN"/>
              </w:rPr>
              <w:t>3</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
              </w:rPr>
            </w:pPr>
            <w:r>
              <w:rPr>
                <w:rFonts w:hint="default" w:ascii="仿宋_GB2312" w:hAnsi="宋体" w:eastAsia="仿宋_GB2312" w:cs="宋体"/>
                <w:color w:val="000000"/>
                <w:kern w:val="0"/>
                <w:sz w:val="20"/>
                <w:szCs w:val="20"/>
                <w:lang w:val="en"/>
              </w:rPr>
              <w:t>3</w:t>
            </w:r>
          </w:p>
        </w:tc>
      </w:tr>
      <w:tr>
        <w:tblPrEx>
          <w:tblCellMar>
            <w:top w:w="0" w:type="dxa"/>
            <w:left w:w="108" w:type="dxa"/>
            <w:bottom w:w="0" w:type="dxa"/>
            <w:right w:w="108" w:type="dxa"/>
          </w:tblCellMar>
        </w:tblPrEx>
        <w:trPr>
          <w:trHeight w:val="27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kern w:val="0"/>
                <w:sz w:val="20"/>
                <w:szCs w:val="20"/>
              </w:rPr>
            </w:pPr>
            <w:r>
              <w:rPr>
                <w:rFonts w:hint="eastAsia" w:ascii="仿宋_GB2312" w:hAnsi="华文楷体" w:eastAsia="仿宋_GB2312" w:cs="宋体"/>
                <w:kern w:val="0"/>
                <w:sz w:val="20"/>
                <w:szCs w:val="20"/>
              </w:rPr>
              <w:t xml:space="preserve">          处于辅导期</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kern w:val="0"/>
                <w:sz w:val="20"/>
                <w:szCs w:val="20"/>
              </w:rPr>
            </w:pPr>
            <w:r>
              <w:rPr>
                <w:rFonts w:hint="eastAsia" w:ascii="仿宋_GB2312" w:hAnsi="华文楷体" w:eastAsia="仿宋_GB2312" w:cs="宋体"/>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eastAsia" w:ascii="仿宋_GB2312" w:hAnsi="华文楷体" w:eastAsia="仿宋_GB2312" w:cs="宋体"/>
                <w:kern w:val="0"/>
                <w:sz w:val="20"/>
                <w:szCs w:val="20"/>
                <w:lang w:eastAsia="zh-CN"/>
              </w:rPr>
            </w:pPr>
            <w:r>
              <w:rPr>
                <w:rFonts w:hint="eastAsia" w:ascii="仿宋_GB2312" w:hAnsi="华文楷体" w:eastAsia="仿宋_GB2312" w:cs="宋体"/>
                <w:kern w:val="0"/>
                <w:sz w:val="20"/>
                <w:szCs w:val="20"/>
                <w:lang w:val="en-US" w:eastAsia="zh-CN"/>
              </w:rPr>
              <w:t>6</w:t>
            </w:r>
          </w:p>
        </w:tc>
        <w:tc>
          <w:tcPr>
            <w:tcW w:w="1559"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color w:val="000000"/>
                <w:kern w:val="0"/>
                <w:sz w:val="20"/>
                <w:szCs w:val="20"/>
                <w:lang w:val="en" w:eastAsia="zh-CN"/>
              </w:rPr>
            </w:pPr>
            <w:r>
              <w:rPr>
                <w:rFonts w:hint="default" w:ascii="仿宋_GB2312" w:hAnsi="宋体" w:eastAsia="仿宋_GB2312" w:cs="宋体"/>
                <w:color w:val="000000"/>
                <w:kern w:val="0"/>
                <w:sz w:val="20"/>
                <w:szCs w:val="20"/>
                <w:lang w:val="en" w:eastAsia="zh-CN"/>
              </w:rPr>
              <w:t>7</w:t>
            </w:r>
          </w:p>
        </w:tc>
      </w:tr>
      <w:tr>
        <w:tblPrEx>
          <w:tblCellMar>
            <w:top w:w="0" w:type="dxa"/>
            <w:left w:w="108" w:type="dxa"/>
            <w:bottom w:w="0" w:type="dxa"/>
            <w:right w:w="108" w:type="dxa"/>
          </w:tblCellMar>
        </w:tblPrEx>
        <w:trPr>
          <w:trHeight w:val="300" w:hRule="atLeast"/>
          <w:jc w:val="center"/>
        </w:trPr>
        <w:tc>
          <w:tcPr>
            <w:tcW w:w="127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证券经营机构</w:t>
            </w: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证券公司</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ascii="仿宋_GB2312" w:hAnsi="华文楷体" w:eastAsia="仿宋_GB2312" w:cs="宋体"/>
                <w:kern w:val="0"/>
                <w:sz w:val="20"/>
                <w:szCs w:val="20"/>
              </w:rPr>
            </w:pPr>
            <w:r>
              <w:rPr>
                <w:rFonts w:hint="eastAsia" w:ascii="仿宋_GB2312" w:hAnsi="华文楷体" w:eastAsia="仿宋_GB2312" w:cs="宋体"/>
                <w:kern w:val="0"/>
                <w:sz w:val="20"/>
                <w:szCs w:val="20"/>
              </w:rPr>
              <w:t>2</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highlight w:val="yellow"/>
              </w:rPr>
            </w:pPr>
            <w:r>
              <w:rPr>
                <w:rFonts w:hint="eastAsia" w:ascii="仿宋_GB2312" w:hAnsi="宋体" w:eastAsia="仿宋_GB2312" w:cs="宋体"/>
                <w:kern w:val="0"/>
                <w:sz w:val="20"/>
                <w:szCs w:val="20"/>
              </w:rPr>
              <w:t>2</w:t>
            </w:r>
          </w:p>
        </w:tc>
      </w:tr>
      <w:tr>
        <w:tblPrEx>
          <w:tblCellMar>
            <w:top w:w="0" w:type="dxa"/>
            <w:left w:w="108" w:type="dxa"/>
            <w:bottom w:w="0" w:type="dxa"/>
            <w:right w:w="108" w:type="dxa"/>
          </w:tblCellMar>
        </w:tblPrEx>
        <w:trPr>
          <w:trHeight w:val="27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证券分公司</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ascii="仿宋_GB2312" w:hAnsi="华文楷体" w:eastAsia="仿宋_GB2312" w:cs="宋体"/>
                <w:kern w:val="0"/>
                <w:sz w:val="20"/>
                <w:szCs w:val="20"/>
              </w:rPr>
            </w:pPr>
            <w:r>
              <w:rPr>
                <w:rFonts w:hint="eastAsia" w:ascii="仿宋_GB2312" w:hAnsi="华文楷体" w:eastAsia="仿宋_GB2312" w:cs="宋体"/>
                <w:kern w:val="0"/>
                <w:sz w:val="20"/>
                <w:szCs w:val="20"/>
              </w:rPr>
              <w:t>29</w:t>
            </w:r>
          </w:p>
        </w:tc>
        <w:tc>
          <w:tcPr>
            <w:tcW w:w="1559" w:type="dxa"/>
            <w:tcBorders>
              <w:top w:val="nil"/>
              <w:left w:val="nil"/>
              <w:bottom w:val="single" w:color="auto" w:sz="4" w:space="0"/>
              <w:right w:val="single" w:color="auto" w:sz="4" w:space="0"/>
            </w:tcBorders>
            <w:vAlign w:val="top"/>
          </w:tcPr>
          <w:p>
            <w:pPr>
              <w:widowControl/>
              <w:jc w:val="center"/>
              <w:rPr>
                <w:rFonts w:hint="default" w:ascii="仿宋_GB2312" w:hAnsi="宋体" w:eastAsia="仿宋_GB2312" w:cs="宋体"/>
                <w:kern w:val="0"/>
                <w:sz w:val="20"/>
                <w:szCs w:val="20"/>
                <w:highlight w:val="yellow"/>
                <w:lang w:val="en" w:eastAsia="zh-CN"/>
              </w:rPr>
            </w:pPr>
            <w:r>
              <w:rPr>
                <w:rFonts w:hint="eastAsia" w:ascii="仿宋_GB2312" w:hAnsi="华文楷体" w:eastAsia="仿宋_GB2312" w:cs="宋体"/>
                <w:kern w:val="0"/>
                <w:sz w:val="20"/>
                <w:szCs w:val="20"/>
              </w:rPr>
              <w:t>2</w:t>
            </w:r>
            <w:r>
              <w:rPr>
                <w:rFonts w:hint="default" w:ascii="仿宋_GB2312" w:hAnsi="华文楷体" w:eastAsia="仿宋_GB2312" w:cs="宋体"/>
                <w:kern w:val="0"/>
                <w:sz w:val="20"/>
                <w:szCs w:val="20"/>
                <w:lang w:val="en"/>
              </w:rPr>
              <w:t>8</w:t>
            </w:r>
          </w:p>
        </w:tc>
      </w:tr>
      <w:tr>
        <w:tblPrEx>
          <w:tblCellMar>
            <w:top w:w="0" w:type="dxa"/>
            <w:left w:w="108" w:type="dxa"/>
            <w:bottom w:w="0" w:type="dxa"/>
            <w:right w:w="108" w:type="dxa"/>
          </w:tblCellMar>
        </w:tblPrEx>
        <w:trPr>
          <w:trHeight w:val="285"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jc w:val="left"/>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证券营业部家数</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kern w:val="0"/>
                <w:sz w:val="20"/>
                <w:szCs w:val="20"/>
                <w:lang w:val="en-US" w:eastAsia="zh-CN"/>
              </w:rPr>
            </w:pPr>
            <w:r>
              <w:rPr>
                <w:rFonts w:hint="eastAsia" w:ascii="仿宋_GB2312" w:hAnsi="华文楷体" w:eastAsia="仿宋_GB2312" w:cs="宋体"/>
                <w:kern w:val="0"/>
                <w:sz w:val="20"/>
                <w:szCs w:val="20"/>
                <w:lang w:val="en-US" w:eastAsia="zh-CN"/>
              </w:rPr>
              <w:t>97</w:t>
            </w:r>
          </w:p>
        </w:tc>
        <w:tc>
          <w:tcPr>
            <w:tcW w:w="1559" w:type="dxa"/>
            <w:tcBorders>
              <w:top w:val="nil"/>
              <w:left w:val="nil"/>
              <w:bottom w:val="single" w:color="auto" w:sz="4" w:space="0"/>
              <w:right w:val="single" w:color="auto" w:sz="4" w:space="0"/>
            </w:tcBorders>
            <w:vAlign w:val="top"/>
          </w:tcPr>
          <w:p>
            <w:pPr>
              <w:widowControl/>
              <w:jc w:val="center"/>
              <w:rPr>
                <w:rFonts w:ascii="仿宋_GB2312" w:hAnsi="宋体" w:eastAsia="仿宋_GB2312" w:cs="宋体"/>
                <w:kern w:val="0"/>
                <w:sz w:val="20"/>
                <w:szCs w:val="20"/>
                <w:highlight w:val="yellow"/>
              </w:rPr>
            </w:pPr>
            <w:r>
              <w:rPr>
                <w:rFonts w:hint="eastAsia" w:ascii="仿宋_GB2312" w:hAnsi="华文楷体" w:eastAsia="仿宋_GB2312" w:cs="宋体"/>
                <w:kern w:val="0"/>
                <w:sz w:val="20"/>
                <w:szCs w:val="20"/>
                <w:lang w:val="en-US" w:eastAsia="zh-CN"/>
              </w:rPr>
              <w:t>97</w:t>
            </w:r>
          </w:p>
        </w:tc>
      </w:tr>
      <w:tr>
        <w:tblPrEx>
          <w:tblCellMar>
            <w:top w:w="0" w:type="dxa"/>
            <w:left w:w="108" w:type="dxa"/>
            <w:bottom w:w="0" w:type="dxa"/>
            <w:right w:w="108" w:type="dxa"/>
          </w:tblCellMar>
        </w:tblPrEx>
        <w:trPr>
          <w:trHeight w:val="27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jc w:val="left"/>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证券从业人员数量</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人</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kern w:val="0"/>
                <w:sz w:val="20"/>
                <w:szCs w:val="20"/>
                <w:lang w:val="en-US" w:eastAsia="zh-CN"/>
              </w:rPr>
            </w:pPr>
            <w:r>
              <w:rPr>
                <w:rFonts w:hint="eastAsia" w:ascii="仿宋_GB2312" w:hAnsi="华文楷体" w:eastAsia="仿宋_GB2312" w:cs="宋体"/>
                <w:kern w:val="0"/>
                <w:sz w:val="20"/>
                <w:szCs w:val="20"/>
                <w:lang w:val="en-US" w:eastAsia="zh-CN"/>
              </w:rPr>
              <w:t>1824</w:t>
            </w:r>
          </w:p>
        </w:tc>
        <w:tc>
          <w:tcPr>
            <w:tcW w:w="1559" w:type="dxa"/>
            <w:tcBorders>
              <w:top w:val="nil"/>
              <w:left w:val="nil"/>
              <w:bottom w:val="single" w:color="auto" w:sz="4" w:space="0"/>
              <w:right w:val="single" w:color="auto" w:sz="4" w:space="0"/>
            </w:tcBorders>
            <w:vAlign w:val="top"/>
          </w:tcPr>
          <w:p>
            <w:pPr>
              <w:widowControl/>
              <w:jc w:val="center"/>
              <w:rPr>
                <w:rFonts w:hint="default" w:ascii="仿宋_GB2312" w:hAnsi="宋体" w:eastAsia="仿宋_GB2312" w:cs="宋体"/>
                <w:kern w:val="0"/>
                <w:sz w:val="20"/>
                <w:szCs w:val="20"/>
                <w:highlight w:val="yellow"/>
                <w:lang w:val="en"/>
              </w:rPr>
            </w:pPr>
            <w:r>
              <w:rPr>
                <w:rFonts w:hint="default" w:ascii="仿宋_GB2312" w:hAnsi="华文楷体" w:eastAsia="仿宋_GB2312" w:cs="宋体"/>
                <w:kern w:val="0"/>
                <w:sz w:val="20"/>
                <w:szCs w:val="20"/>
                <w:lang w:val="en" w:eastAsia="zh-CN"/>
              </w:rPr>
              <w:t>1804</w:t>
            </w:r>
          </w:p>
        </w:tc>
      </w:tr>
      <w:tr>
        <w:tblPrEx>
          <w:tblCellMar>
            <w:top w:w="0" w:type="dxa"/>
            <w:left w:w="108" w:type="dxa"/>
            <w:bottom w:w="0" w:type="dxa"/>
            <w:right w:w="108" w:type="dxa"/>
          </w:tblCellMar>
        </w:tblPrEx>
        <w:trPr>
          <w:trHeight w:val="27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jc w:val="left"/>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证券投资者资金账户数量</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万户</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kern w:val="0"/>
                <w:sz w:val="20"/>
                <w:szCs w:val="20"/>
                <w:lang w:val="en-US" w:eastAsia="zh-CN"/>
              </w:rPr>
            </w:pPr>
            <w:r>
              <w:rPr>
                <w:rFonts w:hint="eastAsia" w:ascii="仿宋_GB2312" w:hAnsi="华文楷体" w:eastAsia="仿宋_GB2312" w:cs="宋体"/>
                <w:kern w:val="0"/>
                <w:sz w:val="20"/>
                <w:szCs w:val="20"/>
                <w:lang w:val="en-US" w:eastAsia="zh-CN"/>
              </w:rPr>
              <w:t>226.38</w:t>
            </w:r>
          </w:p>
        </w:tc>
        <w:tc>
          <w:tcPr>
            <w:tcW w:w="1559" w:type="dxa"/>
            <w:tcBorders>
              <w:top w:val="nil"/>
              <w:left w:val="nil"/>
              <w:bottom w:val="single" w:color="auto" w:sz="4" w:space="0"/>
              <w:right w:val="single" w:color="auto" w:sz="4" w:space="0"/>
            </w:tcBorders>
            <w:vAlign w:val="top"/>
          </w:tcPr>
          <w:p>
            <w:pPr>
              <w:widowControl/>
              <w:jc w:val="center"/>
              <w:rPr>
                <w:rFonts w:hint="default" w:ascii="仿宋_GB2312" w:hAnsi="宋体" w:eastAsia="仿宋_GB2312" w:cs="宋体"/>
                <w:kern w:val="0"/>
                <w:sz w:val="20"/>
                <w:szCs w:val="20"/>
                <w:highlight w:val="yellow"/>
                <w:lang w:val="en"/>
              </w:rPr>
            </w:pPr>
            <w:r>
              <w:rPr>
                <w:rFonts w:hint="default" w:ascii="仿宋_GB2312" w:hAnsi="华文楷体" w:eastAsia="仿宋_GB2312" w:cs="宋体"/>
                <w:kern w:val="0"/>
                <w:sz w:val="20"/>
                <w:szCs w:val="20"/>
                <w:lang w:val="en" w:eastAsia="zh-CN"/>
              </w:rPr>
              <w:t>232.07</w:t>
            </w:r>
          </w:p>
        </w:tc>
      </w:tr>
      <w:tr>
        <w:tblPrEx>
          <w:tblCellMar>
            <w:top w:w="0" w:type="dxa"/>
            <w:left w:w="108" w:type="dxa"/>
            <w:bottom w:w="0" w:type="dxa"/>
            <w:right w:w="108" w:type="dxa"/>
          </w:tblCellMar>
        </w:tblPrEx>
        <w:trPr>
          <w:trHeight w:val="270" w:hRule="atLeast"/>
          <w:jc w:val="center"/>
        </w:trPr>
        <w:tc>
          <w:tcPr>
            <w:tcW w:w="127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期货经营机构</w:t>
            </w: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期货营业部数量</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tcPr>
          <w:p>
            <w:pPr>
              <w:widowControl/>
              <w:jc w:val="center"/>
              <w:rPr>
                <w:rFonts w:ascii="仿宋_GB2312" w:hAnsi="华文楷体" w:eastAsia="仿宋_GB2312" w:cs="宋体"/>
                <w:kern w:val="0"/>
                <w:sz w:val="20"/>
                <w:szCs w:val="20"/>
              </w:rPr>
            </w:pPr>
            <w:r>
              <w:rPr>
                <w:rFonts w:hint="eastAsia" w:ascii="仿宋_GB2312" w:hAnsi="华文楷体" w:eastAsia="仿宋_GB2312" w:cs="宋体"/>
                <w:kern w:val="0"/>
                <w:sz w:val="20"/>
                <w:szCs w:val="20"/>
              </w:rPr>
              <w:t>11</w:t>
            </w:r>
          </w:p>
        </w:tc>
        <w:tc>
          <w:tcPr>
            <w:tcW w:w="1559" w:type="dxa"/>
            <w:tcBorders>
              <w:top w:val="nil"/>
              <w:left w:val="nil"/>
              <w:bottom w:val="single" w:color="auto" w:sz="4" w:space="0"/>
              <w:right w:val="single" w:color="auto" w:sz="4" w:space="0"/>
            </w:tcBorders>
            <w:vAlign w:val="top"/>
          </w:tcPr>
          <w:p>
            <w:pPr>
              <w:widowControl/>
              <w:jc w:val="center"/>
              <w:rPr>
                <w:rFonts w:hint="default" w:ascii="仿宋_GB2312" w:hAnsi="宋体" w:eastAsia="仿宋_GB2312" w:cs="宋体"/>
                <w:kern w:val="0"/>
                <w:sz w:val="20"/>
                <w:szCs w:val="20"/>
                <w:lang w:val="en" w:eastAsia="zh-CN"/>
              </w:rPr>
            </w:pPr>
            <w:r>
              <w:rPr>
                <w:rFonts w:hint="default" w:ascii="仿宋_GB2312" w:hAnsi="华文楷体" w:eastAsia="仿宋_GB2312" w:cs="宋体"/>
                <w:kern w:val="0"/>
                <w:sz w:val="20"/>
                <w:szCs w:val="20"/>
                <w:lang w:val="en"/>
              </w:rPr>
              <w:t>9</w:t>
            </w:r>
          </w:p>
        </w:tc>
      </w:tr>
      <w:tr>
        <w:tblPrEx>
          <w:tblCellMar>
            <w:top w:w="0" w:type="dxa"/>
            <w:left w:w="108" w:type="dxa"/>
            <w:bottom w:w="0" w:type="dxa"/>
            <w:right w:w="108" w:type="dxa"/>
          </w:tblCellMar>
        </w:tblPrEx>
        <w:trPr>
          <w:trHeight w:val="27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期货从业人员数量</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人</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kern w:val="0"/>
                <w:sz w:val="20"/>
                <w:szCs w:val="20"/>
                <w:lang w:val="en-US" w:eastAsia="zh-CN"/>
              </w:rPr>
            </w:pPr>
            <w:r>
              <w:rPr>
                <w:rFonts w:hint="eastAsia" w:ascii="仿宋_GB2312" w:hAnsi="华文楷体" w:eastAsia="仿宋_GB2312" w:cs="宋体"/>
                <w:kern w:val="0"/>
                <w:sz w:val="20"/>
                <w:szCs w:val="20"/>
                <w:lang w:val="en-US" w:eastAsia="zh-CN"/>
              </w:rPr>
              <w:t>68</w:t>
            </w:r>
          </w:p>
        </w:tc>
        <w:tc>
          <w:tcPr>
            <w:tcW w:w="1559" w:type="dxa"/>
            <w:tcBorders>
              <w:top w:val="nil"/>
              <w:left w:val="nil"/>
              <w:bottom w:val="single" w:color="auto" w:sz="4" w:space="0"/>
              <w:right w:val="single" w:color="auto" w:sz="4" w:space="0"/>
            </w:tcBorders>
            <w:vAlign w:val="top"/>
          </w:tcPr>
          <w:p>
            <w:pPr>
              <w:widowControl/>
              <w:jc w:val="center"/>
              <w:rPr>
                <w:rFonts w:hint="default" w:ascii="仿宋_GB2312" w:hAnsi="宋体" w:eastAsia="仿宋_GB2312" w:cs="宋体"/>
                <w:kern w:val="0"/>
                <w:sz w:val="20"/>
                <w:szCs w:val="20"/>
                <w:lang w:val="en"/>
              </w:rPr>
            </w:pPr>
            <w:r>
              <w:rPr>
                <w:rFonts w:hint="default" w:ascii="仿宋_GB2312" w:hAnsi="华文楷体" w:eastAsia="仿宋_GB2312" w:cs="宋体"/>
                <w:kern w:val="0"/>
                <w:sz w:val="20"/>
                <w:szCs w:val="20"/>
                <w:lang w:val="en" w:eastAsia="zh-CN"/>
              </w:rPr>
              <w:t>59</w:t>
            </w:r>
          </w:p>
        </w:tc>
      </w:tr>
      <w:tr>
        <w:tblPrEx>
          <w:tblCellMar>
            <w:top w:w="0" w:type="dxa"/>
            <w:left w:w="108" w:type="dxa"/>
            <w:bottom w:w="0" w:type="dxa"/>
            <w:right w:w="108" w:type="dxa"/>
          </w:tblCellMar>
        </w:tblPrEx>
        <w:trPr>
          <w:trHeight w:val="27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期货投资者资金账户数量</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万户</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kern w:val="0"/>
                <w:sz w:val="20"/>
                <w:szCs w:val="20"/>
                <w:lang w:val="en-US" w:eastAsia="zh-CN"/>
              </w:rPr>
            </w:pPr>
            <w:r>
              <w:rPr>
                <w:rFonts w:hint="eastAsia" w:ascii="仿宋_GB2312" w:hAnsi="华文楷体" w:eastAsia="仿宋_GB2312" w:cs="宋体"/>
                <w:kern w:val="0"/>
                <w:sz w:val="20"/>
                <w:szCs w:val="20"/>
                <w:lang w:val="en-US" w:eastAsia="zh-CN"/>
              </w:rPr>
              <w:t>1.88</w:t>
            </w:r>
          </w:p>
        </w:tc>
        <w:tc>
          <w:tcPr>
            <w:tcW w:w="1559" w:type="dxa"/>
            <w:tcBorders>
              <w:top w:val="nil"/>
              <w:left w:val="nil"/>
              <w:bottom w:val="single" w:color="auto" w:sz="4" w:space="0"/>
              <w:right w:val="single" w:color="auto" w:sz="4" w:space="0"/>
            </w:tcBorders>
            <w:vAlign w:val="top"/>
          </w:tcPr>
          <w:p>
            <w:pPr>
              <w:widowControl/>
              <w:jc w:val="center"/>
              <w:rPr>
                <w:rFonts w:hint="default" w:ascii="仿宋_GB2312" w:hAnsi="宋体" w:eastAsia="仿宋_GB2312" w:cs="宋体"/>
                <w:kern w:val="0"/>
                <w:sz w:val="20"/>
                <w:szCs w:val="20"/>
                <w:lang w:val="en"/>
              </w:rPr>
            </w:pPr>
            <w:r>
              <w:rPr>
                <w:rFonts w:hint="eastAsia" w:ascii="仿宋_GB2312" w:hAnsi="华文楷体" w:eastAsia="仿宋_GB2312" w:cs="宋体"/>
                <w:kern w:val="0"/>
                <w:sz w:val="20"/>
                <w:szCs w:val="20"/>
                <w:lang w:val="en-US" w:eastAsia="zh-CN"/>
              </w:rPr>
              <w:t>2.0</w:t>
            </w:r>
            <w:r>
              <w:rPr>
                <w:rFonts w:hint="default" w:ascii="仿宋_GB2312" w:hAnsi="华文楷体" w:eastAsia="仿宋_GB2312" w:cs="宋体"/>
                <w:kern w:val="0"/>
                <w:sz w:val="20"/>
                <w:szCs w:val="20"/>
                <w:lang w:val="en" w:eastAsia="zh-CN"/>
              </w:rPr>
              <w:t>9</w:t>
            </w:r>
          </w:p>
        </w:tc>
      </w:tr>
      <w:tr>
        <w:tblPrEx>
          <w:tblCellMar>
            <w:top w:w="0" w:type="dxa"/>
            <w:left w:w="108" w:type="dxa"/>
            <w:bottom w:w="0" w:type="dxa"/>
            <w:right w:w="108" w:type="dxa"/>
          </w:tblCellMar>
        </w:tblPrEx>
        <w:trPr>
          <w:trHeight w:val="330" w:hRule="atLeast"/>
          <w:jc w:val="center"/>
        </w:trPr>
        <w:tc>
          <w:tcPr>
            <w:tcW w:w="127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华文楷体" w:eastAsia="仿宋_GB2312" w:cs="宋体"/>
                <w:b/>
                <w:bCs/>
                <w:color w:val="000000"/>
                <w:kern w:val="0"/>
                <w:sz w:val="20"/>
                <w:szCs w:val="20"/>
              </w:rPr>
            </w:pPr>
            <w:r>
              <w:rPr>
                <w:rFonts w:hint="eastAsia" w:ascii="仿宋_GB2312" w:hAnsi="华文楷体" w:eastAsia="仿宋_GB2312" w:cs="宋体"/>
                <w:b/>
                <w:bCs/>
                <w:color w:val="000000"/>
                <w:kern w:val="0"/>
                <w:sz w:val="20"/>
                <w:szCs w:val="20"/>
              </w:rPr>
              <w:t>私募基金</w:t>
            </w:r>
          </w:p>
        </w:tc>
        <w:tc>
          <w:tcPr>
            <w:tcW w:w="3260" w:type="dxa"/>
            <w:tcBorders>
              <w:top w:val="single" w:color="auto" w:sz="4" w:space="0"/>
              <w:left w:val="nil"/>
              <w:bottom w:val="single" w:color="auto" w:sz="4" w:space="0"/>
              <w:right w:val="single" w:color="auto" w:sz="4" w:space="0"/>
            </w:tcBorders>
            <w:shd w:val="clear" w:color="auto" w:fill="auto"/>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私募基金管理人数量（已登记）</w:t>
            </w:r>
          </w:p>
        </w:tc>
        <w:tc>
          <w:tcPr>
            <w:tcW w:w="992" w:type="dxa"/>
            <w:tcBorders>
              <w:top w:val="nil"/>
              <w:left w:val="nil"/>
              <w:bottom w:val="single" w:color="auto" w:sz="4" w:space="0"/>
              <w:right w:val="single" w:color="auto" w:sz="4" w:space="0"/>
            </w:tcBorders>
            <w:shd w:val="clear" w:color="auto" w:fill="auto"/>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家</w:t>
            </w:r>
          </w:p>
        </w:tc>
        <w:tc>
          <w:tcPr>
            <w:tcW w:w="1276" w:type="dxa"/>
            <w:tcBorders>
              <w:top w:val="nil"/>
              <w:left w:val="nil"/>
              <w:bottom w:val="single" w:color="auto" w:sz="4" w:space="0"/>
              <w:right w:val="single" w:color="auto" w:sz="4" w:space="0"/>
            </w:tcBorders>
            <w:shd w:val="clear" w:color="auto" w:fill="auto"/>
          </w:tcPr>
          <w:p>
            <w:pPr>
              <w:widowControl/>
              <w:jc w:val="center"/>
              <w:rPr>
                <w:rFonts w:hint="default" w:ascii="仿宋_GB2312" w:hAnsi="华文楷体" w:eastAsia="仿宋_GB2312" w:cs="宋体"/>
                <w:kern w:val="0"/>
                <w:sz w:val="20"/>
                <w:szCs w:val="20"/>
                <w:lang w:val="en-US" w:eastAsia="zh-CN"/>
              </w:rPr>
            </w:pPr>
            <w:r>
              <w:rPr>
                <w:rFonts w:hint="eastAsia" w:ascii="仿宋_GB2312" w:hAnsi="华文楷体" w:eastAsia="仿宋_GB2312" w:cs="宋体"/>
                <w:kern w:val="0"/>
                <w:sz w:val="20"/>
                <w:szCs w:val="20"/>
                <w:lang w:val="en-US" w:eastAsia="zh-CN"/>
              </w:rPr>
              <w:t>84</w:t>
            </w:r>
          </w:p>
        </w:tc>
        <w:tc>
          <w:tcPr>
            <w:tcW w:w="1559" w:type="dxa"/>
            <w:tcBorders>
              <w:top w:val="nil"/>
              <w:left w:val="nil"/>
              <w:bottom w:val="single" w:color="auto" w:sz="4" w:space="0"/>
              <w:right w:val="single" w:color="auto" w:sz="4" w:space="0"/>
            </w:tcBorders>
            <w:shd w:val="clear" w:color="auto" w:fill="auto"/>
            <w:vAlign w:val="top"/>
          </w:tcPr>
          <w:p>
            <w:pPr>
              <w:widowControl/>
              <w:jc w:val="center"/>
              <w:rPr>
                <w:rFonts w:hint="default" w:ascii="仿宋_GB2312" w:hAnsi="宋体" w:eastAsia="仿宋_GB2312" w:cs="宋体"/>
                <w:kern w:val="0"/>
                <w:sz w:val="20"/>
                <w:szCs w:val="20"/>
                <w:lang w:val="en"/>
              </w:rPr>
            </w:pPr>
            <w:r>
              <w:rPr>
                <w:rFonts w:hint="default" w:ascii="仿宋_GB2312" w:hAnsi="华文楷体" w:eastAsia="仿宋_GB2312" w:cs="宋体"/>
                <w:kern w:val="0"/>
                <w:sz w:val="20"/>
                <w:szCs w:val="20"/>
                <w:lang w:val="en" w:eastAsia="zh-CN"/>
              </w:rPr>
              <w:t>74</w:t>
            </w:r>
          </w:p>
        </w:tc>
      </w:tr>
      <w:tr>
        <w:tblPrEx>
          <w:tblCellMar>
            <w:top w:w="0" w:type="dxa"/>
            <w:left w:w="108" w:type="dxa"/>
            <w:bottom w:w="0" w:type="dxa"/>
            <w:right w:w="108" w:type="dxa"/>
          </w:tblCellMar>
        </w:tblPrEx>
        <w:trPr>
          <w:trHeight w:val="300"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私募基金管理产品（已备案）</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只</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kern w:val="0"/>
                <w:sz w:val="20"/>
                <w:szCs w:val="20"/>
                <w:lang w:val="en-US" w:eastAsia="zh-CN"/>
              </w:rPr>
            </w:pPr>
            <w:r>
              <w:rPr>
                <w:rFonts w:hint="eastAsia" w:ascii="仿宋_GB2312" w:hAnsi="华文楷体" w:eastAsia="仿宋_GB2312" w:cs="宋体"/>
                <w:kern w:val="0"/>
                <w:sz w:val="20"/>
                <w:szCs w:val="20"/>
                <w:lang w:val="en-US" w:eastAsia="zh-CN"/>
              </w:rPr>
              <w:t>247</w:t>
            </w:r>
          </w:p>
        </w:tc>
        <w:tc>
          <w:tcPr>
            <w:tcW w:w="1559" w:type="dxa"/>
            <w:tcBorders>
              <w:top w:val="nil"/>
              <w:left w:val="nil"/>
              <w:bottom w:val="single" w:color="auto" w:sz="4" w:space="0"/>
              <w:right w:val="single" w:color="auto" w:sz="4" w:space="0"/>
            </w:tcBorders>
            <w:vAlign w:val="top"/>
          </w:tcPr>
          <w:p>
            <w:pPr>
              <w:widowControl/>
              <w:jc w:val="center"/>
              <w:rPr>
                <w:rFonts w:hint="default" w:ascii="仿宋_GB2312" w:hAnsi="宋体" w:eastAsia="仿宋_GB2312" w:cs="宋体"/>
                <w:i w:val="0"/>
                <w:iCs w:val="0"/>
                <w:kern w:val="0"/>
                <w:sz w:val="20"/>
                <w:szCs w:val="20"/>
                <w:lang w:val="en"/>
              </w:rPr>
            </w:pPr>
            <w:r>
              <w:rPr>
                <w:rFonts w:hint="eastAsia" w:ascii="仿宋_GB2312" w:hAnsi="华文楷体" w:eastAsia="仿宋_GB2312" w:cs="宋体"/>
                <w:i w:val="0"/>
                <w:iCs w:val="0"/>
                <w:kern w:val="0"/>
                <w:sz w:val="20"/>
                <w:szCs w:val="20"/>
                <w:lang w:val="en-US" w:eastAsia="zh-CN"/>
              </w:rPr>
              <w:t>26</w:t>
            </w:r>
            <w:r>
              <w:rPr>
                <w:rFonts w:hint="default" w:ascii="仿宋_GB2312" w:hAnsi="华文楷体" w:eastAsia="仿宋_GB2312" w:cs="宋体"/>
                <w:i w:val="0"/>
                <w:iCs w:val="0"/>
                <w:kern w:val="0"/>
                <w:sz w:val="20"/>
                <w:szCs w:val="20"/>
                <w:lang w:val="en" w:eastAsia="zh-CN"/>
              </w:rPr>
              <w:t>4</w:t>
            </w:r>
          </w:p>
        </w:tc>
      </w:tr>
      <w:tr>
        <w:tblPrEx>
          <w:tblCellMar>
            <w:top w:w="0" w:type="dxa"/>
            <w:left w:w="108" w:type="dxa"/>
            <w:bottom w:w="0" w:type="dxa"/>
            <w:right w:w="108" w:type="dxa"/>
          </w:tblCellMar>
        </w:tblPrEx>
        <w:trPr>
          <w:trHeight w:val="315" w:hRule="atLeast"/>
          <w:jc w:val="center"/>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华文楷体" w:eastAsia="仿宋_GB2312" w:cs="宋体"/>
                <w:b/>
                <w:bCs/>
                <w:color w:val="000000"/>
                <w:kern w:val="0"/>
                <w:sz w:val="20"/>
                <w:szCs w:val="20"/>
              </w:rPr>
            </w:pPr>
          </w:p>
        </w:tc>
        <w:tc>
          <w:tcPr>
            <w:tcW w:w="3260" w:type="dxa"/>
            <w:tcBorders>
              <w:top w:val="single" w:color="auto" w:sz="4" w:space="0"/>
              <w:left w:val="nil"/>
              <w:bottom w:val="single" w:color="auto" w:sz="4" w:space="0"/>
              <w:right w:val="single" w:color="auto" w:sz="4" w:space="0"/>
            </w:tcBorders>
          </w:tcPr>
          <w:p>
            <w:pPr>
              <w:widowControl/>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私募基金管理规模</w:t>
            </w:r>
          </w:p>
        </w:tc>
        <w:tc>
          <w:tcPr>
            <w:tcW w:w="992" w:type="dxa"/>
            <w:tcBorders>
              <w:top w:val="nil"/>
              <w:left w:val="nil"/>
              <w:bottom w:val="single" w:color="auto" w:sz="4" w:space="0"/>
              <w:right w:val="single" w:color="auto" w:sz="4" w:space="0"/>
            </w:tcBorders>
          </w:tcPr>
          <w:p>
            <w:pPr>
              <w:widowControl/>
              <w:jc w:val="center"/>
              <w:rPr>
                <w:rFonts w:ascii="仿宋_GB2312" w:hAnsi="华文楷体" w:eastAsia="仿宋_GB2312" w:cs="宋体"/>
                <w:color w:val="000000"/>
                <w:kern w:val="0"/>
                <w:sz w:val="20"/>
                <w:szCs w:val="20"/>
              </w:rPr>
            </w:pPr>
            <w:r>
              <w:rPr>
                <w:rFonts w:hint="eastAsia" w:ascii="仿宋_GB2312" w:hAnsi="华文楷体" w:eastAsia="仿宋_GB2312" w:cs="宋体"/>
                <w:color w:val="000000"/>
                <w:kern w:val="0"/>
                <w:sz w:val="20"/>
                <w:szCs w:val="20"/>
              </w:rPr>
              <w:t>亿元</w:t>
            </w:r>
          </w:p>
        </w:tc>
        <w:tc>
          <w:tcPr>
            <w:tcW w:w="1276" w:type="dxa"/>
            <w:tcBorders>
              <w:top w:val="nil"/>
              <w:left w:val="nil"/>
              <w:bottom w:val="single" w:color="auto" w:sz="4" w:space="0"/>
              <w:right w:val="single" w:color="auto" w:sz="4" w:space="0"/>
            </w:tcBorders>
          </w:tcPr>
          <w:p>
            <w:pPr>
              <w:widowControl/>
              <w:jc w:val="center"/>
              <w:rPr>
                <w:rFonts w:hint="default" w:ascii="仿宋_GB2312" w:hAnsi="华文楷体" w:eastAsia="仿宋_GB2312" w:cs="宋体"/>
                <w:kern w:val="0"/>
                <w:sz w:val="20"/>
                <w:szCs w:val="20"/>
                <w:lang w:val="en-US" w:eastAsia="zh-CN"/>
              </w:rPr>
            </w:pPr>
            <w:r>
              <w:rPr>
                <w:rFonts w:hint="eastAsia" w:ascii="仿宋_GB2312" w:hAnsi="华文楷体" w:eastAsia="仿宋_GB2312" w:cs="宋体"/>
                <w:kern w:val="0"/>
                <w:sz w:val="20"/>
                <w:szCs w:val="20"/>
                <w:lang w:val="en-US" w:eastAsia="zh-CN"/>
              </w:rPr>
              <w:t>1352.27</w:t>
            </w:r>
          </w:p>
        </w:tc>
        <w:tc>
          <w:tcPr>
            <w:tcW w:w="1559" w:type="dxa"/>
            <w:tcBorders>
              <w:top w:val="nil"/>
              <w:left w:val="nil"/>
              <w:bottom w:val="single" w:color="auto" w:sz="4" w:space="0"/>
              <w:right w:val="single" w:color="auto" w:sz="4" w:space="0"/>
            </w:tcBorders>
            <w:vAlign w:val="top"/>
          </w:tcPr>
          <w:p>
            <w:pPr>
              <w:widowControl/>
              <w:jc w:val="center"/>
              <w:rPr>
                <w:rFonts w:hint="default" w:ascii="仿宋_GB2312" w:hAnsi="宋体" w:eastAsia="仿宋_GB2312" w:cs="宋体"/>
                <w:kern w:val="0"/>
                <w:sz w:val="20"/>
                <w:szCs w:val="20"/>
                <w:lang w:val="en"/>
              </w:rPr>
            </w:pPr>
            <w:r>
              <w:rPr>
                <w:rFonts w:hint="eastAsia" w:ascii="仿宋_GB2312" w:hAnsi="华文楷体" w:eastAsia="仿宋_GB2312" w:cs="宋体"/>
                <w:kern w:val="0"/>
                <w:sz w:val="20"/>
                <w:szCs w:val="20"/>
                <w:lang w:val="en-US" w:eastAsia="zh-CN"/>
              </w:rPr>
              <w:t>1</w:t>
            </w:r>
            <w:r>
              <w:rPr>
                <w:rFonts w:hint="default" w:ascii="仿宋_GB2312" w:hAnsi="华文楷体" w:eastAsia="仿宋_GB2312" w:cs="宋体"/>
                <w:kern w:val="0"/>
                <w:sz w:val="20"/>
                <w:szCs w:val="20"/>
                <w:lang w:val="en" w:eastAsia="zh-CN"/>
              </w:rPr>
              <w:t>588.61</w:t>
            </w:r>
          </w:p>
        </w:tc>
      </w:tr>
    </w:tbl>
    <w:p>
      <w:pPr>
        <w:spacing w:before="156" w:line="360" w:lineRule="auto"/>
        <w:ind w:firstLine="787" w:firstLineChars="246"/>
        <w:rPr>
          <w:rFonts w:ascii="黑体" w:hAnsi="宋体" w:eastAsia="黑体" w:cs="黑体"/>
          <w:sz w:val="32"/>
          <w:szCs w:val="32"/>
        </w:rPr>
      </w:pPr>
    </w:p>
    <w:p>
      <w:pPr>
        <w:tabs>
          <w:tab w:val="left" w:pos="709"/>
        </w:tabs>
        <w:spacing w:line="560" w:lineRule="exact"/>
        <w:ind w:firstLine="420" w:firstLineChars="200"/>
      </w:pPr>
    </w:p>
    <w:p>
      <w:pPr>
        <w:tabs>
          <w:tab w:val="left" w:pos="709"/>
        </w:tabs>
        <w:spacing w:line="560" w:lineRule="exact"/>
        <w:ind w:firstLine="420" w:firstLineChars="200"/>
      </w:pPr>
    </w:p>
    <w:p>
      <w:pPr>
        <w:tabs>
          <w:tab w:val="left" w:pos="709"/>
        </w:tabs>
        <w:spacing w:line="560" w:lineRule="exact"/>
        <w:ind w:firstLine="420" w:firstLineChars="200"/>
      </w:pPr>
    </w:p>
    <w:p>
      <w:pPr>
        <w:tabs>
          <w:tab w:val="left" w:pos="709"/>
        </w:tabs>
        <w:spacing w:line="560" w:lineRule="exact"/>
        <w:ind w:firstLine="642" w:firstLineChars="200"/>
        <w:rPr>
          <w:rFonts w:ascii="仿宋_GB2312" w:hAnsi="宋体" w:eastAsia="仿宋_GB2312" w:cs="宋体"/>
          <w:b/>
          <w:bCs/>
          <w:color w:val="333333"/>
          <w:kern w:val="0"/>
          <w:sz w:val="32"/>
          <w:szCs w:val="32"/>
        </w:rPr>
      </w:pPr>
    </w:p>
    <w:p>
      <w:pPr>
        <w:tabs>
          <w:tab w:val="left" w:pos="709"/>
        </w:tabs>
        <w:spacing w:line="560" w:lineRule="exact"/>
        <w:ind w:firstLine="642" w:firstLineChars="200"/>
        <w:rPr>
          <w:rFonts w:ascii="仿宋_GB2312" w:hAnsi="宋体" w:eastAsia="仿宋_GB2312" w:cs="宋体"/>
          <w:b/>
          <w:bCs/>
          <w:color w:val="333333"/>
          <w:kern w:val="0"/>
          <w:sz w:val="32"/>
          <w:szCs w:val="32"/>
        </w:rPr>
      </w:pPr>
    </w:p>
    <w:p>
      <w:pPr>
        <w:tabs>
          <w:tab w:val="left" w:pos="709"/>
        </w:tabs>
        <w:spacing w:line="560" w:lineRule="exact"/>
        <w:ind w:firstLine="642" w:firstLineChars="200"/>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数据指标说明：</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1.首发（IPO）融资额：指统计期内IPO筹集的资金总额。</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2.上市公司再融资额：</w:t>
      </w:r>
      <w:r>
        <w:rPr>
          <w:rFonts w:hint="eastAsia" w:ascii="仿宋_GB2312" w:hAnsi="宋体" w:eastAsia="仿宋_GB2312" w:cs="宋体"/>
          <w:color w:val="333333"/>
          <w:kern w:val="0"/>
          <w:sz w:val="32"/>
          <w:szCs w:val="32"/>
        </w:rPr>
        <w:t>指统计期内贵州辖区上市公司通过增发股份、配股、发行优先股、发行可转债等方式实现的融资总额。</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3.新三板融资额：指统计期内贵州辖区新三板挂牌公司通过配股、增发股份、发行优先股、发行可转债等方式实现的融资总额。</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4.优先股融资额：指统计期内上市公司、新三板挂牌公司发行优先股筹集的资金总额。</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5.公司债融资额：指统计期内注册地在贵州的公司通过发行公司债券实现的融资总额。</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6.可交换债融资额：指统计期内注册地在贵州的公司通过发行可交换债实现的融资总额。</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7.资产证券化产品融资额：指统计期内注册地在贵州的原始权益人通过发行资产证券化产品实现的融资总额。</w:t>
      </w:r>
    </w:p>
    <w:p>
      <w:pPr>
        <w:widowControl/>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8.区域性股权市场融资</w:t>
      </w:r>
      <w:r>
        <w:rPr>
          <w:rFonts w:hint="eastAsia" w:ascii="仿宋_GB2312" w:hAnsi="宋体" w:eastAsia="仿宋_GB2312" w:cs="宋体"/>
          <w:color w:val="333333"/>
          <w:kern w:val="0"/>
          <w:sz w:val="32"/>
          <w:szCs w:val="32"/>
        </w:rPr>
        <w:t>额</w:t>
      </w:r>
      <w:r>
        <w:rPr>
          <w:rFonts w:ascii="仿宋_GB2312" w:hAnsi="宋体" w:eastAsia="仿宋_GB2312" w:cs="宋体"/>
          <w:color w:val="333333"/>
          <w:kern w:val="0"/>
          <w:sz w:val="32"/>
          <w:szCs w:val="32"/>
        </w:rPr>
        <w:t>：指统计期内企业通过贵州省区域性股权市场实现的融资总额。</w:t>
      </w:r>
    </w:p>
    <w:p>
      <w:pPr>
        <w:widowControl/>
        <w:ind w:firstLine="640" w:firstLineChars="200"/>
        <w:jc w:val="left"/>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9.证券成交金额：指统计期内贵州辖区证券营业部股票、优先股、政府债、信用债、基金、债券、期权、回购成交金额合计（数据源于沪、深证券交易所）。</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10.期货成交数量：指统计期内贵州辖区期货分支机构客户在特定单位时间内成交期货产品数量。</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11.期货成交金额：指统计期内贵州辖区期货交易成交的数量乘以成交均价得到的成交金额。</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12.上市公司数量：指在统计期末股票在沪、深证券交易所上市的贵州辖区股份有限公司数量合计。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13.上市公司总股本：指在统计期末贵州辖区上市公司发行的全部股份数量合计。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14.上市公司总市值：指在统计期末贵州辖区上市公司各自发行的股票其价格与相对应的股本计算得来的股权价值合计。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15.新三板挂牌公司数量：指在统计期末股票在全国股转系统挂牌的贵州辖区股份有限公司的数量合计。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ascii="仿宋_GB2312" w:hAnsi="宋体" w:eastAsia="仿宋_GB2312" w:cs="宋体"/>
          <w:color w:val="333333"/>
          <w:kern w:val="0"/>
          <w:sz w:val="32"/>
          <w:szCs w:val="32"/>
        </w:rPr>
        <w:t>16.新三板挂牌公司总股本：指在统计期末贵州辖区新三板挂牌公司全部股份数量合计。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17</w:t>
      </w:r>
      <w:r>
        <w:rPr>
          <w:rFonts w:ascii="仿宋_GB2312" w:hAnsi="宋体" w:eastAsia="仿宋_GB2312" w:cs="宋体"/>
          <w:color w:val="333333"/>
          <w:kern w:val="0"/>
          <w:sz w:val="32"/>
          <w:szCs w:val="32"/>
        </w:rPr>
        <w:t>.区域性股权市场挂牌企业数量：指统计期末在贵州省区域性股权市场股权融资或挂牌转让的企业家数。</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18</w:t>
      </w:r>
      <w:r>
        <w:rPr>
          <w:rFonts w:ascii="仿宋_GB2312" w:hAnsi="宋体" w:eastAsia="仿宋_GB2312" w:cs="宋体"/>
          <w:color w:val="333333"/>
          <w:kern w:val="0"/>
          <w:sz w:val="32"/>
          <w:szCs w:val="32"/>
        </w:rPr>
        <w:t>.区域性股权市场展示企业数量：指统计期末在贵州省区域性股权市场提供展示服务的中小微企业信息家数。</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19</w:t>
      </w:r>
      <w:r>
        <w:rPr>
          <w:rFonts w:ascii="仿宋_GB2312" w:hAnsi="宋体" w:eastAsia="仿宋_GB2312" w:cs="宋体"/>
          <w:color w:val="333333"/>
          <w:kern w:val="0"/>
          <w:sz w:val="32"/>
          <w:szCs w:val="32"/>
        </w:rPr>
        <w:t>.拟上市公司数量：指在统计期末已向我局辅导备案且未上市的辅导备案公司数量合计。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w:t>
      </w:r>
      <w:r>
        <w:rPr>
          <w:rFonts w:ascii="仿宋_GB2312" w:hAnsi="宋体" w:eastAsia="仿宋_GB2312" w:cs="宋体"/>
          <w:color w:val="333333"/>
          <w:kern w:val="0"/>
          <w:sz w:val="32"/>
          <w:szCs w:val="32"/>
        </w:rPr>
        <w:t>.证券公司数量：指在统计期末贵州辖区内已注册登记的证券公司数量合计。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21</w:t>
      </w:r>
      <w:r>
        <w:rPr>
          <w:rFonts w:ascii="仿宋_GB2312" w:hAnsi="宋体" w:eastAsia="仿宋_GB2312" w:cs="宋体"/>
          <w:color w:val="333333"/>
          <w:kern w:val="0"/>
          <w:sz w:val="32"/>
          <w:szCs w:val="32"/>
        </w:rPr>
        <w:t>.证券分公司数量：指在统计期末贵州辖区内已注册登记的证券分公司数量合计。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22</w:t>
      </w:r>
      <w:r>
        <w:rPr>
          <w:rFonts w:ascii="仿宋_GB2312" w:hAnsi="宋体" w:eastAsia="仿宋_GB2312" w:cs="宋体"/>
          <w:color w:val="333333"/>
          <w:kern w:val="0"/>
          <w:sz w:val="32"/>
          <w:szCs w:val="32"/>
        </w:rPr>
        <w:t>.证券营业部数量：指在统计期末贵州辖区内已注册登记的证券营业部数量合计。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23</w:t>
      </w:r>
      <w:r>
        <w:rPr>
          <w:rFonts w:ascii="仿宋_GB2312" w:hAnsi="宋体" w:eastAsia="仿宋_GB2312" w:cs="宋体"/>
          <w:color w:val="333333"/>
          <w:kern w:val="0"/>
          <w:sz w:val="32"/>
          <w:szCs w:val="32"/>
        </w:rPr>
        <w:t>.证券从业人员数量：指在统计期末贵州辖区内已注册登记的证券分支机构从业人员数量合计。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24</w:t>
      </w:r>
      <w:r>
        <w:rPr>
          <w:rFonts w:ascii="仿宋_GB2312" w:hAnsi="宋体" w:eastAsia="仿宋_GB2312" w:cs="宋体"/>
          <w:color w:val="333333"/>
          <w:kern w:val="0"/>
          <w:sz w:val="32"/>
          <w:szCs w:val="32"/>
        </w:rPr>
        <w:t>.证券投资者资金账户数量：指在统计期末投资者在辖区内证券分支机构开立用于证券交易资金清算的专用账户数量合计。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25</w:t>
      </w:r>
      <w:r>
        <w:rPr>
          <w:rFonts w:ascii="仿宋_GB2312" w:hAnsi="宋体" w:eastAsia="仿宋_GB2312" w:cs="宋体"/>
          <w:color w:val="333333"/>
          <w:kern w:val="0"/>
          <w:sz w:val="32"/>
          <w:szCs w:val="32"/>
        </w:rPr>
        <w:t>.期货营业部数量：指在统计期末贵州辖区内已注册登记的期货营业部数量（含分公司）合计。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26</w:t>
      </w:r>
      <w:r>
        <w:rPr>
          <w:rFonts w:ascii="仿宋_GB2312" w:hAnsi="宋体" w:eastAsia="仿宋_GB2312" w:cs="宋体"/>
          <w:color w:val="333333"/>
          <w:kern w:val="0"/>
          <w:sz w:val="32"/>
          <w:szCs w:val="32"/>
        </w:rPr>
        <w:t>.期货从业人员数量：指在统计期末贵州辖区内已注册登记的期货从业人员数量合计。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27</w:t>
      </w:r>
      <w:r>
        <w:rPr>
          <w:rFonts w:ascii="仿宋_GB2312" w:hAnsi="宋体" w:eastAsia="仿宋_GB2312" w:cs="宋体"/>
          <w:color w:val="333333"/>
          <w:kern w:val="0"/>
          <w:sz w:val="32"/>
          <w:szCs w:val="32"/>
        </w:rPr>
        <w:t>.期货投资者资金账户数量：指在统计期末投资者在贵州辖区内期货分支机构开立用于期货交易资金清算的专用账户数量合计。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28</w:t>
      </w:r>
      <w:r>
        <w:rPr>
          <w:rFonts w:ascii="仿宋_GB2312" w:hAnsi="宋体" w:eastAsia="仿宋_GB2312" w:cs="宋体"/>
          <w:color w:val="333333"/>
          <w:kern w:val="0"/>
          <w:sz w:val="32"/>
          <w:szCs w:val="32"/>
        </w:rPr>
        <w:t>.私募基金管理人数量：指在统计期末注册地在贵州</w:t>
      </w:r>
      <w:r>
        <w:rPr>
          <w:rFonts w:hint="eastAsia" w:ascii="仿宋_GB2312" w:hAnsi="宋体" w:eastAsia="仿宋_GB2312" w:cs="宋体"/>
          <w:color w:val="333333"/>
          <w:kern w:val="0"/>
          <w:sz w:val="32"/>
          <w:szCs w:val="32"/>
        </w:rPr>
        <w:t>辖区内的私募基金管理人数量合计。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29</w:t>
      </w:r>
      <w:r>
        <w:rPr>
          <w:rFonts w:ascii="仿宋_GB2312" w:hAnsi="宋体" w:eastAsia="仿宋_GB2312" w:cs="宋体"/>
          <w:color w:val="333333"/>
          <w:kern w:val="0"/>
          <w:sz w:val="32"/>
          <w:szCs w:val="32"/>
        </w:rPr>
        <w:t>.私募基金管理产品数量：指在统计期末注册地在贵州辖区内的私募基金管理人所管理的基金只数合计。</w:t>
      </w:r>
    </w:p>
    <w:p>
      <w:pPr>
        <w:tabs>
          <w:tab w:val="left" w:pos="709"/>
        </w:tabs>
        <w:spacing w:line="56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30</w:t>
      </w:r>
      <w:r>
        <w:rPr>
          <w:rFonts w:ascii="仿宋_GB2312" w:hAnsi="宋体" w:eastAsia="仿宋_GB2312" w:cs="宋体"/>
          <w:color w:val="333333"/>
          <w:kern w:val="0"/>
          <w:sz w:val="32"/>
          <w:szCs w:val="32"/>
        </w:rPr>
        <w:t>.私募基金管理规模：指在统计期末注册地在贵州辖区内的私募基金管理人所管理的基金规模（净资产）。</w:t>
      </w:r>
    </w:p>
    <w:p/>
    <w:p>
      <w:pPr>
        <w:spacing w:before="156" w:line="360" w:lineRule="auto"/>
        <w:ind w:firstLine="516" w:firstLineChars="246"/>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wps:txbx>
                    <wps:bodyPr wrap="none" lIns="0" tIns="0" rIns="0" bIns="0" upright="tru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cpx3uyAQAAUQMAAA4AAABkcnMv&#10;ZTJvRG9jLnhtbK1TzWobMRC+F/IOQvdYax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i2xPH2KN&#10;XU8B+9Jw7YeGJtjIsRQxn4UPCmz+RUkEW9Dr3clfOSQiMDmdz+bzCksCa+MFR7DXvweI6U56S3LQ&#10;UMAFFl/59ktMh9axJU9z/lYbU5Zo3D8JxMwZlukfOOYoDavhqGnl2x1K6nH3DXX4OCkx9w6tzc9k&#10;DGAMVmOwCaDXHVIrJuSRMVxtEvIo9PKQA/JxNu6tCDy+sfww/r6XrtcvYf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Fcpx3uyAQAAUQMAAA4AAAAAAAAAAQAgAAAANA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formatting="1"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0.147.182:80/GZZJJ/OfficeServer;jsessionid=45C197BE39ECD119B6AD6E9794666193"/>
  </w:docVars>
  <w:rsids>
    <w:rsidRoot w:val="00AF7787"/>
    <w:rsid w:val="0000218F"/>
    <w:rsid w:val="0000325B"/>
    <w:rsid w:val="00014846"/>
    <w:rsid w:val="00020DCC"/>
    <w:rsid w:val="0003124A"/>
    <w:rsid w:val="00044197"/>
    <w:rsid w:val="0006083C"/>
    <w:rsid w:val="00065D15"/>
    <w:rsid w:val="00074140"/>
    <w:rsid w:val="0008102F"/>
    <w:rsid w:val="00084B23"/>
    <w:rsid w:val="0009237B"/>
    <w:rsid w:val="000975F0"/>
    <w:rsid w:val="000B034E"/>
    <w:rsid w:val="000B25C4"/>
    <w:rsid w:val="000D2A8F"/>
    <w:rsid w:val="000D7EAB"/>
    <w:rsid w:val="000E6BBF"/>
    <w:rsid w:val="000E74D1"/>
    <w:rsid w:val="00104CAA"/>
    <w:rsid w:val="001125B9"/>
    <w:rsid w:val="001271DD"/>
    <w:rsid w:val="00130941"/>
    <w:rsid w:val="00132107"/>
    <w:rsid w:val="00137ED1"/>
    <w:rsid w:val="00146C29"/>
    <w:rsid w:val="00154BE6"/>
    <w:rsid w:val="0015592F"/>
    <w:rsid w:val="00170025"/>
    <w:rsid w:val="00175953"/>
    <w:rsid w:val="00180431"/>
    <w:rsid w:val="001852B1"/>
    <w:rsid w:val="0019762C"/>
    <w:rsid w:val="001A0AA9"/>
    <w:rsid w:val="001A2DB4"/>
    <w:rsid w:val="001A45A3"/>
    <w:rsid w:val="001A5BFD"/>
    <w:rsid w:val="001B09C1"/>
    <w:rsid w:val="001B2122"/>
    <w:rsid w:val="001B2E5C"/>
    <w:rsid w:val="001B4388"/>
    <w:rsid w:val="001C2955"/>
    <w:rsid w:val="001D029B"/>
    <w:rsid w:val="001E40BC"/>
    <w:rsid w:val="001F47DD"/>
    <w:rsid w:val="00202564"/>
    <w:rsid w:val="00206716"/>
    <w:rsid w:val="002157A8"/>
    <w:rsid w:val="00222404"/>
    <w:rsid w:val="00225CBC"/>
    <w:rsid w:val="00256E18"/>
    <w:rsid w:val="00265D09"/>
    <w:rsid w:val="00273E01"/>
    <w:rsid w:val="002A1372"/>
    <w:rsid w:val="002A54BB"/>
    <w:rsid w:val="002B7EAB"/>
    <w:rsid w:val="002C6E70"/>
    <w:rsid w:val="002E1A88"/>
    <w:rsid w:val="002E3A49"/>
    <w:rsid w:val="003054C5"/>
    <w:rsid w:val="00316D4B"/>
    <w:rsid w:val="00317A38"/>
    <w:rsid w:val="003240E6"/>
    <w:rsid w:val="003302A8"/>
    <w:rsid w:val="00332099"/>
    <w:rsid w:val="00333E15"/>
    <w:rsid w:val="00335FAD"/>
    <w:rsid w:val="00341B87"/>
    <w:rsid w:val="003446C6"/>
    <w:rsid w:val="00346210"/>
    <w:rsid w:val="003466DD"/>
    <w:rsid w:val="00346919"/>
    <w:rsid w:val="00352B63"/>
    <w:rsid w:val="00354DED"/>
    <w:rsid w:val="00357F5A"/>
    <w:rsid w:val="00362552"/>
    <w:rsid w:val="00362DD6"/>
    <w:rsid w:val="0036600E"/>
    <w:rsid w:val="00380E5C"/>
    <w:rsid w:val="003A0CF2"/>
    <w:rsid w:val="003A678D"/>
    <w:rsid w:val="003A7BB5"/>
    <w:rsid w:val="003B0850"/>
    <w:rsid w:val="003B1647"/>
    <w:rsid w:val="003D4D7C"/>
    <w:rsid w:val="00410B51"/>
    <w:rsid w:val="004122D8"/>
    <w:rsid w:val="00416569"/>
    <w:rsid w:val="0042572A"/>
    <w:rsid w:val="004308C6"/>
    <w:rsid w:val="00436FBF"/>
    <w:rsid w:val="00441282"/>
    <w:rsid w:val="0044138A"/>
    <w:rsid w:val="00441506"/>
    <w:rsid w:val="00444DB6"/>
    <w:rsid w:val="00445A93"/>
    <w:rsid w:val="00454527"/>
    <w:rsid w:val="00464E28"/>
    <w:rsid w:val="00466357"/>
    <w:rsid w:val="00467C56"/>
    <w:rsid w:val="00475E54"/>
    <w:rsid w:val="004871D3"/>
    <w:rsid w:val="004A0FEA"/>
    <w:rsid w:val="004A41BA"/>
    <w:rsid w:val="004A7FD5"/>
    <w:rsid w:val="004B05A6"/>
    <w:rsid w:val="004B334F"/>
    <w:rsid w:val="004B5F12"/>
    <w:rsid w:val="004D4057"/>
    <w:rsid w:val="004D4DCE"/>
    <w:rsid w:val="004E771F"/>
    <w:rsid w:val="004F10BB"/>
    <w:rsid w:val="004F52CC"/>
    <w:rsid w:val="004F7697"/>
    <w:rsid w:val="005108F5"/>
    <w:rsid w:val="00514800"/>
    <w:rsid w:val="005151E0"/>
    <w:rsid w:val="005268CF"/>
    <w:rsid w:val="005331B2"/>
    <w:rsid w:val="005352B8"/>
    <w:rsid w:val="00564A3E"/>
    <w:rsid w:val="00565014"/>
    <w:rsid w:val="00582BDA"/>
    <w:rsid w:val="005840C0"/>
    <w:rsid w:val="005A2A57"/>
    <w:rsid w:val="005A3500"/>
    <w:rsid w:val="005B3131"/>
    <w:rsid w:val="005C1722"/>
    <w:rsid w:val="005C4F60"/>
    <w:rsid w:val="005F39FC"/>
    <w:rsid w:val="00606EB1"/>
    <w:rsid w:val="00607ECE"/>
    <w:rsid w:val="00613BB9"/>
    <w:rsid w:val="00617C67"/>
    <w:rsid w:val="00633CAA"/>
    <w:rsid w:val="00633CE0"/>
    <w:rsid w:val="00637534"/>
    <w:rsid w:val="00653B11"/>
    <w:rsid w:val="00654B3F"/>
    <w:rsid w:val="00663206"/>
    <w:rsid w:val="006672BA"/>
    <w:rsid w:val="00686B9B"/>
    <w:rsid w:val="00697CA2"/>
    <w:rsid w:val="006A3610"/>
    <w:rsid w:val="006A6F29"/>
    <w:rsid w:val="006B0593"/>
    <w:rsid w:val="006B5822"/>
    <w:rsid w:val="006C40B5"/>
    <w:rsid w:val="006D0A52"/>
    <w:rsid w:val="006D498D"/>
    <w:rsid w:val="006E71E8"/>
    <w:rsid w:val="00701356"/>
    <w:rsid w:val="00705D92"/>
    <w:rsid w:val="00707289"/>
    <w:rsid w:val="007218FC"/>
    <w:rsid w:val="00726659"/>
    <w:rsid w:val="007312EC"/>
    <w:rsid w:val="007325E7"/>
    <w:rsid w:val="00745006"/>
    <w:rsid w:val="00752D60"/>
    <w:rsid w:val="00760935"/>
    <w:rsid w:val="00767F78"/>
    <w:rsid w:val="00785BB6"/>
    <w:rsid w:val="00792C18"/>
    <w:rsid w:val="00796E3E"/>
    <w:rsid w:val="007A15D4"/>
    <w:rsid w:val="007A3ED4"/>
    <w:rsid w:val="007A72F5"/>
    <w:rsid w:val="007B39F8"/>
    <w:rsid w:val="007C54E3"/>
    <w:rsid w:val="007D0FC4"/>
    <w:rsid w:val="007D10A1"/>
    <w:rsid w:val="007D154E"/>
    <w:rsid w:val="007D74B6"/>
    <w:rsid w:val="007E1E8C"/>
    <w:rsid w:val="007E42D2"/>
    <w:rsid w:val="007F0D36"/>
    <w:rsid w:val="007F1DD1"/>
    <w:rsid w:val="0080241A"/>
    <w:rsid w:val="0081695B"/>
    <w:rsid w:val="00820334"/>
    <w:rsid w:val="00821A23"/>
    <w:rsid w:val="00835469"/>
    <w:rsid w:val="0084287A"/>
    <w:rsid w:val="0085219A"/>
    <w:rsid w:val="00854EA5"/>
    <w:rsid w:val="00860E28"/>
    <w:rsid w:val="00864D4D"/>
    <w:rsid w:val="008666A3"/>
    <w:rsid w:val="00866C82"/>
    <w:rsid w:val="00872D64"/>
    <w:rsid w:val="0087522B"/>
    <w:rsid w:val="00876B64"/>
    <w:rsid w:val="00882628"/>
    <w:rsid w:val="00884777"/>
    <w:rsid w:val="008A2DAB"/>
    <w:rsid w:val="008A7951"/>
    <w:rsid w:val="008D3266"/>
    <w:rsid w:val="008E1744"/>
    <w:rsid w:val="008E3022"/>
    <w:rsid w:val="008E361C"/>
    <w:rsid w:val="008E6008"/>
    <w:rsid w:val="008E7155"/>
    <w:rsid w:val="008F0A41"/>
    <w:rsid w:val="008F190B"/>
    <w:rsid w:val="008F7862"/>
    <w:rsid w:val="008F7976"/>
    <w:rsid w:val="00905FCF"/>
    <w:rsid w:val="009066DD"/>
    <w:rsid w:val="0091020A"/>
    <w:rsid w:val="00910371"/>
    <w:rsid w:val="00911D16"/>
    <w:rsid w:val="00934905"/>
    <w:rsid w:val="00940ED9"/>
    <w:rsid w:val="00946FA6"/>
    <w:rsid w:val="00953340"/>
    <w:rsid w:val="00953ADB"/>
    <w:rsid w:val="00954F07"/>
    <w:rsid w:val="00957EB5"/>
    <w:rsid w:val="0097222C"/>
    <w:rsid w:val="00985CA5"/>
    <w:rsid w:val="00996727"/>
    <w:rsid w:val="009B469B"/>
    <w:rsid w:val="009C0CEB"/>
    <w:rsid w:val="009C4126"/>
    <w:rsid w:val="009C47B3"/>
    <w:rsid w:val="009D0386"/>
    <w:rsid w:val="009D7748"/>
    <w:rsid w:val="009F2054"/>
    <w:rsid w:val="009F2480"/>
    <w:rsid w:val="009F500F"/>
    <w:rsid w:val="009F5440"/>
    <w:rsid w:val="00A025A3"/>
    <w:rsid w:val="00A0456C"/>
    <w:rsid w:val="00A36D83"/>
    <w:rsid w:val="00A37B4C"/>
    <w:rsid w:val="00A47B93"/>
    <w:rsid w:val="00A51F98"/>
    <w:rsid w:val="00A56B1D"/>
    <w:rsid w:val="00A61E9E"/>
    <w:rsid w:val="00A72D05"/>
    <w:rsid w:val="00A7743D"/>
    <w:rsid w:val="00A86BFC"/>
    <w:rsid w:val="00A96154"/>
    <w:rsid w:val="00A97E92"/>
    <w:rsid w:val="00AD1E12"/>
    <w:rsid w:val="00AD4CD6"/>
    <w:rsid w:val="00AD7098"/>
    <w:rsid w:val="00AE1F88"/>
    <w:rsid w:val="00AE5B60"/>
    <w:rsid w:val="00AE6E47"/>
    <w:rsid w:val="00AF10EC"/>
    <w:rsid w:val="00AF7787"/>
    <w:rsid w:val="00B02B53"/>
    <w:rsid w:val="00B103F5"/>
    <w:rsid w:val="00B1100F"/>
    <w:rsid w:val="00B12477"/>
    <w:rsid w:val="00B34171"/>
    <w:rsid w:val="00B52C73"/>
    <w:rsid w:val="00B549E8"/>
    <w:rsid w:val="00B711FB"/>
    <w:rsid w:val="00B7734C"/>
    <w:rsid w:val="00B83B86"/>
    <w:rsid w:val="00B8737D"/>
    <w:rsid w:val="00B9778A"/>
    <w:rsid w:val="00BA0221"/>
    <w:rsid w:val="00BB51B8"/>
    <w:rsid w:val="00BB60A6"/>
    <w:rsid w:val="00BD796B"/>
    <w:rsid w:val="00BF0F51"/>
    <w:rsid w:val="00C11785"/>
    <w:rsid w:val="00C12F34"/>
    <w:rsid w:val="00C20B45"/>
    <w:rsid w:val="00C250CA"/>
    <w:rsid w:val="00C31A26"/>
    <w:rsid w:val="00C334BC"/>
    <w:rsid w:val="00C456CE"/>
    <w:rsid w:val="00C57813"/>
    <w:rsid w:val="00C70A5D"/>
    <w:rsid w:val="00C8336A"/>
    <w:rsid w:val="00C97E24"/>
    <w:rsid w:val="00CB6034"/>
    <w:rsid w:val="00CC2C8A"/>
    <w:rsid w:val="00CC6AAE"/>
    <w:rsid w:val="00CE688E"/>
    <w:rsid w:val="00CF0470"/>
    <w:rsid w:val="00D06688"/>
    <w:rsid w:val="00D1376F"/>
    <w:rsid w:val="00D159EC"/>
    <w:rsid w:val="00D22932"/>
    <w:rsid w:val="00D46D0B"/>
    <w:rsid w:val="00D47D31"/>
    <w:rsid w:val="00D50B43"/>
    <w:rsid w:val="00D51099"/>
    <w:rsid w:val="00D52621"/>
    <w:rsid w:val="00D57D86"/>
    <w:rsid w:val="00D70F63"/>
    <w:rsid w:val="00D719D6"/>
    <w:rsid w:val="00DA2851"/>
    <w:rsid w:val="00DA5770"/>
    <w:rsid w:val="00DC1189"/>
    <w:rsid w:val="00DD45DB"/>
    <w:rsid w:val="00DD51ED"/>
    <w:rsid w:val="00DD6609"/>
    <w:rsid w:val="00DE5A1B"/>
    <w:rsid w:val="00E01420"/>
    <w:rsid w:val="00E03B05"/>
    <w:rsid w:val="00E06EA3"/>
    <w:rsid w:val="00E244EF"/>
    <w:rsid w:val="00E25FC1"/>
    <w:rsid w:val="00E30D25"/>
    <w:rsid w:val="00E31219"/>
    <w:rsid w:val="00E45426"/>
    <w:rsid w:val="00E5042F"/>
    <w:rsid w:val="00E52E7B"/>
    <w:rsid w:val="00E538DB"/>
    <w:rsid w:val="00E579B9"/>
    <w:rsid w:val="00E66922"/>
    <w:rsid w:val="00E81653"/>
    <w:rsid w:val="00E852DC"/>
    <w:rsid w:val="00E858B0"/>
    <w:rsid w:val="00E92967"/>
    <w:rsid w:val="00E9525E"/>
    <w:rsid w:val="00E975E6"/>
    <w:rsid w:val="00EA29BD"/>
    <w:rsid w:val="00EA76D8"/>
    <w:rsid w:val="00EB10ED"/>
    <w:rsid w:val="00EB3F8C"/>
    <w:rsid w:val="00EB5102"/>
    <w:rsid w:val="00EC2306"/>
    <w:rsid w:val="00EC47F9"/>
    <w:rsid w:val="00ED2526"/>
    <w:rsid w:val="00EE32A8"/>
    <w:rsid w:val="00EF5B9D"/>
    <w:rsid w:val="00F03F6A"/>
    <w:rsid w:val="00F07670"/>
    <w:rsid w:val="00F13815"/>
    <w:rsid w:val="00F13F84"/>
    <w:rsid w:val="00F15CEA"/>
    <w:rsid w:val="00F327B7"/>
    <w:rsid w:val="00F33CDB"/>
    <w:rsid w:val="00F62C6C"/>
    <w:rsid w:val="00F65A28"/>
    <w:rsid w:val="00F66595"/>
    <w:rsid w:val="00F758DB"/>
    <w:rsid w:val="00F815B0"/>
    <w:rsid w:val="00F837E7"/>
    <w:rsid w:val="00F95B53"/>
    <w:rsid w:val="00FA7125"/>
    <w:rsid w:val="00FB53FA"/>
    <w:rsid w:val="00FB7CE6"/>
    <w:rsid w:val="00FC048A"/>
    <w:rsid w:val="00FC1C93"/>
    <w:rsid w:val="00FC3F55"/>
    <w:rsid w:val="00FD2D24"/>
    <w:rsid w:val="00FD525D"/>
    <w:rsid w:val="00FD6478"/>
    <w:rsid w:val="00FE6A5B"/>
    <w:rsid w:val="00FF741B"/>
    <w:rsid w:val="0FDF50EA"/>
    <w:rsid w:val="25B5796A"/>
    <w:rsid w:val="2F374FA8"/>
    <w:rsid w:val="4ADEF258"/>
    <w:rsid w:val="5AD5326B"/>
    <w:rsid w:val="5B6FA487"/>
    <w:rsid w:val="5FD9AD93"/>
    <w:rsid w:val="5FFDEB9D"/>
    <w:rsid w:val="6FCBC574"/>
    <w:rsid w:val="6FF7AEB8"/>
    <w:rsid w:val="7799ADAB"/>
    <w:rsid w:val="7B5B83E9"/>
    <w:rsid w:val="7DBF9FA5"/>
    <w:rsid w:val="7DFF0330"/>
    <w:rsid w:val="7E4F324A"/>
    <w:rsid w:val="7F3BD71B"/>
    <w:rsid w:val="7FEE91E5"/>
    <w:rsid w:val="7FFE0A40"/>
    <w:rsid w:val="ABBF7475"/>
    <w:rsid w:val="B1FFB9FA"/>
    <w:rsid w:val="B2BF36C1"/>
    <w:rsid w:val="BAEDA7DA"/>
    <w:rsid w:val="BFDF7ED2"/>
    <w:rsid w:val="DB5FDA23"/>
    <w:rsid w:val="DED991C8"/>
    <w:rsid w:val="E9F11A81"/>
    <w:rsid w:val="EFDF5EEE"/>
    <w:rsid w:val="F3FC1D2B"/>
    <w:rsid w:val="F4714791"/>
    <w:rsid w:val="F736C81C"/>
    <w:rsid w:val="F7FF91FD"/>
    <w:rsid w:val="FEF31B6D"/>
    <w:rsid w:val="FFBFFFF2"/>
    <w:rsid w:val="FFEDC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5"/>
    <w:semiHidden/>
    <w:unhideWhenUsed/>
    <w:qFormat/>
    <w:uiPriority w:val="99"/>
    <w:pPr>
      <w:snapToGrid w:val="0"/>
      <w:jc w:val="left"/>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footnote reference"/>
    <w:basedOn w:val="8"/>
    <w:semiHidden/>
    <w:unhideWhenUsed/>
    <w:qFormat/>
    <w:uiPriority w:val="99"/>
    <w:rPr>
      <w:vertAlign w:val="superscript"/>
    </w:rPr>
  </w:style>
  <w:style w:type="character" w:customStyle="1" w:styleId="10">
    <w:name w:val="页脚 Char"/>
    <w:basedOn w:val="8"/>
    <w:link w:val="3"/>
    <w:qFormat/>
    <w:uiPriority w:val="99"/>
    <w:rPr>
      <w:rFonts w:ascii="Times New Roman" w:hAnsi="Times New Roman" w:eastAsia="宋体" w:cs="Times New Roman"/>
      <w:sz w:val="18"/>
      <w:szCs w:val="24"/>
    </w:rPr>
  </w:style>
  <w:style w:type="character" w:customStyle="1" w:styleId="11">
    <w:name w:val="页脚 Char1"/>
    <w:basedOn w:val="8"/>
    <w:link w:val="3"/>
    <w:semiHidden/>
    <w:qFormat/>
    <w:uiPriority w:val="99"/>
    <w:rPr>
      <w:rFonts w:ascii="Times New Roman" w:hAnsi="Times New Roman" w:eastAsia="宋体" w:cs="Times New Roman"/>
      <w:sz w:val="18"/>
      <w:szCs w:val="18"/>
    </w:rPr>
  </w:style>
  <w:style w:type="paragraph" w:customStyle="1" w:styleId="12">
    <w:name w:val="列出段落2"/>
    <w:basedOn w:val="1"/>
    <w:qFormat/>
    <w:uiPriority w:val="34"/>
    <w:pPr>
      <w:ind w:firstLine="420" w:firstLineChars="200"/>
    </w:pPr>
    <w:rPr>
      <w:rFonts w:ascii="Calibri" w:hAnsi="Calibri"/>
      <w:szCs w:val="22"/>
    </w:rPr>
  </w:style>
  <w:style w:type="character" w:customStyle="1" w:styleId="13">
    <w:name w:val="批注框文本 Char"/>
    <w:basedOn w:val="8"/>
    <w:link w:val="2"/>
    <w:semiHidden/>
    <w:qFormat/>
    <w:uiPriority w:val="99"/>
    <w:rPr>
      <w:rFonts w:ascii="Times New Roman" w:hAnsi="Times New Roman"/>
      <w:kern w:val="2"/>
      <w:sz w:val="18"/>
      <w:szCs w:val="18"/>
    </w:rPr>
  </w:style>
  <w:style w:type="character" w:customStyle="1" w:styleId="14">
    <w:name w:val="页眉 Char"/>
    <w:basedOn w:val="8"/>
    <w:link w:val="4"/>
    <w:semiHidden/>
    <w:qFormat/>
    <w:uiPriority w:val="99"/>
    <w:rPr>
      <w:rFonts w:ascii="Times New Roman" w:hAnsi="Times New Roman"/>
      <w:kern w:val="2"/>
      <w:sz w:val="18"/>
      <w:szCs w:val="18"/>
    </w:rPr>
  </w:style>
  <w:style w:type="character" w:customStyle="1" w:styleId="15">
    <w:name w:val="脚注文本 Char"/>
    <w:basedOn w:val="8"/>
    <w:link w:val="5"/>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379</Words>
  <Characters>2161</Characters>
  <Lines>18</Lines>
  <Paragraphs>5</Paragraphs>
  <TotalTime>10</TotalTime>
  <ScaleCrop>false</ScaleCrop>
  <LinksUpToDate>false</LinksUpToDate>
  <CharactersWithSpaces>2535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2020-09-21T10:00:00Z</dcterms:created>
  <dc:creator>张玲：处室办理人</dc:creator>
  <cp:lastModifiedBy>尹亚林</cp:lastModifiedBy>
  <cp:lastPrinted>2020-06-21T12:12:00Z</cp:lastPrinted>
  <dcterms:modified xsi:type="dcterms:W3CDTF">2022-11-30T10:52:57Z</dcterms:modified>
  <dc:title>贵州辖区证券期货市场概况（2022年1月）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