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方正小标宋简体" w:hAnsi="方正小标宋简体" w:eastAsia="方正小标宋简体"/>
          <w:b/>
          <w:color w:val="FF0000"/>
          <w:w w:val="95"/>
          <w:kern w:val="0"/>
          <w:sz w:val="44"/>
          <w:szCs w:val="116"/>
        </w:rPr>
      </w:pPr>
      <w:bookmarkStart w:id="1" w:name="_GoBack"/>
      <w:bookmarkEnd w:id="1"/>
      <w:r>
        <w:rPr>
          <w:rFonts w:hint="eastAsia" w:ascii="方正小标宋简体" w:hAnsi="方正小标宋简体" w:eastAsia="方正小标宋简体" w:cs="黑体"/>
          <w:b/>
          <w:color w:val="FF0000"/>
          <w:w w:val="95"/>
          <w:sz w:val="44"/>
          <w:szCs w:val="72"/>
        </w:rPr>
        <w:t>中国证券监督管理委员会广东监管局</w:t>
      </w:r>
    </w:p>
    <w:p>
      <w:pPr>
        <w:jc w:val="center"/>
        <w:rPr>
          <w:rFonts w:hint="eastAsia" w:ascii="方正小标宋简体" w:hAnsi="方正小标宋简体" w:eastAsia="方正小标宋简体"/>
          <w:snapToGrid w:val="0"/>
          <w:spacing w:val="85"/>
          <w:w w:val="90"/>
          <w:sz w:val="72"/>
          <w:szCs w:val="72"/>
        </w:rPr>
      </w:pPr>
      <w:r>
        <w:rPr>
          <w:rFonts w:hint="eastAsia" w:ascii="方正小标宋简体" w:hAnsi="方正小标宋简体" w:eastAsia="方正小标宋简体"/>
          <w:b/>
          <w:bCs/>
          <w:snapToGrid w:val="0"/>
          <w:color w:val="FF0000"/>
          <w:spacing w:val="85"/>
          <w:w w:val="90"/>
          <w:sz w:val="72"/>
          <w:szCs w:val="72"/>
        </w:rPr>
        <w:t>行政监管措施决定书</w:t>
      </w:r>
    </w:p>
    <w:p>
      <w:pPr>
        <w:snapToGrid w:val="0"/>
        <w:jc w:val="center"/>
        <w:rPr>
          <w:rFonts w:hint="eastAsia" w:ascii="仿宋_GB2312" w:hAnsi="仿宋_GB2312" w:eastAsia="仿宋_GB2312" w:cs="宋体"/>
          <w:sz w:val="40"/>
          <w:szCs w:val="40"/>
        </w:rPr>
      </w:pPr>
    </w:p>
    <w:p>
      <w:pPr>
        <w:snapToGrid w:val="0"/>
        <w:spacing w:before="156" w:beforeLines="50" w:line="300" w:lineRule="auto"/>
        <w:jc w:val="center"/>
        <w:rPr>
          <w:rFonts w:ascii="黑体" w:hAnsi="Times New Roman" w:eastAsia="黑体" w:cs="Times New Roman"/>
          <w:color w:val="000000"/>
          <w:spacing w:val="12"/>
          <w:sz w:val="32"/>
        </w:rPr>
      </w:pPr>
      <w:r>
        <w:rPr>
          <w:rFonts w:hint="eastAsia" w:ascii="仿宋_GB2312" w:hAnsi="Times New Roman" w:eastAsia="仿宋_GB2312" w:cs="Times New Roman"/>
          <w:color w:val="000000"/>
          <w:spacing w:val="12"/>
          <w:sz w:val="28"/>
        </w:rPr>
        <w:t>〔20</w:t>
      </w:r>
      <w:r>
        <w:rPr>
          <w:rFonts w:hint="eastAsia" w:ascii="仿宋_GB2312" w:hAnsi="Times New Roman" w:eastAsia="仿宋_GB2312" w:cs="Times New Roman"/>
          <w:color w:val="000000"/>
          <w:spacing w:val="12"/>
          <w:sz w:val="28"/>
          <w:lang w:val="en-US" w:eastAsia="zh-CN"/>
        </w:rPr>
        <w:t>2</w:t>
      </w:r>
      <w:r>
        <w:rPr>
          <w:rFonts w:hint="default" w:ascii="仿宋_GB2312" w:eastAsia="仿宋_GB2312" w:cs="Times New Roman"/>
          <w:color w:val="000000"/>
          <w:spacing w:val="12"/>
          <w:sz w:val="28"/>
          <w:lang w:val="en-US" w:eastAsia="zh-CN"/>
        </w:rPr>
        <w:t>4</w:t>
      </w:r>
      <w:r>
        <w:rPr>
          <w:rFonts w:hint="eastAsia" w:ascii="仿宋_GB2312" w:hAnsi="Times New Roman" w:eastAsia="仿宋_GB2312" w:cs="Times New Roman"/>
          <w:color w:val="000000"/>
          <w:spacing w:val="12"/>
          <w:sz w:val="28"/>
        </w:rPr>
        <w:t>〕</w:t>
      </w:r>
      <w:r>
        <w:rPr>
          <w:rFonts w:hint="default" w:ascii="仿宋_GB2312" w:hAnsi="Times New Roman" w:eastAsia="仿宋_GB2312" w:cs="Times New Roman"/>
          <w:color w:val="000000"/>
          <w:spacing w:val="12"/>
          <w:sz w:val="28"/>
          <w:lang w:val="en-US"/>
        </w:rPr>
        <w:t>5</w:t>
      </w:r>
      <w:r>
        <w:rPr>
          <w:rFonts w:hint="eastAsia" w:ascii="仿宋_GB2312" w:hAnsi="Times New Roman" w:eastAsia="仿宋_GB2312" w:cs="Times New Roman"/>
          <w:color w:val="000000"/>
          <w:spacing w:val="12"/>
          <w:sz w:val="28"/>
        </w:rPr>
        <w:t>号</w:t>
      </w:r>
    </w:p>
    <w:p>
      <w:pPr>
        <w:snapToGrid w:val="0"/>
        <w:jc w:val="center"/>
        <w:rPr>
          <w:rFonts w:hint="eastAsia" w:ascii="仿宋_GB2312" w:hAns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128905</wp:posOffset>
                </wp:positionV>
                <wp:extent cx="555180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1805" cy="635"/>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35pt;margin-top:10.15pt;height:0.05pt;width:437.15pt;z-index:251659264;mso-width-relative:page;mso-height-relative:page;" filled="f" stroked="t" coordsize="21600,21600" o:gfxdata="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FAAAAAgAh07iQMwvtZLWAAAA&#10;CAEAAA8AAAAAAAAAAQAgAAAAOAAAAGRycy9kb3ducmV2LnhtbFBLAQIUABQAAAAIAIdO4kAV8uZj&#10;/QEAAPUDAAAOAAAAAAAAAAEAIAAAADsBAABkcnMvZTJvRG9jLnhtbFBLAQIUAAoAAAAAAIdO4kAA&#10;AAAAAAAAAAAAAAAEAAAAAAAAAAAAEAAAABYAAABkcnMvUEsBAhQACgAAAAAAh07iQAAAAAAAAAAA&#10;AAAAAAYAAAAAAAAAAAAQAAAAZAMAAF9yZWxzL1BLBQYAAAAABgAGAFkBAACqBQAAAAA=&#10;">
                <v:fill on="f" focussize="0,0"/>
                <v:stroke weight="1pt" color="#FF0000" joinstyle="round"/>
                <v:imagedata o:title=""/>
                <o:lock v:ext="edit" aspectratio="f"/>
              </v:line>
            </w:pict>
          </mc:Fallback>
        </mc:AlternateContent>
      </w:r>
    </w:p>
    <w:p>
      <w:pPr>
        <w:jc w:val="center"/>
        <w:rPr>
          <w:rFonts w:hint="eastAsia"/>
          <w:sz w:val="28"/>
          <w:szCs w:val="28"/>
        </w:rPr>
      </w:pPr>
    </w:p>
    <w:p>
      <w:pPr>
        <w:widowControl/>
        <w:snapToGrid w:val="0"/>
        <w:spacing w:line="240" w:lineRule="auto"/>
        <w:jc w:val="center"/>
        <w:rPr>
          <w:rFonts w:hint="eastAsia" w:ascii="方正小标宋简体" w:hAnsi="方正小标宋简体" w:eastAsia="方正小标宋简体" w:cs="方正小标宋简体"/>
          <w:spacing w:val="0"/>
          <w:kern w:val="0"/>
          <w:sz w:val="44"/>
          <w:szCs w:val="44"/>
          <w:lang w:eastAsia="zh-CN"/>
        </w:rPr>
      </w:pPr>
      <w:bookmarkStart w:id="0" w:name="quanwen"/>
      <w:r>
        <w:rPr>
          <w:rFonts w:hint="eastAsia" w:ascii="方正小标宋简体" w:hAnsi="方正小标宋简体" w:eastAsia="方正小标宋简体" w:cs="方正小标宋简体"/>
          <w:spacing w:val="0"/>
          <w:kern w:val="0"/>
          <w:sz w:val="44"/>
          <w:szCs w:val="44"/>
        </w:rPr>
        <w:t>关于对</w:t>
      </w:r>
      <w:r>
        <w:rPr>
          <w:rFonts w:hint="eastAsia" w:ascii="方正小标宋简体" w:hAnsi="方正小标宋简体" w:eastAsia="方正小标宋简体" w:cs="方正小标宋简体"/>
          <w:spacing w:val="0"/>
          <w:kern w:val="0"/>
          <w:sz w:val="44"/>
          <w:szCs w:val="44"/>
          <w:lang w:eastAsia="zh-CN"/>
        </w:rPr>
        <w:t>广东奥普特科技</w:t>
      </w:r>
      <w:r>
        <w:rPr>
          <w:rFonts w:hint="eastAsia" w:ascii="方正小标宋简体" w:hAnsi="方正小标宋简体" w:eastAsia="方正小标宋简体" w:cs="方正小标宋简体"/>
          <w:spacing w:val="0"/>
          <w:kern w:val="0"/>
          <w:sz w:val="44"/>
          <w:szCs w:val="44"/>
        </w:rPr>
        <w:t>股份有限公司</w:t>
      </w:r>
      <w:r>
        <w:rPr>
          <w:rFonts w:hint="eastAsia" w:ascii="方正小标宋简体" w:hAnsi="方正小标宋简体" w:eastAsia="方正小标宋简体" w:cs="方正小标宋简体"/>
          <w:spacing w:val="0"/>
          <w:kern w:val="0"/>
          <w:sz w:val="44"/>
          <w:szCs w:val="44"/>
          <w:lang w:eastAsia="zh-CN"/>
        </w:rPr>
        <w:t>采取责令改正</w:t>
      </w:r>
      <w:r>
        <w:rPr>
          <w:rFonts w:hint="eastAsia" w:ascii="方正小标宋简体" w:hAnsi="方正小标宋简体" w:eastAsia="方正小标宋简体" w:cs="方正小标宋简体"/>
          <w:spacing w:val="0"/>
          <w:kern w:val="0"/>
          <w:sz w:val="44"/>
          <w:szCs w:val="44"/>
        </w:rPr>
        <w:t>措施并对</w:t>
      </w:r>
      <w:r>
        <w:rPr>
          <w:rFonts w:hint="eastAsia" w:ascii="方正小标宋简体" w:hAnsi="方正小标宋简体" w:eastAsia="方正小标宋简体" w:cs="方正小标宋简体"/>
          <w:spacing w:val="0"/>
          <w:kern w:val="0"/>
          <w:sz w:val="44"/>
          <w:szCs w:val="44"/>
          <w:lang w:eastAsia="zh-CN"/>
        </w:rPr>
        <w:t>卢盛林、卢治临、叶建平、</w:t>
      </w:r>
    </w:p>
    <w:p>
      <w:pPr>
        <w:widowControl/>
        <w:snapToGrid w:val="0"/>
        <w:spacing w:line="240" w:lineRule="auto"/>
        <w:jc w:val="center"/>
        <w:rPr>
          <w:rFonts w:hint="eastAsia" w:ascii="方正小标宋简体" w:hAnsi="方正小标宋简体" w:eastAsia="方正小标宋简体" w:cs="方正小标宋简体"/>
          <w:spacing w:val="0"/>
          <w:kern w:val="0"/>
          <w:sz w:val="44"/>
          <w:szCs w:val="44"/>
        </w:rPr>
      </w:pPr>
      <w:r>
        <w:rPr>
          <w:rFonts w:hint="eastAsia" w:ascii="方正小标宋简体" w:hAnsi="方正小标宋简体" w:eastAsia="方正小标宋简体" w:cs="方正小标宋简体"/>
          <w:spacing w:val="0"/>
          <w:kern w:val="0"/>
          <w:sz w:val="44"/>
          <w:szCs w:val="44"/>
          <w:lang w:eastAsia="zh-CN"/>
        </w:rPr>
        <w:t>许学亮</w:t>
      </w:r>
      <w:r>
        <w:rPr>
          <w:rFonts w:hint="eastAsia" w:ascii="方正小标宋简体" w:hAnsi="方正小标宋简体" w:eastAsia="方正小标宋简体" w:cs="方正小标宋简体"/>
          <w:spacing w:val="0"/>
          <w:kern w:val="0"/>
          <w:sz w:val="44"/>
          <w:szCs w:val="44"/>
        </w:rPr>
        <w:t>采取出具警示函措施的决定</w:t>
      </w:r>
    </w:p>
    <w:p>
      <w:pPr>
        <w:widowControl/>
        <w:snapToGrid w:val="0"/>
        <w:jc w:val="center"/>
        <w:rPr>
          <w:rFonts w:hint="eastAsia" w:ascii="方正小标宋简体" w:hAnsi="方正小标宋简体" w:eastAsia="方正小标宋简体" w:cs="方正小标宋简体"/>
          <w:spacing w:val="8"/>
          <w:kern w:val="0"/>
          <w:sz w:val="32"/>
          <w:szCs w:val="32"/>
        </w:rPr>
      </w:pPr>
    </w:p>
    <w:p>
      <w:pPr>
        <w:keepNext w:val="0"/>
        <w:keepLines w:val="0"/>
        <w:pageBreakBefore w:val="0"/>
        <w:widowControl w:val="0"/>
        <w:kinsoku/>
        <w:wordWrap/>
        <w:overflowPunct w:val="0"/>
        <w:topLinePunct w:val="0"/>
        <w:autoSpaceDE/>
        <w:autoSpaceDN/>
        <w:bidi w:val="0"/>
        <w:snapToGrid w:val="0"/>
        <w:spacing w:beforeLines="0" w:afterLines="0" w:line="336" w:lineRule="auto"/>
        <w:ind w:firstLine="0" w:firstLineChars="0"/>
        <w:textAlignment w:val="auto"/>
        <w:rPr>
          <w:rFonts w:hint="eastAsia" w:ascii="仿宋_GB2312" w:hAnsi="仿宋_GB2312" w:eastAsia="仿宋_GB2312" w:cs="仿宋_GB2312"/>
          <w:bCs/>
          <w:kern w:val="0"/>
          <w:sz w:val="32"/>
        </w:rPr>
      </w:pPr>
      <w:r>
        <w:rPr>
          <w:rFonts w:hint="eastAsia" w:ascii="仿宋_GB2312" w:hAnsi="仿宋_GB2312" w:eastAsia="仿宋_GB2312" w:cs="仿宋_GB2312"/>
          <w:bCs/>
          <w:kern w:val="0"/>
          <w:sz w:val="32"/>
        </w:rPr>
        <w:t>广东奥普特科技股份有限公司</w:t>
      </w:r>
      <w:r>
        <w:rPr>
          <w:rFonts w:hint="eastAsia" w:ascii="仿宋_GB2312" w:hAnsi="仿宋_GB2312" w:eastAsia="仿宋_GB2312" w:cs="仿宋_GB2312"/>
          <w:bCs/>
          <w:kern w:val="0"/>
          <w:sz w:val="32"/>
          <w:lang w:eastAsia="zh-CN"/>
        </w:rPr>
        <w:t>、卢盛林、卢治临、叶建平、许学亮</w:t>
      </w:r>
      <w:r>
        <w:rPr>
          <w:rFonts w:hint="eastAsia" w:ascii="仿宋_GB2312" w:hAnsi="仿宋_GB2312" w:eastAsia="仿宋_GB2312" w:cs="仿宋_GB2312"/>
          <w:bCs/>
          <w:kern w:val="0"/>
          <w:sz w:val="32"/>
        </w:rPr>
        <w:t>：</w:t>
      </w:r>
    </w:p>
    <w:p>
      <w:pPr>
        <w:keepNext w:val="0"/>
        <w:keepLines w:val="0"/>
        <w:pageBreakBefore w:val="0"/>
        <w:kinsoku/>
        <w:wordWrap/>
        <w:overflowPunct w:val="0"/>
        <w:topLinePunct w:val="0"/>
        <w:autoSpaceDE/>
        <w:autoSpaceDN/>
        <w:bidi w:val="0"/>
        <w:adjustRightInd w:val="0"/>
        <w:snapToGrid w:val="0"/>
        <w:spacing w:beforeLines="0" w:afterLines="0" w:line="336" w:lineRule="auto"/>
        <w:ind w:left="0" w:leftChars="0" w:firstLine="0" w:firstLineChars="0"/>
        <w:rPr>
          <w:rFonts w:hint="eastAsia" w:ascii="黑体" w:hAnsi="黑体" w:eastAsia="黑体" w:cs="黑体"/>
          <w:b w:val="0"/>
          <w:bCs w:val="0"/>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Times New Roman" w:eastAsia="仿宋_GB2312" w:cs="黑体"/>
          <w:kern w:val="0"/>
          <w:sz w:val="32"/>
          <w:szCs w:val="32"/>
        </w:rPr>
        <w:t>根</w:t>
      </w:r>
      <w:r>
        <w:rPr>
          <w:rFonts w:hint="eastAsia" w:ascii="仿宋_GB2312" w:hAnsi="Times New Roman" w:eastAsia="仿宋_GB2312" w:cs="黑体"/>
          <w:spacing w:val="0"/>
          <w:kern w:val="0"/>
          <w:sz w:val="32"/>
          <w:szCs w:val="32"/>
        </w:rPr>
        <w:t>据《上市公司现场检查</w:t>
      </w:r>
      <w:r>
        <w:rPr>
          <w:rFonts w:hint="eastAsia" w:ascii="仿宋_GB2312" w:hAnsi="Times New Roman" w:eastAsia="仿宋_GB2312" w:cs="黑体"/>
          <w:spacing w:val="0"/>
          <w:kern w:val="0"/>
          <w:sz w:val="32"/>
          <w:szCs w:val="32"/>
          <w:lang w:eastAsia="zh-CN"/>
        </w:rPr>
        <w:t>规则</w:t>
      </w:r>
      <w:r>
        <w:rPr>
          <w:rFonts w:hint="eastAsia" w:ascii="仿宋_GB2312" w:hAnsi="Times New Roman" w:eastAsia="仿宋_GB2312" w:cs="黑体"/>
          <w:spacing w:val="0"/>
          <w:kern w:val="0"/>
          <w:sz w:val="32"/>
          <w:szCs w:val="32"/>
        </w:rPr>
        <w:t>》（证监会公告〔20</w:t>
      </w:r>
      <w:r>
        <w:rPr>
          <w:rFonts w:hint="eastAsia" w:ascii="仿宋_GB2312" w:hAnsi="Times New Roman" w:eastAsia="仿宋_GB2312" w:cs="黑体"/>
          <w:spacing w:val="0"/>
          <w:kern w:val="0"/>
          <w:sz w:val="32"/>
          <w:szCs w:val="32"/>
          <w:lang w:val="en-US" w:eastAsia="zh-CN"/>
        </w:rPr>
        <w:t>22</w:t>
      </w:r>
      <w:r>
        <w:rPr>
          <w:rFonts w:hint="eastAsia" w:ascii="仿宋_GB2312" w:hAnsi="Times New Roman" w:eastAsia="仿宋_GB2312" w:cs="黑体"/>
          <w:spacing w:val="0"/>
          <w:kern w:val="0"/>
          <w:sz w:val="32"/>
          <w:szCs w:val="32"/>
        </w:rPr>
        <w:t>〕</w:t>
      </w:r>
      <w:r>
        <w:rPr>
          <w:rFonts w:hint="eastAsia" w:ascii="仿宋_GB2312" w:hAnsi="Times New Roman" w:eastAsia="仿宋_GB2312" w:cs="黑体"/>
          <w:spacing w:val="0"/>
          <w:kern w:val="0"/>
          <w:sz w:val="32"/>
          <w:szCs w:val="32"/>
          <w:lang w:val="en-US" w:eastAsia="zh-CN"/>
        </w:rPr>
        <w:t>21</w:t>
      </w:r>
      <w:r>
        <w:rPr>
          <w:rFonts w:hint="eastAsia" w:ascii="仿宋_GB2312" w:hAnsi="Times New Roman" w:eastAsia="仿宋_GB2312" w:cs="黑体"/>
          <w:spacing w:val="0"/>
          <w:kern w:val="0"/>
          <w:sz w:val="32"/>
          <w:szCs w:val="32"/>
        </w:rPr>
        <w:t>号）</w:t>
      </w:r>
      <w:r>
        <w:rPr>
          <w:rFonts w:hint="eastAsia" w:ascii="仿宋_GB2312" w:hAnsi="Times New Roman" w:eastAsia="仿宋_GB2312" w:cs="黑体"/>
          <w:kern w:val="0"/>
          <w:sz w:val="32"/>
          <w:szCs w:val="32"/>
        </w:rPr>
        <w:t>等规定</w:t>
      </w:r>
      <w:r>
        <w:rPr>
          <w:rFonts w:hint="eastAsia" w:ascii="仿宋_GB2312" w:hAnsi="仿宋_GB2312" w:eastAsia="仿宋_GB2312" w:cs="仿宋_GB2312"/>
          <w:kern w:val="0"/>
          <w:sz w:val="32"/>
          <w:szCs w:val="32"/>
          <w:lang w:eastAsia="zh-CN"/>
        </w:rPr>
        <w:t>，我局于近期对你公司募集资金管理及使用情况进行了</w:t>
      </w:r>
      <w:r>
        <w:rPr>
          <w:rFonts w:hint="eastAsia" w:ascii="仿宋_GB2312" w:hAnsi="仿宋_GB2312" w:eastAsia="仿宋_GB2312" w:cs="仿宋_GB2312"/>
          <w:kern w:val="0"/>
          <w:sz w:val="32"/>
          <w:szCs w:val="32"/>
          <w:highlight w:val="none"/>
          <w:lang w:eastAsia="zh-CN"/>
        </w:rPr>
        <w:t>现场检查，发现你公司存在以下违规问题：</w:t>
      </w:r>
    </w:p>
    <w:p>
      <w:pPr>
        <w:numPr>
          <w:ilvl w:val="0"/>
          <w:numId w:val="0"/>
        </w:numPr>
        <w:overflowPunct w:val="0"/>
        <w:snapToGrid w:val="0"/>
        <w:spacing w:beforeLines="0" w:afterLines="0" w:line="336" w:lineRule="auto"/>
        <w:ind w:firstLine="640" w:firstLineChars="20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你公司在IPO招股说明书中披露，募投项目营销网络中心项目（以下简称营销中心项目）总投资5,449.90万元，全部由募集资金投入，其中用于发放新增人员工资资金为503.58万元。2023年3月，你公司披露了关于营销中心项目的结项报告，营销中心项目实际使用募集资金5,449.9</w:t>
      </w:r>
      <w:r>
        <w:rPr>
          <w:rFonts w:hint="default" w:ascii="仿宋_GB2312" w:hAnsi="仿宋_GB2312" w:eastAsia="仿宋_GB2312" w:cs="仿宋_GB2312"/>
          <w:b w:val="0"/>
          <w:bCs w:val="0"/>
          <w:kern w:val="0"/>
          <w:sz w:val="32"/>
          <w:szCs w:val="32"/>
          <w:lang w:val="en-US" w:eastAsia="zh-CN"/>
        </w:rPr>
        <w:t>0</w:t>
      </w:r>
      <w:r>
        <w:rPr>
          <w:rFonts w:hint="eastAsia" w:ascii="仿宋_GB2312" w:hAnsi="仿宋_GB2312" w:eastAsia="仿宋_GB2312" w:cs="仿宋_GB2312"/>
          <w:b w:val="0"/>
          <w:bCs w:val="0"/>
          <w:kern w:val="0"/>
          <w:sz w:val="32"/>
          <w:szCs w:val="32"/>
          <w:lang w:val="en-US" w:eastAsia="zh-CN"/>
        </w:rPr>
        <w:t>万元。经查，你公司营销中心项目实际列支发放新增人员工资的金额为2,040.38万元，超过招股说明书计划使用金额1,536.8万元；其中，有936.62万元工资发放对象实际为另一募投项目总部机器视觉制造中心的新增人员。对上述超计划使用募集资金的情况，公司未按规定履行审议程序及信息披露义务，披露的相关募集资金使用情况的信息与事实不符。上述情形不符合《上市公司信息披露管理办法》（证监会令第182号）第三条第一款，《科创板上市公司持续监管办法（试行）》（证监会令第154号）第三十二条，《上市公司监管指引第2号——上市公司募集资金管理和使用的监管要求》（证监会公告</w:t>
      </w:r>
      <w:r>
        <w:rPr>
          <w:rFonts w:hint="eastAsia" w:ascii="仿宋_GB2312" w:hAnsi="仿宋_GB2312" w:eastAsia="仿宋_GB2312" w:cs="Times New Roman"/>
          <w:kern w:val="0"/>
          <w:sz w:val="32"/>
          <w:szCs w:val="20"/>
          <w:lang w:val="en-US" w:eastAsia="zh-CN"/>
        </w:rPr>
        <w:t>〔2012〕</w:t>
      </w:r>
      <w:r>
        <w:rPr>
          <w:rFonts w:hint="eastAsia" w:ascii="仿宋_GB2312" w:hAnsi="仿宋_GB2312" w:eastAsia="仿宋_GB2312" w:cs="仿宋_GB2312"/>
          <w:b w:val="0"/>
          <w:bCs w:val="0"/>
          <w:kern w:val="0"/>
          <w:sz w:val="32"/>
          <w:szCs w:val="32"/>
          <w:lang w:val="en-US" w:eastAsia="zh-CN"/>
        </w:rPr>
        <w:t>44号）第五条、第十一条，《上市公司监管指引第2号——上市公司募集资金管理和使用的监管要求》（证监会公告</w:t>
      </w:r>
      <w:r>
        <w:rPr>
          <w:rFonts w:hint="eastAsia" w:ascii="仿宋_GB2312" w:hAnsi="仿宋_GB2312" w:eastAsia="仿宋_GB2312" w:cs="Times New Roman"/>
          <w:kern w:val="0"/>
          <w:sz w:val="32"/>
          <w:szCs w:val="20"/>
          <w:lang w:val="en-US" w:eastAsia="zh-CN"/>
        </w:rPr>
        <w:t>〔2022〕</w:t>
      </w:r>
      <w:r>
        <w:rPr>
          <w:rFonts w:hint="eastAsia" w:ascii="仿宋_GB2312" w:hAnsi="仿宋_GB2312" w:eastAsia="仿宋_GB2312" w:cs="仿宋_GB2312"/>
          <w:b w:val="0"/>
          <w:bCs w:val="0"/>
          <w:kern w:val="0"/>
          <w:sz w:val="32"/>
          <w:szCs w:val="32"/>
          <w:lang w:val="en-US" w:eastAsia="zh-CN"/>
        </w:rPr>
        <w:t>15号）第六条、第十二条的规定。</w:t>
      </w:r>
    </w:p>
    <w:p>
      <w:pPr>
        <w:numPr>
          <w:ilvl w:val="0"/>
          <w:numId w:val="0"/>
        </w:numPr>
        <w:overflowPunct w:val="0"/>
        <w:snapToGrid w:val="0"/>
        <w:spacing w:beforeLines="0" w:afterLines="0" w:line="336" w:lineRule="auto"/>
        <w:ind w:firstLine="640" w:firstLineChars="200"/>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bidi="ar-SA"/>
        </w:rPr>
        <w:t>你公司董事长卢盛林、总经理卢治临、财务总监叶建平、董事会秘书许学亮对上述违规情况负有主要责任</w:t>
      </w:r>
      <w:r>
        <w:rPr>
          <w:rFonts w:hint="eastAsia" w:ascii="仿宋_GB2312" w:hAnsi="仿宋_GB2312" w:eastAsia="仿宋_GB2312" w:cs="仿宋_GB2312"/>
          <w:color w:val="auto"/>
          <w:kern w:val="0"/>
          <w:sz w:val="32"/>
          <w:szCs w:val="32"/>
          <w:lang w:eastAsia="zh-CN"/>
        </w:rPr>
        <w:t>。</w:t>
      </w:r>
    </w:p>
    <w:p>
      <w:pPr>
        <w:keepNext w:val="0"/>
        <w:keepLines w:val="0"/>
        <w:pageBreakBefore w:val="0"/>
        <w:numPr>
          <w:ilvl w:val="0"/>
          <w:numId w:val="0"/>
        </w:numPr>
        <w:kinsoku/>
        <w:wordWrap/>
        <w:overflowPunct w:val="0"/>
        <w:topLinePunct w:val="0"/>
        <w:autoSpaceDE/>
        <w:autoSpaceDN/>
        <w:bidi w:val="0"/>
        <w:adjustRightInd/>
        <w:snapToGrid w:val="0"/>
        <w:spacing w:beforeLines="0" w:afterLines="0" w:line="336" w:lineRule="auto"/>
        <w:ind w:left="0" w:leftChars="0" w:firstLine="640" w:firstLineChars="200"/>
        <w:textAlignment w:val="auto"/>
        <w:outlineLvl w:val="9"/>
        <w:rPr>
          <w:rFonts w:hint="eastAsia" w:ascii="仿宋_GB2312" w:hAnsi="仿宋_GB2312" w:eastAsia="仿宋_GB2312" w:cs="Times New Roman"/>
          <w:color w:val="auto"/>
          <w:kern w:val="0"/>
          <w:sz w:val="32"/>
          <w:szCs w:val="32"/>
          <w:lang w:val="en-US" w:eastAsia="zh-CN" w:bidi="ar-SA"/>
        </w:rPr>
      </w:pPr>
      <w:r>
        <w:rPr>
          <w:rFonts w:hint="eastAsia" w:ascii="仿宋_GB2312" w:hAnsi="仿宋_GB2312" w:eastAsia="仿宋_GB2312" w:cs="Times New Roman"/>
          <w:color w:val="auto"/>
          <w:kern w:val="0"/>
          <w:sz w:val="32"/>
          <w:szCs w:val="32"/>
          <w:lang w:val="en-US" w:eastAsia="zh-CN" w:bidi="ar-SA"/>
        </w:rPr>
        <w:t>根据《上市公司信息披露管理办法》</w:t>
      </w:r>
      <w:r>
        <w:rPr>
          <w:rFonts w:hint="eastAsia" w:ascii="仿宋_GB2312" w:hAnsi="仿宋_GB2312" w:eastAsia="仿宋_GB2312" w:cs="仿宋_GB2312"/>
          <w:kern w:val="0"/>
          <w:sz w:val="32"/>
          <w:szCs w:val="32"/>
          <w:lang w:val="en-US" w:eastAsia="zh-CN"/>
        </w:rPr>
        <w:t>（证监会令第182号）</w:t>
      </w:r>
      <w:r>
        <w:rPr>
          <w:rFonts w:hint="eastAsia" w:ascii="仿宋_GB2312" w:hAnsi="仿宋_GB2312" w:eastAsia="仿宋_GB2312" w:cs="Times New Roman"/>
          <w:color w:val="auto"/>
          <w:kern w:val="0"/>
          <w:sz w:val="32"/>
          <w:szCs w:val="32"/>
          <w:lang w:val="en-US" w:eastAsia="zh-CN" w:bidi="ar-SA"/>
        </w:rPr>
        <w:t>第五十二条</w:t>
      </w:r>
      <w:r>
        <w:rPr>
          <w:rFonts w:hint="eastAsia" w:ascii="仿宋_GB2312" w:hAnsi="仿宋_GB2312" w:eastAsia="仿宋_GB2312" w:cs="仿宋_GB2312"/>
          <w:kern w:val="0"/>
          <w:sz w:val="32"/>
          <w:szCs w:val="32"/>
          <w:lang w:val="en-US" w:eastAsia="zh-CN"/>
        </w:rPr>
        <w:t>、《科创板上市公司持续监管办法（试行）》（证监会令第154号）第三十四条</w:t>
      </w:r>
      <w:r>
        <w:rPr>
          <w:rFonts w:hint="eastAsia" w:ascii="仿宋_GB2312" w:hAnsi="仿宋_GB2312" w:eastAsia="仿宋_GB2312" w:cs="Times New Roman"/>
          <w:color w:val="auto"/>
          <w:kern w:val="0"/>
          <w:sz w:val="32"/>
          <w:szCs w:val="32"/>
          <w:lang w:val="en-US" w:eastAsia="zh-CN" w:bidi="ar-SA"/>
        </w:rPr>
        <w:t>的</w:t>
      </w:r>
      <w:r>
        <w:rPr>
          <w:rFonts w:hint="eastAsia" w:ascii="仿宋_GB2312" w:hAnsi="仿宋_GB2312" w:eastAsia="仿宋_GB2312"/>
          <w:b w:val="0"/>
          <w:bCs w:val="0"/>
          <w:color w:val="000000"/>
          <w:spacing w:val="0"/>
          <w:kern w:val="0"/>
          <w:sz w:val="32"/>
          <w:highlight w:val="none"/>
          <w:lang w:val="en-US" w:eastAsia="zh-CN"/>
        </w:rPr>
        <w:t>规定</w:t>
      </w:r>
      <w:r>
        <w:rPr>
          <w:rFonts w:hint="eastAsia" w:ascii="仿宋_GB2312" w:hAnsi="仿宋_GB2312" w:eastAsia="仿宋_GB2312"/>
          <w:color w:val="000000"/>
          <w:spacing w:val="0"/>
          <w:kern w:val="0"/>
          <w:sz w:val="32"/>
          <w:highlight w:val="none"/>
          <w:lang w:val="en-US" w:eastAsia="zh-CN"/>
        </w:rPr>
        <w:t>，我局决定对你公司采取责令改正的行政监管措施，对</w:t>
      </w:r>
      <w:r>
        <w:rPr>
          <w:rFonts w:hint="eastAsia" w:ascii="仿宋_GB2312" w:hAnsi="仿宋_GB2312" w:eastAsia="仿宋_GB2312" w:cs="仿宋_GB2312"/>
          <w:bCs/>
          <w:kern w:val="0"/>
          <w:sz w:val="32"/>
          <w:lang w:eastAsia="zh-CN"/>
        </w:rPr>
        <w:t>卢盛林、卢治临、叶建平、许学亮</w:t>
      </w:r>
      <w:r>
        <w:rPr>
          <w:rFonts w:hint="eastAsia" w:ascii="仿宋_GB2312" w:hAnsi="仿宋_GB2312" w:eastAsia="仿宋_GB2312"/>
          <w:color w:val="000000"/>
          <w:spacing w:val="0"/>
          <w:kern w:val="0"/>
          <w:sz w:val="32"/>
          <w:highlight w:val="none"/>
          <w:lang w:val="en-US" w:eastAsia="zh-CN"/>
        </w:rPr>
        <w:t>采取出具警示函的行政监管措施。</w:t>
      </w:r>
      <w:r>
        <w:rPr>
          <w:rFonts w:hint="eastAsia" w:ascii="仿宋_GB2312" w:hAnsi="??" w:eastAsia="仿宋_GB2312"/>
          <w:color w:val="auto"/>
          <w:spacing w:val="0"/>
          <w:kern w:val="0"/>
          <w:sz w:val="32"/>
          <w:highlight w:val="none"/>
          <w:lang w:eastAsia="zh-CN"/>
        </w:rPr>
        <w:t>你</w:t>
      </w:r>
      <w:r>
        <w:rPr>
          <w:rFonts w:hint="eastAsia" w:ascii="仿宋_GB2312" w:hAnsi="??" w:eastAsia="仿宋_GB2312"/>
          <w:color w:val="auto"/>
          <w:spacing w:val="0"/>
          <w:kern w:val="0"/>
          <w:sz w:val="32"/>
          <w:highlight w:val="none"/>
          <w:lang w:val="en-US" w:eastAsia="zh-CN"/>
        </w:rPr>
        <w:t>公司</w:t>
      </w:r>
      <w:r>
        <w:rPr>
          <w:rFonts w:hint="eastAsia" w:ascii="仿宋_GB2312" w:hAnsi="仿宋_GB2312" w:eastAsia="仿宋_GB2312" w:cs="仿宋_GB2312"/>
          <w:color w:val="auto"/>
          <w:spacing w:val="0"/>
          <w:kern w:val="0"/>
          <w:sz w:val="32"/>
          <w:highlight w:val="none"/>
        </w:rPr>
        <w:t>应</w:t>
      </w:r>
      <w:r>
        <w:rPr>
          <w:rFonts w:hint="eastAsia" w:ascii="仿宋_GB2312" w:hAnsi="仿宋_GB2312" w:eastAsia="仿宋_GB2312" w:cs="仿宋_GB2312"/>
          <w:color w:val="auto"/>
          <w:spacing w:val="0"/>
          <w:kern w:val="0"/>
          <w:sz w:val="32"/>
          <w:highlight w:val="none"/>
          <w:lang w:val="en-US" w:eastAsia="zh-CN"/>
        </w:rPr>
        <w:t>高度重视上述问题</w:t>
      </w:r>
      <w:r>
        <w:rPr>
          <w:rFonts w:hint="eastAsia" w:ascii="仿宋_GB2312" w:hAnsi="仿宋_GB2312" w:eastAsia="仿宋_GB2312" w:cs="仿宋_GB2312"/>
          <w:color w:val="auto"/>
          <w:spacing w:val="0"/>
          <w:kern w:val="0"/>
          <w:sz w:val="32"/>
          <w:highlight w:val="none"/>
          <w:lang w:eastAsia="zh-CN"/>
        </w:rPr>
        <w:t>，</w:t>
      </w:r>
      <w:r>
        <w:rPr>
          <w:rFonts w:hint="eastAsia" w:ascii="仿宋_GB2312" w:hAnsi="仿宋_GB2312" w:eastAsia="仿宋_GB2312" w:cs="Times New Roman"/>
          <w:color w:val="auto"/>
          <w:kern w:val="0"/>
          <w:sz w:val="32"/>
          <w:szCs w:val="32"/>
          <w:lang w:val="en-US" w:eastAsia="zh-CN" w:bidi="ar-SA"/>
        </w:rPr>
        <w:t>采取有效措施切实整改，</w:t>
      </w:r>
      <w:r>
        <w:rPr>
          <w:rFonts w:hint="eastAsia" w:ascii="仿宋_GB2312" w:hAnsi="仿宋_GB2312" w:eastAsia="仿宋_GB2312" w:cs="仿宋_GB2312"/>
          <w:kern w:val="0"/>
          <w:sz w:val="32"/>
          <w:szCs w:val="32"/>
          <w:highlight w:val="none"/>
          <w:lang w:val="en-US" w:eastAsia="zh-CN"/>
        </w:rPr>
        <w:t>提高募集资金管理水平，规范募集资金使用，消除违规行为影响，</w:t>
      </w:r>
      <w:r>
        <w:rPr>
          <w:rFonts w:hint="eastAsia" w:ascii="仿宋_GB2312" w:hAnsi="仿宋_GB2312" w:eastAsia="仿宋_GB2312" w:cs="仿宋_GB2312"/>
          <w:kern w:val="0"/>
          <w:sz w:val="32"/>
          <w:szCs w:val="32"/>
        </w:rPr>
        <w:t>依法真实、准确、完整、及时</w:t>
      </w:r>
      <w:r>
        <w:rPr>
          <w:rFonts w:hint="eastAsia" w:ascii="仿宋_GB2312" w:hAnsi="仿宋_GB2312" w:eastAsia="仿宋_GB2312" w:cs="仿宋_GB2312"/>
          <w:kern w:val="0"/>
          <w:sz w:val="32"/>
          <w:szCs w:val="32"/>
          <w:lang w:eastAsia="zh-CN"/>
        </w:rPr>
        <w:t>、公平</w:t>
      </w:r>
      <w:r>
        <w:rPr>
          <w:rFonts w:hint="eastAsia" w:ascii="仿宋_GB2312" w:hAnsi="仿宋_GB2312" w:eastAsia="仿宋_GB2312" w:cs="仿宋_GB2312"/>
          <w:kern w:val="0"/>
          <w:sz w:val="32"/>
          <w:szCs w:val="32"/>
        </w:rPr>
        <w:t>地履行信息披露义务</w:t>
      </w:r>
      <w:r>
        <w:rPr>
          <w:rFonts w:hint="eastAsia" w:ascii="仿宋_GB2312" w:eastAsia="仿宋_GB2312"/>
          <w:color w:val="auto"/>
          <w:spacing w:val="0"/>
          <w:kern w:val="0"/>
          <w:sz w:val="32"/>
          <w:highlight w:val="none"/>
          <w:lang w:eastAsia="zh-CN"/>
        </w:rPr>
        <w:t>。</w:t>
      </w:r>
      <w:r>
        <w:rPr>
          <w:rFonts w:hint="eastAsia" w:ascii="仿宋_GB2312" w:hAnsi="仿宋_GB2312" w:eastAsia="仿宋_GB2312" w:cs="仿宋_GB2312"/>
          <w:kern w:val="0"/>
          <w:sz w:val="32"/>
          <w:szCs w:val="32"/>
          <w:lang w:eastAsia="zh-CN"/>
        </w:rPr>
        <w:t>同时，</w:t>
      </w:r>
      <w:r>
        <w:rPr>
          <w:rFonts w:hint="eastAsia" w:ascii="仿宋_GB2312" w:hAnsi="仿宋_GB2312" w:eastAsia="仿宋_GB2312" w:cs="仿宋_GB2312"/>
          <w:kern w:val="0"/>
          <w:sz w:val="32"/>
          <w:szCs w:val="32"/>
          <w:lang w:val="en-US" w:eastAsia="zh-CN"/>
        </w:rPr>
        <w:t>你</w:t>
      </w:r>
      <w:r>
        <w:rPr>
          <w:rFonts w:hint="eastAsia" w:ascii="仿宋_GB2312" w:hAnsi="仿宋_GB2312" w:eastAsia="仿宋_GB2312" w:cs="仿宋_GB2312"/>
          <w:kern w:val="0"/>
          <w:sz w:val="32"/>
          <w:szCs w:val="32"/>
          <w:lang w:eastAsia="zh-CN"/>
        </w:rPr>
        <w:t>公司应对相关责任人员进行内部问责，</w:t>
      </w:r>
      <w:r>
        <w:rPr>
          <w:rFonts w:hint="eastAsia" w:ascii="仿宋_GB2312" w:hAnsi="仿宋_GB2312" w:eastAsia="仿宋_GB2312" w:cs="Times New Roman"/>
          <w:color w:val="auto"/>
          <w:kern w:val="0"/>
          <w:sz w:val="32"/>
          <w:szCs w:val="32"/>
          <w:lang w:val="en-US" w:eastAsia="zh-CN" w:bidi="ar-SA"/>
        </w:rPr>
        <w:t>于收到本决定书30日内向我局提交整改报告、内部问责情况，并</w:t>
      </w:r>
      <w:r>
        <w:rPr>
          <w:rFonts w:hint="eastAsia" w:ascii="仿宋_GB2312" w:hAnsi="仿宋_GB2312" w:eastAsia="仿宋_GB2312" w:cs="仿宋_GB2312"/>
          <w:kern w:val="0"/>
          <w:sz w:val="32"/>
          <w:szCs w:val="32"/>
          <w:lang w:val="en-US" w:eastAsia="zh-CN"/>
        </w:rPr>
        <w:t>抄报</w:t>
      </w:r>
      <w:r>
        <w:rPr>
          <w:rFonts w:hint="eastAsia" w:ascii="仿宋_GB2312" w:hAnsi="仿宋_GB2312" w:eastAsia="仿宋_GB2312" w:cs="Times New Roman"/>
          <w:color w:val="auto"/>
          <w:kern w:val="0"/>
          <w:sz w:val="32"/>
          <w:szCs w:val="32"/>
          <w:lang w:val="en-US" w:eastAsia="zh-CN" w:bidi="ar-SA"/>
        </w:rPr>
        <w:t>上海证券交易所。</w:t>
      </w:r>
    </w:p>
    <w:p>
      <w:pPr>
        <w:keepNext w:val="0"/>
        <w:keepLines w:val="0"/>
        <w:pageBreakBefore w:val="0"/>
        <w:widowControl w:val="0"/>
        <w:numPr>
          <w:ilvl w:val="0"/>
          <w:numId w:val="0"/>
        </w:numPr>
        <w:kinsoku/>
        <w:wordWrap/>
        <w:overflowPunct w:val="0"/>
        <w:topLinePunct w:val="0"/>
        <w:autoSpaceDE/>
        <w:autoSpaceDN/>
        <w:bidi w:val="0"/>
        <w:snapToGrid w:val="0"/>
        <w:spacing w:beforeLines="0" w:afterLines="0" w:line="336"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果对本监督管理措施不服，可以在收到本决定书之日起60日内向中国证券监督管理委员会提出行政复议申请；也可以在收到本决定书之日起6个月内向有管辖权的人民法院提起诉讼。复议与诉讼期间，上述监督管理措施不停止执行。</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color w:val="000000"/>
          <w:sz w:val="28"/>
          <w:szCs w:val="28"/>
        </w:rPr>
      </w:pPr>
    </w:p>
    <w:p>
      <w:pPr>
        <w:adjustRightInd w:val="0"/>
        <w:snapToGrid w:val="0"/>
        <w:spacing w:line="360" w:lineRule="auto"/>
        <w:ind w:right="1705"/>
        <w:jc w:val="right"/>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广东证监局</w:t>
      </w:r>
    </w:p>
    <w:p>
      <w:pPr>
        <w:widowControl/>
        <w:numPr>
          <w:ilvl w:val="0"/>
          <w:numId w:val="0"/>
        </w:numPr>
        <w:pBdr>
          <w:top w:val="none" w:color="auto" w:sz="0" w:space="0"/>
          <w:bottom w:val="none" w:color="auto" w:sz="0" w:space="0"/>
        </w:pBdr>
        <w:adjustRightInd w:val="0"/>
        <w:snapToGrid w:val="0"/>
        <w:spacing w:beforeLines="0" w:afterLines="0" w:line="360" w:lineRule="auto"/>
        <w:ind w:right="0" w:firstLine="0"/>
        <w:jc w:val="center"/>
        <w:outlineLvl w:val="9"/>
        <w:rPr>
          <w:rFonts w:hint="eastAsia" w:ascii="仿宋_GB2312" w:hAnsi="Calibri" w:eastAsia="仿宋_GB2312"/>
          <w:spacing w:val="8"/>
          <w:sz w:val="32"/>
          <w:szCs w:val="32"/>
          <w:lang w:bidi="ar-SA"/>
        </w:rPr>
      </w:pPr>
      <w:r>
        <w:rPr>
          <w:rFonts w:hint="eastAsia" w:ascii="仿宋_GB2312" w:hAnsi="Times New Roman" w:eastAsia="仿宋_GB2312" w:cs="Times New Roman"/>
          <w:color w:val="000000"/>
          <w:spacing w:val="10"/>
          <w:sz w:val="28"/>
          <w:szCs w:val="28"/>
          <w:lang w:val="en-US" w:eastAsia="zh-CN"/>
        </w:rPr>
        <w:t xml:space="preserve">   </w:t>
      </w:r>
      <w:r>
        <w:rPr>
          <w:rFonts w:hint="eastAsia" w:ascii="仿宋_GB2312" w:hAnsi="Times New Roman" w:eastAsia="仿宋_GB2312" w:cs="Times New Roman"/>
          <w:color w:val="000000"/>
          <w:spacing w:val="10"/>
          <w:sz w:val="32"/>
          <w:szCs w:val="32"/>
          <w:lang w:val="en-US" w:eastAsia="zh-CN"/>
        </w:rPr>
        <w:t xml:space="preserve">         </w:t>
      </w:r>
      <w:r>
        <w:rPr>
          <w:rFonts w:hint="default" w:ascii="仿宋_GB2312" w:hAnsi="Times New Roman" w:eastAsia="仿宋_GB2312" w:cs="Times New Roman"/>
          <w:color w:val="000000"/>
          <w:spacing w:val="10"/>
          <w:sz w:val="32"/>
          <w:szCs w:val="32"/>
          <w:lang w:val="en-US" w:eastAsia="zh-CN"/>
        </w:rPr>
        <w:t xml:space="preserve">     </w:t>
      </w:r>
      <w:r>
        <w:rPr>
          <w:rFonts w:hint="eastAsia" w:ascii="仿宋_GB2312" w:hAnsi="Times New Roman" w:eastAsia="仿宋_GB2312" w:cs="Times New Roman"/>
          <w:color w:val="000000"/>
          <w:spacing w:val="10"/>
          <w:sz w:val="32"/>
          <w:szCs w:val="32"/>
          <w:lang w:val="en-US" w:eastAsia="zh-CN"/>
        </w:rPr>
        <w:t xml:space="preserve">     </w:t>
      </w:r>
      <w:r>
        <w:rPr>
          <w:rFonts w:hint="eastAsia" w:ascii="仿宋_GB2312" w:hAnsi="Times New Roman" w:eastAsia="仿宋_GB2312" w:cs="Times New Roman"/>
          <w:color w:val="000000"/>
          <w:spacing w:val="10"/>
          <w:sz w:val="32"/>
          <w:szCs w:val="32"/>
          <w:lang w:eastAsia="zh-CN"/>
        </w:rPr>
        <w:t>2</w:t>
      </w:r>
      <w:r>
        <w:rPr>
          <w:rFonts w:hint="eastAsia" w:ascii="仿宋_GB2312" w:hAnsi="Times New Roman" w:eastAsia="仿宋_GB2312" w:cs="Times New Roman"/>
          <w:color w:val="000000"/>
          <w:spacing w:val="10"/>
          <w:sz w:val="32"/>
          <w:szCs w:val="32"/>
          <w:lang w:val="en-US" w:eastAsia="zh-CN"/>
        </w:rPr>
        <w:t>024</w:t>
      </w:r>
      <w:r>
        <w:rPr>
          <w:rFonts w:hint="eastAsia" w:ascii="仿宋_GB2312" w:hAnsi="Times New Roman" w:eastAsia="仿宋_GB2312" w:cs="Times New Roman"/>
          <w:color w:val="000000"/>
          <w:spacing w:val="10"/>
          <w:sz w:val="32"/>
          <w:szCs w:val="32"/>
        </w:rPr>
        <w:t>年</w:t>
      </w:r>
      <w:r>
        <w:rPr>
          <w:rFonts w:hint="default" w:ascii="仿宋_GB2312" w:eastAsia="仿宋_GB2312" w:cs="Times New Roman"/>
          <w:color w:val="000000"/>
          <w:spacing w:val="10"/>
          <w:sz w:val="32"/>
          <w:szCs w:val="32"/>
          <w:lang w:val="en-US" w:eastAsia="zh-CN"/>
        </w:rPr>
        <w:t>1</w:t>
      </w:r>
      <w:r>
        <w:rPr>
          <w:rFonts w:hint="eastAsia" w:ascii="仿宋_GB2312" w:hAnsi="Times New Roman" w:eastAsia="仿宋_GB2312" w:cs="Times New Roman"/>
          <w:color w:val="000000"/>
          <w:spacing w:val="10"/>
          <w:sz w:val="32"/>
          <w:szCs w:val="32"/>
        </w:rPr>
        <w:t>月</w:t>
      </w:r>
      <w:r>
        <w:rPr>
          <w:rFonts w:hint="eastAsia" w:ascii="仿宋_GB2312" w:eastAsia="仿宋_GB2312" w:cs="Times New Roman"/>
          <w:color w:val="000000"/>
          <w:spacing w:val="10"/>
          <w:sz w:val="32"/>
          <w:szCs w:val="32"/>
          <w:lang w:val="en-US" w:eastAsia="zh-CN"/>
        </w:rPr>
        <w:t>2</w:t>
      </w:r>
      <w:r>
        <w:rPr>
          <w:rFonts w:hint="default" w:ascii="仿宋_GB2312" w:eastAsia="仿宋_GB2312" w:cs="Times New Roman"/>
          <w:color w:val="000000"/>
          <w:spacing w:val="10"/>
          <w:sz w:val="32"/>
          <w:szCs w:val="32"/>
          <w:lang w:val="en-US" w:eastAsia="zh-CN"/>
        </w:rPr>
        <w:t>4</w:t>
      </w:r>
      <w:r>
        <w:rPr>
          <w:rFonts w:hint="eastAsia" w:ascii="仿宋_GB2312" w:hAnsi="Times New Roman" w:eastAsia="仿宋_GB2312" w:cs="Times New Roman"/>
          <w:color w:val="000000"/>
          <w:spacing w:val="10"/>
          <w:sz w:val="32"/>
          <w:szCs w:val="32"/>
        </w:rPr>
        <w:t>日</w:t>
      </w: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32"/>
          <w:szCs w:val="32"/>
        </w:rPr>
      </w:pPr>
    </w:p>
    <w:p>
      <w:pPr>
        <w:snapToGrid w:val="0"/>
        <w:spacing w:line="360" w:lineRule="auto"/>
        <w:ind w:right="28"/>
        <w:jc w:val="left"/>
        <w:rPr>
          <w:rFonts w:ascii="黑体" w:eastAsia="黑体"/>
          <w:spacing w:val="8"/>
          <w:sz w:val="28"/>
          <w:szCs w:val="28"/>
        </w:rPr>
      </w:pPr>
    </w:p>
    <w:p>
      <w:pPr>
        <w:snapToGrid w:val="0"/>
        <w:spacing w:line="360" w:lineRule="auto"/>
        <w:ind w:right="28"/>
        <w:jc w:val="left"/>
        <w:rPr>
          <w:rFonts w:ascii="黑体" w:eastAsia="黑体"/>
          <w:spacing w:val="8"/>
          <w:sz w:val="22"/>
          <w:szCs w:val="22"/>
        </w:rPr>
      </w:pPr>
    </w:p>
    <w:p>
      <w:pPr>
        <w:pBdr>
          <w:top w:val="single" w:color="auto" w:sz="8" w:space="6"/>
        </w:pBdr>
        <w:adjustRightInd w:val="0"/>
        <w:snapToGrid w:val="0"/>
        <w:spacing w:after="109" w:afterLines="35"/>
        <w:ind w:firstLine="302" w:firstLineChars="100"/>
        <w:rPr>
          <w:rFonts w:hint="eastAsia" w:ascii="仿宋_GB2312" w:eastAsia="仿宋_GB2312"/>
          <w:spacing w:val="11"/>
          <w:sz w:val="28"/>
          <w:lang w:val="en-US" w:eastAsia="zh-CN"/>
        </w:rPr>
      </w:pPr>
      <w:r>
        <w:rPr>
          <w:rFonts w:hint="eastAsia" w:ascii="仿宋_GB2312" w:eastAsia="仿宋_GB2312"/>
          <w:spacing w:val="11"/>
          <w:sz w:val="28"/>
        </w:rPr>
        <w:t>抄送：证监会上市司、法治司；上海证券交易所</w:t>
      </w:r>
      <w:r>
        <w:rPr>
          <w:rFonts w:hint="eastAsia" w:ascii="仿宋_GB2312" w:eastAsia="仿宋_GB2312"/>
          <w:spacing w:val="11"/>
          <w:sz w:val="28"/>
          <w:lang w:val="en-US" w:eastAsia="zh-CN"/>
        </w:rPr>
        <w:t>。</w:t>
      </w:r>
    </w:p>
    <w:p>
      <w:pPr>
        <w:pBdr>
          <w:top w:val="single" w:color="auto" w:sz="4" w:space="6"/>
        </w:pBdr>
        <w:adjustRightInd w:val="0"/>
        <w:snapToGrid w:val="0"/>
        <w:spacing w:after="109" w:afterLines="35"/>
        <w:ind w:firstLine="318"/>
        <w:jc w:val="left"/>
        <w:rPr>
          <w:rFonts w:ascii="仿宋_GB2312" w:eastAsia="仿宋_GB2312"/>
          <w:spacing w:val="8"/>
          <w:sz w:val="28"/>
        </w:rPr>
      </w:pPr>
      <w:r>
        <w:rPr>
          <w:rFonts w:hint="eastAsia" w:ascii="仿宋_GB2312" w:eastAsia="仿宋_GB2312"/>
          <w:spacing w:val="8"/>
          <w:sz w:val="28"/>
        </w:rPr>
        <w:t xml:space="preserve">广东证监局办公室                 </w:t>
      </w:r>
      <w:r>
        <w:rPr>
          <w:rFonts w:hint="default" w:ascii="仿宋_GB2312" w:eastAsia="仿宋_GB2312"/>
          <w:spacing w:val="8"/>
          <w:sz w:val="28"/>
          <w:lang w:val="en-US"/>
        </w:rPr>
        <w:t xml:space="preserve"> </w:t>
      </w:r>
      <w:r>
        <w:rPr>
          <w:rFonts w:hint="eastAsia" w:ascii="仿宋_GB2312" w:eastAsia="仿宋_GB2312"/>
          <w:spacing w:val="8"/>
          <w:sz w:val="28"/>
        </w:rPr>
        <w:t xml:space="preserve"> 202</w:t>
      </w:r>
      <w:r>
        <w:rPr>
          <w:rFonts w:hint="eastAsia" w:ascii="仿宋_GB2312" w:eastAsia="仿宋_GB2312"/>
          <w:spacing w:val="8"/>
          <w:sz w:val="28"/>
          <w:lang w:val="en-US" w:eastAsia="zh-CN"/>
        </w:rPr>
        <w:t>4</w:t>
      </w:r>
      <w:r>
        <w:rPr>
          <w:rFonts w:hint="eastAsia" w:ascii="仿宋_GB2312" w:eastAsia="仿宋_GB2312"/>
          <w:spacing w:val="8"/>
          <w:sz w:val="28"/>
        </w:rPr>
        <w:t>年</w:t>
      </w:r>
      <w:r>
        <w:rPr>
          <w:rFonts w:ascii="仿宋_GB2312" w:eastAsia="仿宋_GB2312"/>
          <w:spacing w:val="8"/>
          <w:sz w:val="28"/>
        </w:rPr>
        <w:t>1</w:t>
      </w:r>
      <w:r>
        <w:rPr>
          <w:rFonts w:hint="eastAsia" w:ascii="仿宋_GB2312" w:eastAsia="仿宋_GB2312"/>
          <w:spacing w:val="8"/>
          <w:sz w:val="28"/>
        </w:rPr>
        <w:t>月</w:t>
      </w:r>
      <w:r>
        <w:rPr>
          <w:rFonts w:hint="eastAsia" w:ascii="仿宋_GB2312" w:eastAsia="仿宋_GB2312"/>
          <w:spacing w:val="8"/>
          <w:sz w:val="28"/>
          <w:lang w:val="en-US" w:eastAsia="zh-CN"/>
        </w:rPr>
        <w:t>2</w:t>
      </w:r>
      <w:r>
        <w:rPr>
          <w:rFonts w:hint="default" w:ascii="仿宋_GB2312" w:eastAsia="仿宋_GB2312"/>
          <w:spacing w:val="8"/>
          <w:sz w:val="28"/>
          <w:lang w:val="en-US" w:eastAsia="zh-CN"/>
        </w:rPr>
        <w:t>4</w:t>
      </w:r>
      <w:r>
        <w:rPr>
          <w:rFonts w:hint="eastAsia" w:ascii="仿宋_GB2312" w:eastAsia="仿宋_GB2312"/>
          <w:spacing w:val="8"/>
          <w:sz w:val="28"/>
        </w:rPr>
        <w:t>日印发</w:t>
      </w:r>
    </w:p>
    <w:p>
      <w:pPr>
        <w:widowControl w:val="0"/>
        <w:pBdr>
          <w:top w:val="single" w:color="auto" w:sz="8" w:space="7"/>
        </w:pBdr>
        <w:overflowPunct w:val="0"/>
        <w:adjustRightInd w:val="0"/>
        <w:snapToGrid w:val="0"/>
        <w:spacing w:beforeLines="0" w:afterLines="0"/>
        <w:jc w:val="left"/>
        <w:rPr>
          <w:rFonts w:ascii="仿宋_GB2312" w:eastAsia="仿宋_GB2312"/>
          <w:spacing w:val="8"/>
          <w:sz w:val="2"/>
          <w:szCs w:val="2"/>
          <w:shd w:val="clear" w:color="auto" w:fill="auto"/>
        </w:rPr>
      </w:pPr>
    </w:p>
    <w:bookmarkEnd w:id="0"/>
    <w:p>
      <w:pPr>
        <w:overflowPunct w:val="0"/>
        <w:snapToGrid w:val="0"/>
        <w:spacing w:beforeLines="0" w:afterLines="0"/>
        <w:rPr>
          <w:sz w:val="2"/>
          <w:szCs w:val="2"/>
        </w:rPr>
      </w:pPr>
    </w:p>
    <w:sectPr>
      <w:headerReference r:id="rId3" w:type="default"/>
      <w:footerReference r:id="rId4" w:type="default"/>
      <w:pgSz w:w="11906" w:h="16838"/>
      <w:pgMar w:top="2097"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609000101010101"/>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7A108"/>
    <w:rsid w:val="25F74F73"/>
    <w:rsid w:val="31FFD6D8"/>
    <w:rsid w:val="3EFF5B07"/>
    <w:rsid w:val="3EFFA50E"/>
    <w:rsid w:val="57720605"/>
    <w:rsid w:val="5DADE06F"/>
    <w:rsid w:val="5DBFD076"/>
    <w:rsid w:val="5FFF950A"/>
    <w:rsid w:val="7297E4AC"/>
    <w:rsid w:val="75FEC931"/>
    <w:rsid w:val="77EB76B4"/>
    <w:rsid w:val="79DFF15B"/>
    <w:rsid w:val="7C3F7DC8"/>
    <w:rsid w:val="7E4F76D7"/>
    <w:rsid w:val="7EB3BBA0"/>
    <w:rsid w:val="7F7ED158"/>
    <w:rsid w:val="BFFB664A"/>
    <w:rsid w:val="C5FFCE50"/>
    <w:rsid w:val="E7D7956E"/>
    <w:rsid w:val="EE779CF9"/>
    <w:rsid w:val="F3F786E6"/>
    <w:rsid w:val="FFF7A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2024-01-28T10:35:00Z</dcterms:created>
  <dc:creator>谭裔江</dc:creator>
  <cp:lastModifiedBy>谭裔江</cp:lastModifiedBy>
  <dcterms:modified xsi:type="dcterms:W3CDTF">2024-01-26T10:14:43Z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DC3530F5B1955D229315B3655885B051</vt:lpwstr>
  </property>
</Properties>
</file>