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8240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ML7WS1gAAAAgBAAAPAAAAAAAAAAEAIAAAADgAAABkcnMvZG93bnJldi54bWxQ&#10;SwECFAAUAAAACACHTuJAIhmvX+MBAACqAwAADgAAAAAAAAABACAAAAA7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0"/>
          <w:right w:val="none" w:color="auto" w:sz="0" w:space="4"/>
        </w:pBdr>
        <w:tabs>
          <w:tab w:val="left" w:pos="420"/>
        </w:tabs>
        <w:snapToGrid w:val="0"/>
        <w:spacing w:line="300" w:lineRule="auto"/>
        <w:jc w:val="both"/>
        <w:outlineLvl w:val="9"/>
        <w:rPr>
          <w:rFonts w:ascii="仿宋_GB2312" w:hAnsi="Times New Roman" w:eastAsia="仿宋_GB2312" w:cs="Times New Roman"/>
          <w:color w:val="000000"/>
          <w:spacing w:val="12"/>
          <w:kern w:val="2"/>
          <w:sz w:val="18"/>
          <w:szCs w:val="18"/>
          <w:lang w:val="en-US" w:eastAsia="zh-CN" w:bidi="ar-SA"/>
        </w:rPr>
      </w:pPr>
      <w:bookmarkStart w:id="0" w:name="quanwen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spacing w:val="0"/>
          <w:szCs w:val="44"/>
          <w:lang w:val="en-US" w:eastAsia="zh-CN"/>
        </w:rPr>
        <w:t>珠海育邦私募股权投资基金管理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Cs w:val="44"/>
          <w:lang w:val="en-US"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spacing w:val="0"/>
          <w:szCs w:val="44"/>
          <w:lang w:eastAsia="zh-CN"/>
        </w:rPr>
        <w:t>采取责令改正</w:t>
      </w:r>
      <w:r>
        <w:rPr>
          <w:rFonts w:hint="eastAsia" w:ascii="方正小标宋简体" w:hAnsi="方正小标宋简体" w:eastAsia="方正小标宋简体" w:cs="方正小标宋简体"/>
          <w:spacing w:val="0"/>
          <w:szCs w:val="44"/>
        </w:rPr>
        <w:t>措施的决定</w:t>
      </w:r>
    </w:p>
    <w:p>
      <w:pPr>
        <w:snapToGrid w:val="0"/>
        <w:spacing w:before="0" w:beforeLines="0" w:afterLines="0" w:line="240" w:lineRule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0"/>
          <w:lang w:val="en-US" w:eastAsia="zh-CN"/>
        </w:rPr>
        <w:t>珠海育邦私募股权投资基金管理有限公司：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经查，你公司在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开展私募投资基金管理业务过程中，存在</w:t>
      </w:r>
      <w:r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以下违规情形：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向非合格投资者募集资金；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向投资者承诺投资本金不受损失或承诺最低收益；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未按照合同约定向投资者披露基金信息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上述行为违反了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《私募投资基金监督管理暂行办法》(证监会令第105号，以下简称《私募办法》）第十一条、第十二条、第十五条和第二十四条的规定。</w:t>
      </w:r>
    </w:p>
    <w:p>
      <w:pPr>
        <w:overflowPunct w:val="0"/>
        <w:adjustRightInd w:val="0"/>
        <w:snapToGrid w:val="0"/>
        <w:spacing w:beforeLines="0" w:afterLines="0" w:line="336" w:lineRule="auto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</w:rPr>
        <w:t>根据《</w:t>
      </w:r>
      <w:r>
        <w:rPr>
          <w:rFonts w:hint="eastAsia" w:ascii="仿宋_GB2312" w:hAnsi="仿宋_GB2312" w:eastAsia="仿宋_GB2312" w:cs="仿宋_GB2312"/>
          <w:spacing w:val="0"/>
          <w:sz w:val="32"/>
          <w:lang w:eastAsia="zh-CN"/>
        </w:rPr>
        <w:t>私募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spacing w:val="0"/>
          <w:sz w:val="32"/>
        </w:rPr>
        <w:t>》第三十三条的规定，</w:t>
      </w:r>
      <w:r>
        <w:rPr>
          <w:rFonts w:hint="eastAsia" w:ascii="仿宋_GB2312" w:hAnsi="仿宋_GB2312" w:eastAsia="仿宋_GB2312" w:cs="仿宋_GB2312"/>
          <w:spacing w:val="0"/>
          <w:sz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pacing w:val="0"/>
          <w:sz w:val="32"/>
        </w:rPr>
        <w:t>决定对你公司采</w:t>
      </w:r>
      <w:r>
        <w:rPr>
          <w:rFonts w:hint="eastAsia" w:ascii="仿宋_GB2312" w:hAnsi="仿宋_GB2312" w:eastAsia="仿宋_GB2312" w:cs="仿宋_GB2312"/>
          <w:sz w:val="32"/>
        </w:rPr>
        <w:t>取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责令改正的</w:t>
      </w:r>
      <w:r>
        <w:rPr>
          <w:rFonts w:hint="eastAsia" w:ascii="仿宋_GB2312" w:hAnsi="仿宋_GB2312" w:eastAsia="仿宋_GB2312" w:cs="仿宋_GB2312"/>
          <w:sz w:val="32"/>
        </w:rPr>
        <w:t>行政监管措施。你公司应高度重视上述问题，制定切实有效的整改方案，对存在的问题进行整改，并于收到本决定后30日内将整改报告、内部问责情况报告及相关责任人的书面检查报送我局。我局将视情况对你公司整改落实情况进行检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如果对本监督管理措施不服，可在收到本决定书之日起60日内向中国证券监督管理委员会提出行政复议申请；也可以在收到本决定书之日起6个月内向有管辖权的人民法院提起诉讼。复议与诉讼期间，上述监督管理措施不停止执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广东证监局</w:t>
      </w:r>
    </w:p>
    <w:p>
      <w:pPr>
        <w:widowControl/>
        <w:adjustRightInd w:val="0"/>
        <w:snapToGrid w:val="0"/>
        <w:spacing w:beforeLines="0" w:afterLines="0" w:line="360" w:lineRule="auto"/>
        <w:ind w:right="1191" w:firstLine="0" w:firstLineChars="0"/>
        <w:jc w:val="right"/>
        <w:outlineLvl w:val="9"/>
        <w:rPr>
          <w:rFonts w:hint="eastAsia" w:ascii="仿宋_GB2312" w:hAnsi="Times New Roman" w:eastAsia="仿宋_GB2312" w:cs="Times New Roman"/>
          <w:spacing w:val="10"/>
          <w:sz w:val="32"/>
        </w:rPr>
      </w:pPr>
      <w:r>
        <w:rPr>
          <w:rFonts w:hint="eastAsia" w:ascii="仿宋_GB2312" w:hAnsi="Times New Roman" w:eastAsia="仿宋_GB2312" w:cs="Times New Roman"/>
          <w:spacing w:val="10"/>
          <w:sz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  <w:lang w:val="en-US" w:eastAsia="zh-CN"/>
        </w:rPr>
        <w:t>02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年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月</w:t>
      </w:r>
      <w:r>
        <w:rPr>
          <w:rFonts w:hint="default" w:ascii="仿宋_GB2312" w:eastAsia="仿宋_GB2312" w:cs="Times New Roman"/>
          <w:spacing w:val="10"/>
          <w:sz w:val="32"/>
          <w:lang w:val="en" w:eastAsia="zh-CN"/>
        </w:rPr>
        <w:t>19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317"/>
        <w:textAlignment w:val="auto"/>
        <w:rPr>
          <w:rFonts w:ascii="长城仿宋" w:eastAsia="长城仿宋"/>
          <w:sz w:val="28"/>
        </w:rPr>
      </w:pPr>
      <w:r>
        <w:rPr>
          <w:rFonts w:hint="eastAsia" w:ascii="仿宋_GB2312" w:eastAsia="仿宋_GB2312"/>
          <w:spacing w:val="8"/>
          <w:sz w:val="28"/>
        </w:rPr>
        <w:t>抄送：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证监</w:t>
      </w:r>
      <w:r>
        <w:rPr>
          <w:rFonts w:hint="eastAsia" w:ascii="仿宋_GB2312" w:eastAsia="仿宋_GB2312"/>
          <w:spacing w:val="8"/>
          <w:sz w:val="28"/>
          <w:lang w:eastAsia="zh-CN"/>
        </w:rPr>
        <w:t>会市场二部，法律部；中国证券投资基金业协会</w:t>
      </w:r>
      <w:r>
        <w:rPr>
          <w:rFonts w:hint="eastAsia" w:ascii="仿宋_GB2312" w:eastAsia="仿宋_GB2312"/>
          <w:spacing w:val="8"/>
          <w:sz w:val="28"/>
        </w:rPr>
        <w:t>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</w:t>
      </w:r>
      <w:r>
        <w:rPr>
          <w:rFonts w:hint="default" w:ascii="仿宋_GB2312" w:eastAsia="仿宋_GB2312"/>
          <w:spacing w:val="8"/>
          <w:sz w:val="28"/>
          <w:lang w:val="en"/>
        </w:rPr>
        <w:t xml:space="preserve">  </w:t>
      </w:r>
      <w:r>
        <w:rPr>
          <w:rFonts w:hint="eastAsia" w:ascii="仿宋_GB2312" w:eastAsia="仿宋_GB2312"/>
          <w:spacing w:val="8"/>
          <w:sz w:val="28"/>
        </w:rPr>
        <w:t xml:space="preserve">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1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20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adjustRightInd w:val="0"/>
        <w:snapToGrid w:val="0"/>
        <w:spacing w:beforeLines="0"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</w:rPr>
      </w:pPr>
    </w:p>
    <w:bookmarkEnd w:id="0"/>
    <w:p/>
    <w:sectPr>
      <w:headerReference r:id="rId3" w:type="default"/>
      <w:footerReference r:id="rId4" w:type="default"/>
      <w:pgSz w:w="11906" w:h="16838"/>
      <w:pgMar w:top="2097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仿宋">
    <w:altName w:val="宋体"/>
    <w:panose1 w:val="02010609000101010101"/>
    <w:charset w:val="00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26.53.164.178:8088/GDZJJ/OfficeServer;jsessionid=0B198496A3B828BA2E5A48847EF9C24B"/>
  </w:docVars>
  <w:rsids>
    <w:rsidRoot w:val="FFF30BC5"/>
    <w:rsid w:val="18DE2203"/>
    <w:rsid w:val="5EF781F6"/>
    <w:rsid w:val="5FFDCDFF"/>
    <w:rsid w:val="68F11124"/>
    <w:rsid w:val="6DFF9B2D"/>
    <w:rsid w:val="8FFB1373"/>
    <w:rsid w:val="AB07FEA8"/>
    <w:rsid w:val="DDDD8F75"/>
    <w:rsid w:val="FAEFDA5C"/>
    <w:rsid w:val="FFF3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jc w:val="center"/>
    </w:pPr>
    <w:rPr>
      <w:rFonts w:eastAsia="黑体"/>
      <w:kern w:val="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2023-01-15T19:38:00Z</dcterms:created>
  <dc:creator>李赐芬</dc:creator>
  <cp:lastModifiedBy>李赐芬</cp:lastModifiedBy>
  <cp:lastPrinted>2023-01-21T01:48:00Z</cp:lastPrinted>
  <dcterms:modified xsi:type="dcterms:W3CDTF">2023-01-20T10:54:56Z</dcterms:modified>
  <dc:title>〔2023〕号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