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94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zC+1ktYAAAAIAQAADwAAAAAAAAABACAAAAA4AAAAZHJzL2Rvd25yZXYueG1s&#10;UEsBAhQAFAAAAAgAh07iQBHrGhfkAQAAqgMAAA4AAAAAAAAAAQAgAAAAOwEAAGRycy9lMm9Eb2Mu&#10;eG1sUEsFBgAAAAAGAAYAWQEAAJE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Lines="0" w:afterLines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关于对广东星徽精密制造股份有限公司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2"/>
          <w:sz w:val="44"/>
          <w:szCs w:val="44"/>
          <w:shd w:val="clear" w:fill="auto"/>
          <w:lang w:val="en-US" w:eastAsia="zh-CN" w:bidi="ar"/>
        </w:rPr>
        <w:t>蔡耿锡、陈惠吟、鲁金莲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采取出具</w:t>
      </w:r>
    </w:p>
    <w:p>
      <w:pPr>
        <w:adjustRightInd w:val="0"/>
        <w:snapToGrid w:val="0"/>
        <w:spacing w:beforeLines="0" w:afterLines="0" w:line="240" w:lineRule="auto"/>
        <w:jc w:val="center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警示函措施的决定</w:t>
      </w:r>
    </w:p>
    <w:p>
      <w:pPr>
        <w:adjustRightInd w:val="0"/>
        <w:snapToGrid w:val="0"/>
        <w:spacing w:beforeLines="0" w:afterLines="0" w:line="240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overflowPunct w:val="0"/>
        <w:adjustRightInd w:val="0"/>
        <w:snapToGrid w:val="0"/>
        <w:spacing w:beforeLines="0" w:afterLines="0" w:line="336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广东星徽精密制造股份有限公司、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auto"/>
          <w:lang w:val="en-US" w:eastAsia="zh-CN" w:bidi="ar"/>
        </w:rPr>
        <w:t>蔡耿锡、陈惠吟、鲁金莲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</w:p>
    <w:p>
      <w:pPr>
        <w:overflowPunct w:val="0"/>
        <w:adjustRightInd w:val="0"/>
        <w:snapToGrid w:val="0"/>
        <w:spacing w:beforeLines="0" w:afterLines="0" w:line="336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经查，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广东星徽精密制造股份有限公司（以下简称星徽股份或公司）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存在以下违规行为：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snapToGrid w:val="0"/>
        <w:spacing w:before="0" w:beforeLines="0" w:afterLines="0" w:line="336" w:lineRule="auto"/>
        <w:ind w:firstLine="640"/>
        <w:jc w:val="both"/>
        <w:textAlignment w:val="auto"/>
        <w:rPr>
          <w:rFonts w:hint="eastAsia" w:ascii="仿宋_GB2312" w:hAnsi="仿宋_GB2312" w:eastAsia="仿宋_GB2312" w:cs="Times New Roman"/>
          <w:color w:val="000000"/>
          <w:spacing w:val="0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color w:val="000000"/>
          <w:spacing w:val="0"/>
          <w:kern w:val="2"/>
          <w:sz w:val="32"/>
          <w:szCs w:val="20"/>
          <w:highlight w:val="none"/>
          <w:lang w:val="en" w:eastAsia="zh-CN" w:bidi="ar-SA"/>
        </w:rPr>
        <w:t>2020</w:t>
      </w:r>
      <w:r>
        <w:rPr>
          <w:rFonts w:hint="eastAsia" w:ascii="仿宋_GB2312" w:hAnsi="仿宋_GB2312" w:eastAsia="仿宋_GB2312" w:cs="Times New Roman"/>
          <w:color w:val="000000"/>
          <w:spacing w:val="0"/>
          <w:kern w:val="2"/>
          <w:sz w:val="32"/>
          <w:szCs w:val="20"/>
          <w:highlight w:val="none"/>
          <w:lang w:val="en" w:eastAsia="zh-CN" w:bidi="ar-SA"/>
        </w:rPr>
        <w:t>年</w:t>
      </w:r>
      <w:r>
        <w:rPr>
          <w:rFonts w:hint="eastAsia" w:ascii="仿宋_GB2312" w:hAnsi="仿宋_GB2312" w:eastAsia="仿宋_GB2312" w:cs="Times New Roman"/>
          <w:color w:val="000000"/>
          <w:spacing w:val="0"/>
          <w:kern w:val="2"/>
          <w:sz w:val="32"/>
          <w:szCs w:val="20"/>
          <w:highlight w:val="none"/>
          <w:lang w:val="en-US" w:eastAsia="zh-CN" w:bidi="ar-SA"/>
        </w:rPr>
        <w:t>9月，星徽股份子公司</w:t>
      </w:r>
      <w:r>
        <w:rPr>
          <w:rFonts w:hint="eastAsia" w:ascii="仿宋_GB2312" w:eastAsia="仿宋_GB2312"/>
          <w:color w:val="auto"/>
          <w:spacing w:val="0"/>
          <w:sz w:val="32"/>
          <w:szCs w:val="30"/>
          <w:highlight w:val="none"/>
          <w:lang w:eastAsia="zh-CN"/>
        </w:rPr>
        <w:t>深圳市泽宝创新技术有限公司</w:t>
      </w:r>
      <w:r>
        <w:rPr>
          <w:rFonts w:hint="eastAsia" w:ascii="仿宋_GB2312" w:hAnsi="仿宋_GB2312" w:eastAsia="仿宋_GB2312" w:cs="Times New Roman"/>
          <w:color w:val="000000"/>
          <w:spacing w:val="0"/>
          <w:kern w:val="2"/>
          <w:sz w:val="32"/>
          <w:szCs w:val="20"/>
          <w:highlight w:val="none"/>
          <w:lang w:val="en-US" w:eastAsia="zh-CN" w:bidi="ar-SA"/>
        </w:rPr>
        <w:t>在对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0"/>
          <w:highlight w:val="none"/>
          <w:lang w:val="en-US" w:eastAsia="zh-CN"/>
        </w:rPr>
        <w:t>CELLECTIONS CORP公司股权收购过程中，公司总经理</w:t>
      </w:r>
      <w:r>
        <w:rPr>
          <w:rFonts w:hint="eastAsia" w:ascii="仿宋_GB2312" w:hAnsi="仿宋_GB2312" w:eastAsia="仿宋_GB2312" w:cs="Times New Roman"/>
          <w:color w:val="000000"/>
          <w:spacing w:val="0"/>
          <w:kern w:val="2"/>
          <w:sz w:val="32"/>
          <w:szCs w:val="20"/>
          <w:highlight w:val="none"/>
          <w:lang w:val="en-US" w:eastAsia="zh-CN" w:bidi="ar-SA"/>
        </w:rPr>
        <w:t>陈惠吟向公司提供借款并向交易对方垫付2960.04万元，</w:t>
      </w:r>
      <w:r>
        <w:rPr>
          <w:rFonts w:hint="eastAsia" w:ascii="仿宋_GB2312" w:hAnsi="仿宋_GB2312" w:eastAsia="仿宋_GB2312" w:cs="Times New Roman"/>
          <w:color w:val="000000"/>
          <w:spacing w:val="0"/>
          <w:kern w:val="2"/>
          <w:sz w:val="32"/>
          <w:szCs w:val="20"/>
          <w:highlight w:val="none"/>
          <w:lang w:val="en" w:eastAsia="zh-CN" w:bidi="ar-SA"/>
        </w:rPr>
        <w:t>上述关联交易没有履行董事会审议程序并披露</w:t>
      </w:r>
      <w:r>
        <w:rPr>
          <w:rFonts w:hint="eastAsia" w:ascii="仿宋_GB2312" w:hAnsi="仿宋_GB2312" w:eastAsia="仿宋_GB2312" w:cs="Times New Roman"/>
          <w:color w:val="000000"/>
          <w:spacing w:val="0"/>
          <w:kern w:val="2"/>
          <w:sz w:val="32"/>
          <w:szCs w:val="20"/>
          <w:highlight w:val="none"/>
          <w:lang w:val="en-US" w:eastAsia="zh-CN" w:bidi="ar-SA"/>
        </w:rPr>
        <w:t>,违反了《上市公司信息披露管理办法》（证监会令第40号）第四十八条等相关规定。</w:t>
      </w:r>
    </w:p>
    <w:p>
      <w:pPr>
        <w:overflowPunct w:val="0"/>
        <w:snapToGrid w:val="0"/>
        <w:spacing w:beforeLines="0" w:afterLines="0" w:line="336" w:lineRule="auto"/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星徽股份</w:t>
      </w:r>
      <w:r>
        <w:rPr>
          <w:rFonts w:hint="default" w:ascii="仿宋_GB2312" w:eastAsia="仿宋_GB2312"/>
          <w:spacing w:val="0"/>
          <w:kern w:val="0"/>
          <w:sz w:val="32"/>
          <w:highlight w:val="none"/>
          <w:lang w:eastAsia="zh-CN"/>
        </w:rPr>
        <w:t>董事长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auto"/>
          <w:lang w:val="en-US" w:eastAsia="zh-CN" w:bidi="ar"/>
        </w:rPr>
        <w:t>蔡耿锡、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highlight w:val="none"/>
          <w:shd w:val="clear"/>
          <w:lang w:val="en-US" w:eastAsia="zh-CN" w:bidi="ar"/>
        </w:rPr>
        <w:t>总经理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auto"/>
          <w:lang w:val="en-US" w:eastAsia="zh-CN" w:bidi="ar"/>
        </w:rPr>
        <w:t>陈惠吟、董事会秘书鲁金莲</w:t>
      </w:r>
      <w:r>
        <w:rPr>
          <w:rFonts w:hint="eastAsia" w:ascii="仿宋_GB2312" w:eastAsia="仿宋_GB2312"/>
          <w:spacing w:val="0"/>
          <w:kern w:val="0"/>
          <w:sz w:val="32"/>
          <w:highlight w:val="none"/>
          <w:lang w:eastAsia="zh-CN"/>
        </w:rPr>
        <w:t>未按照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《上市公司信息披露管理办法》第三条的规定</w:t>
      </w:r>
      <w:r>
        <w:rPr>
          <w:rFonts w:hint="eastAsia" w:ascii="仿宋_GB2312" w:eastAsia="仿宋_GB2312"/>
          <w:spacing w:val="0"/>
          <w:kern w:val="0"/>
          <w:sz w:val="32"/>
          <w:highlight w:val="none"/>
          <w:lang w:eastAsia="zh-CN"/>
        </w:rPr>
        <w:t>履行勤勉尽责义务，对</w:t>
      </w:r>
      <w:r>
        <w:rPr>
          <w:rFonts w:hint="default" w:ascii="仿宋_GB2312" w:eastAsia="仿宋_GB2312"/>
          <w:spacing w:val="0"/>
          <w:kern w:val="0"/>
          <w:sz w:val="32"/>
          <w:highlight w:val="none"/>
          <w:lang w:eastAsia="zh-CN"/>
        </w:rPr>
        <w:t>公司</w:t>
      </w:r>
      <w:r>
        <w:rPr>
          <w:rFonts w:hint="eastAsia" w:ascii="仿宋_GB2312" w:eastAsia="仿宋_GB2312"/>
          <w:spacing w:val="0"/>
          <w:kern w:val="0"/>
          <w:sz w:val="32"/>
          <w:highlight w:val="none"/>
          <w:lang w:eastAsia="zh-CN"/>
        </w:rPr>
        <w:t>上述违规行为负有主要责任。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仿宋_GB2312" w:eastAsia="仿宋_GB2312" w:cs="宋体"/>
          <w:kern w:val="0"/>
          <w:sz w:val="32"/>
          <w:szCs w:val="22"/>
          <w:highlight w:val="none"/>
          <w:lang w:val="en-US" w:eastAsia="zh-CN" w:bidi="ar-SA"/>
        </w:rPr>
        <w:t>《上市公司信息披露管理办法》第五十九条</w:t>
      </w:r>
      <w:r>
        <w:rPr>
          <w:rFonts w:hint="eastAsia" w:ascii="仿宋_GB2312" w:hAnsi="仿宋_GB2312" w:eastAsia="仿宋_GB2312" w:cs="宋体"/>
          <w:spacing w:val="0"/>
          <w:kern w:val="0"/>
          <w:sz w:val="32"/>
          <w:szCs w:val="21"/>
          <w:highlight w:val="none"/>
          <w:lang w:val="en-US" w:eastAsia="zh-CN" w:bidi="ar-SA"/>
        </w:rPr>
        <w:t>的规定，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我局决定对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星徽股份及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auto"/>
          <w:lang w:val="en-US" w:eastAsia="zh-CN" w:bidi="ar"/>
        </w:rPr>
        <w:t>蔡耿锡、陈惠吟、鲁金莲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采取出具警示函的行政监管措施。你们应高度重视上述问题，采取有效措施切实整改，依法真实、准确、完整、及时、公平地履行信息披露义务；同时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你公司应对相关责任人进行内部问责，于收到本决定书30日内向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我局报送整改报告、内部问责情况，并抄报深圳证券交易所。</w:t>
      </w:r>
    </w:p>
    <w:p>
      <w:pPr>
        <w:overflowPunct w:val="0"/>
        <w:adjustRightInd w:val="0"/>
        <w:snapToGrid w:val="0"/>
        <w:spacing w:before="0" w:beforeLines="0" w:after="0" w:afterLines="0" w:line="336" w:lineRule="auto"/>
        <w:ind w:firstLine="640" w:firstLineChars="200"/>
        <w:jc w:val="both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如果</w:t>
      </w:r>
      <w:r>
        <w:rPr>
          <w:rFonts w:hint="eastAsia" w:ascii="仿宋_GB2312" w:hAnsi="仿宋_GB2312" w:eastAsia="仿宋_GB2312"/>
          <w:sz w:val="32"/>
          <w:highlight w:val="none"/>
        </w:rPr>
        <w:t>对本监督管理措施不服，可以在收到本决定书之日起60日内向中国证券监督管理委员会</w:t>
      </w:r>
      <w:r>
        <w:rPr>
          <w:rFonts w:hint="eastAsia" w:ascii="仿宋_GB2312" w:hAnsi="仿宋_GB2312" w:eastAsia="仿宋_GB2312"/>
          <w:sz w:val="32"/>
        </w:rPr>
        <w:t>提出行政复议申请；也可以在收到本决定书之日起6个月内向有管辖权的人民法院提起诉讼。复议与诉讼期间，上述监督管理措施不停止执行。</w:t>
      </w: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广东证监局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1191" w:firstLine="0" w:firstLineChars="0"/>
        <w:jc w:val="right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pacing w:val="1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color w:val="000000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</w:rPr>
        <w:t>年</w:t>
      </w:r>
      <w:r>
        <w:rPr>
          <w:rFonts w:hint="default" w:ascii="仿宋_GB2312" w:eastAsia="仿宋_GB2312" w:cs="Times New Roman"/>
          <w:color w:val="000000"/>
          <w:spacing w:val="10"/>
          <w:sz w:val="32"/>
          <w:lang w:val="en" w:eastAsia="zh-CN"/>
        </w:rPr>
        <w:t>7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</w:rPr>
        <w:t>月</w:t>
      </w:r>
      <w:r>
        <w:rPr>
          <w:rFonts w:hint="eastAsia" w:ascii="仿宋_GB2312" w:eastAsia="仿宋_GB2312" w:cs="Times New Roman"/>
          <w:color w:val="000000"/>
          <w:spacing w:val="10"/>
          <w:sz w:val="32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</w:rPr>
        <w:t>日</w:t>
      </w: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color w:val="000000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color w:val="000000"/>
          <w:spacing w:val="8"/>
          <w:sz w:val="32"/>
          <w:szCs w:val="32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2" w:firstLineChars="100"/>
        <w:textAlignment w:val="auto"/>
        <w:rPr>
          <w:rFonts w:hint="eastAsia" w:ascii="仿宋_GB2312" w:eastAsia="仿宋_GB2312"/>
          <w:spacing w:val="6"/>
          <w:sz w:val="28"/>
          <w:lang w:eastAsia="zh-CN"/>
        </w:rPr>
      </w:pPr>
      <w:r>
        <w:rPr>
          <w:rFonts w:hint="eastAsia" w:ascii="仿宋_GB2312" w:eastAsia="仿宋_GB2312"/>
          <w:spacing w:val="6"/>
          <w:sz w:val="28"/>
        </w:rPr>
        <w:t>抄送：</w:t>
      </w:r>
      <w:r>
        <w:rPr>
          <w:rFonts w:hint="eastAsia" w:ascii="仿宋_GB2312" w:eastAsia="仿宋_GB2312"/>
          <w:spacing w:val="6"/>
          <w:sz w:val="28"/>
          <w:lang w:eastAsia="zh-CN"/>
        </w:rPr>
        <w:t>证监会上市部，法律部；深圳证券交易所。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2022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7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20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  <w:vertAlign w:val="baseline"/>
        </w:rPr>
      </w:pPr>
    </w:p>
    <w:bookmarkEnd w:id="0"/>
    <w:p>
      <w:pPr>
        <w:snapToGrid w:val="0"/>
        <w:spacing w:beforeLines="0" w:afterLines="0" w:line="240" w:lineRule="auto"/>
        <w:rPr>
          <w:sz w:val="2"/>
          <w:szCs w:val="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2097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宋体"/>
    <w:panose1 w:val="02010609000101010101"/>
    <w:charset w:val="00"/>
    <w:family w:val="moder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true"/>
  <w:bordersDoNotSurroundFooter w:val="true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7C81D"/>
    <w:rsid w:val="179C878E"/>
    <w:rsid w:val="4F7FAEC7"/>
    <w:rsid w:val="5DD25164"/>
    <w:rsid w:val="66F7C81D"/>
    <w:rsid w:val="754F99CA"/>
    <w:rsid w:val="7FBEB2E1"/>
    <w:rsid w:val="DBBECF7F"/>
    <w:rsid w:val="F1FBEF48"/>
    <w:rsid w:val="FB35E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文本 (2)"/>
    <w:basedOn w:val="1"/>
    <w:qFormat/>
    <w:uiPriority w:val="0"/>
    <w:pPr>
      <w:shd w:val="clear" w:color="auto" w:fill="FFFFFF"/>
      <w:spacing w:before="240" w:line="576" w:lineRule="exact"/>
    </w:pPr>
    <w:rPr>
      <w:rFonts w:ascii="MingLiU" w:hAnsi="MingLiU" w:eastAsia="MingLiU" w:cs="MingLiU"/>
      <w:spacing w:val="30"/>
      <w:sz w:val="30"/>
      <w:szCs w:val="30"/>
    </w:rPr>
  </w:style>
  <w:style w:type="paragraph" w:customStyle="1" w:styleId="9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2022-07-20T17:06:00Z</dcterms:created>
  <dc:creator>张灵军：主办人办理</dc:creator>
  <cp:lastModifiedBy>张灵军：主办人办理</cp:lastModifiedBy>
  <dcterms:modified xsi:type="dcterms:W3CDTF">2022-07-20T16:48:29Z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