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jc w:val="center"/>
        <w:rPr>
          <w:rFonts w:hint="eastAsia" w:ascii="方正小标宋简体" w:hAnsi="方正小标宋简体" w:eastAsia="方正小标宋简体"/>
          <w:b/>
          <w:color w:val="FF0000"/>
          <w:w w:val="95"/>
          <w:kern w:val="0"/>
          <w:sz w:val="44"/>
          <w:szCs w:val="116"/>
        </w:rPr>
      </w:pPr>
      <w:r>
        <w:rPr>
          <w:rFonts w:hint="eastAsia" w:ascii="方正小标宋简体" w:hAnsi="方正小标宋简体" w:eastAsia="方正小标宋简体" w:cs="黑体"/>
          <w:b/>
          <w:color w:val="FF0000"/>
          <w:w w:val="95"/>
          <w:sz w:val="44"/>
          <w:szCs w:val="72"/>
        </w:rPr>
        <w:t>中国证券监督管理委员会广东监管局</w:t>
      </w:r>
    </w:p>
    <w:p>
      <w:pPr>
        <w:jc w:val="center"/>
        <w:rPr>
          <w:rFonts w:hint="eastAsia" w:ascii="方正小标宋简体" w:hAnsi="方正小标宋简体" w:eastAsia="方正小标宋简体"/>
          <w:snapToGrid w:val="0"/>
          <w:spacing w:val="85"/>
          <w:w w:val="90"/>
          <w:sz w:val="72"/>
          <w:szCs w:val="72"/>
        </w:rPr>
      </w:pPr>
      <w:r>
        <w:rPr>
          <w:rFonts w:hint="eastAsia" w:ascii="方正小标宋简体" w:hAnsi="方正小标宋简体" w:eastAsia="方正小标宋简体"/>
          <w:b/>
          <w:bCs/>
          <w:snapToGrid w:val="0"/>
          <w:color w:val="FF0000"/>
          <w:spacing w:val="85"/>
          <w:w w:val="90"/>
          <w:sz w:val="72"/>
          <w:szCs w:val="72"/>
        </w:rPr>
        <w:t>行政监管措施决定书</w:t>
      </w:r>
    </w:p>
    <w:p>
      <w:pPr>
        <w:snapToGrid w:val="0"/>
        <w:jc w:val="center"/>
        <w:rPr>
          <w:rFonts w:hint="eastAsia" w:ascii="仿宋_GB2312" w:hAnsi="仿宋_GB2312" w:eastAsia="仿宋_GB2312" w:cs="宋体"/>
          <w:sz w:val="28"/>
          <w:szCs w:val="28"/>
        </w:rPr>
      </w:pPr>
    </w:p>
    <w:p>
      <w:pPr>
        <w:snapToGrid w:val="0"/>
        <w:spacing w:before="156" w:beforeLines="50" w:line="300" w:lineRule="auto"/>
        <w:jc w:val="center"/>
        <w:rPr>
          <w:rFonts w:ascii="黑体" w:hAnsi="Times New Roman" w:eastAsia="黑体" w:cs="Times New Roman"/>
          <w:color w:val="000000"/>
          <w:spacing w:val="12"/>
          <w:sz w:val="32"/>
        </w:rPr>
      </w:pPr>
      <w:bookmarkStart w:id="1" w:name="_GoBack"/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〔20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eastAsia="仿宋_GB2312" w:cs="Times New Roman"/>
          <w:color w:val="000000"/>
          <w:spacing w:val="12"/>
          <w:sz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〕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  <w:lang w:val="en-US" w:eastAsia="zh-CN"/>
        </w:rPr>
        <w:t>8</w:t>
      </w:r>
      <w:r>
        <w:rPr>
          <w:rFonts w:hint="default" w:ascii="仿宋_GB2312" w:eastAsia="仿宋_GB2312" w:cs="Times New Roman"/>
          <w:color w:val="000000"/>
          <w:spacing w:val="12"/>
          <w:sz w:val="28"/>
          <w:lang w:val="en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2"/>
          <w:sz w:val="28"/>
        </w:rPr>
        <w:t>号</w:t>
      </w:r>
    </w:p>
    <w:bookmarkEnd w:id="1"/>
    <w:p>
      <w:pPr>
        <w:snapToGrid w:val="0"/>
        <w:jc w:val="center"/>
        <w:rPr>
          <w:rFonts w:hint="eastAsia" w:ascii="仿宋_GB2312" w:hAns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128905</wp:posOffset>
                </wp:positionV>
                <wp:extent cx="555180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35pt;margin-top:10.15pt;height:0.05pt;width:437.15pt;z-index:251658240;mso-width-relative:page;mso-height-relative:page;" filled="f" stroked="t" coordsize="21600,21600" o:gfxdata="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DML7WS1gAAAAgBAAAPAAAAAAAAAAEAIAAAADgAAABkcnMvZG93bnJldi54bWxQ&#10;SwECFAAUAAAACACHTuJAIhmvX+MBAACqAwAADgAAAAAAAAABACAAAAA7AQAAZHJzL2Uyb0RvYy54&#10;bWxQSwUGAAAAAAYABgBZAQAAkAUAAAAA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</w:pPr>
      <w:bookmarkStart w:id="0" w:name="quanwen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关于对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eastAsia="zh-CN"/>
        </w:rPr>
        <w:t>中昌大数据股份有限公司、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凌云、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厉群南、何东、曾建祥、何永祥、叶伟、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薛玮佳、李备战、洪杰采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  <w:lang w:eastAsia="zh-CN"/>
        </w:rPr>
        <w:t>取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highlight w:val="none"/>
        </w:rPr>
        <w:t>出具警示函措施的决定</w:t>
      </w:r>
    </w:p>
    <w:p>
      <w:pPr>
        <w:widowControl w:val="0"/>
        <w:wordWrap/>
        <w:adjustRightInd w:val="0"/>
        <w:snapToGrid w:val="0"/>
        <w:spacing w:beforeLines="0" w:afterLines="0" w:line="240" w:lineRule="auto"/>
        <w:ind w:left="0" w:leftChars="0" w:right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</w:p>
    <w:p>
      <w:pPr>
        <w:wordWrap/>
        <w:adjustRightInd w:val="0"/>
        <w:snapToGrid w:val="0"/>
        <w:spacing w:beforeLines="0" w:afterLines="0" w:line="336" w:lineRule="auto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中昌大数据股份有限公司、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凌云、厉群南、何东、曾建祥、何永祥、叶伟、薛玮佳、李备战、洪杰：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0"/>
          <w:sz w:val="32"/>
          <w:highlight w:val="none"/>
          <w:lang w:val="en-US" w:eastAsia="zh-CN"/>
        </w:rPr>
        <w:t>根据《上市公司现场检查办法》（证监会公告〔2010〕12号）、《上市公司现场检查规则》（证监会公告〔2022〕21号）等规定，我局对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中昌大数据股份有限公司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（以下简称中昌数据或公司）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进行了现场检查，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发现公司存在以下问题：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未及时披露三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盛宏业借款及进展情况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昌数据子公司上海钰昌投资管理有限公司（以下简称上海钰昌）于2018年1月与银码正达（北京）科技有限公司（以下简称银码正达）、北京君言汇金投资有限公司（以下简称君言汇金）、北京亿美和信科技中心（有限合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以下简称亿美和信）等27家单位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然人签订《股权转让协议》，约定上海钰昌以6.38亿元收购北京亿美汇金信息技术有限责任公司（以下简称亿美汇金）55%股权。其中，博雅为亿美汇金的法定代表人。银码正达、君言汇金、亿美和信及博雅（以下简称业绩承诺方）对上述收购事项作出业绩承诺，承诺期为2018年、2019年和2020年，业绩承诺方交易金额为4.43亿元。同时约定上海钰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亿美汇金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2017年及2018年业绩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后，分别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向业绩承诺方支付2.66亿元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1.77亿元。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2018年9月，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中昌数据与业绩承诺方签署《股份转让价款支付安排协议》（以下简称《支付协议》），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约定于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2018年10月31日前将股权转让款4.43亿元一次性支付给业绩承诺方。《支付协议》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于2018年9月20日经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董事会审议通过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2018年10月8日经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临时股东大会审议通过。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中昌数据于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2018年9月19日及10月8日分别向业绩承诺方支付5423.54万元及3.82亿元。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经查，中昌数据于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2019年11月25日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收到控股股东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上海三盛宏业投资（集团）有限责任公司（以下简称三盛宏业或控股股东）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提供的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回复函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《借款协议》《承诺函》等资料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。上述资料显示，三盛宏业于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2018年10月8日与银码正达及君言汇金签订《借款协议》，约定银码正达及君言汇金收到4.43亿元后将其中2.43亿元借给三盛宏业，借款利率10%，其中1.77亿元借款的计息期间自亿美汇金2018年度业绩承诺专项审核报告出具届满15个工作日次日起算，2019年10月31日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业绩承诺方于2018年9月19日及10月8日分别向三盛宏业支付了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5423.54万元及1.82亿元。此外，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三盛宏业向银码正达及君言汇金出具《承诺函》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承诺三盛宏业及关联方在相应的董事会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或股东会上对《支付协议》投赞成票，承诺因三盛宏业原因不能按时还款，三盛宏业提请中昌数据董事会或股东大会终止业绩补偿承诺。该《借款协议》围绕中昌数据收购亿美汇金事项签订,《借款协议》及《承诺函》直接影响业绩补偿承诺的履行情况及《支付协议》的审议情况，属于上市公司收购亿美汇金股权的重要关联安排，可能对上市公司合法权益造成重大不利影响，可能对公司股价及投资者决策产生重大影响。中昌数据未及时披露上述信息，直至2020年1月22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披露交易所问询函的回复公告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露，且未充分披露《借款协议》关于计息期间的规定。相关行为违反了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《上市公司信息披露管理办法》（证监会令第40号）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第二条、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第三十二条等相关规定。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二、未及时披露重大诉讼及其进展情况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上海钰昌于2020年1月17日向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北京市第三中级人民法院（以下简称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北京三中院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提起诉讼，诉求解除上海钰昌与银码正达、君言汇金等28名被告签订的《股权转让协议》等系列协议，返还上海钰昌已经支付的转让款6.26亿元及利息。中昌数据迟至2020年6月30日才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披露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该诉讼事项。上述案件审理期间，上海钰昌向北京三中院申请撤回对北京海硕投资管理有限公司等24名非业绩承诺转让方的诉讼请求，北京三中院于2020年7月22日作出裁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，准许公司撤回上述诉讼，中昌数据未披露相关诉讼进展情况。上述案件审理期间，上海钰昌变更诉讼请求，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求被告继续履行签订的《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股权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转让协议》《业绩承诺及补偿协议》《股票质押协议》《股份转让价款支付安排协议》等协议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北京三中院于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2020年7月30日作出裁定，将相关案件移送至北京市第一中级人民法院，公司迟至2020年8月31日才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相关事项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。上述行为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违反了《上市公司信息披露管理办法》（证监会令第40号）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第二条、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第三十条、第三十二条等相关规定。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百度（中国）有限公司（以下简称百度公司）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2021年6月9日向法院提起诉讼，被告为中昌数据及其子公司北京博雅立方科技有限公司（以下简称博雅立方）及上海趋识科技有限公司，案件涉及金额4977.23万元。上海碧晟科技有限公司于2021年5月24日向法院提起诉讼，被告为中昌数据子公司上海今采网络科技有限公司，案件涉及金额约2522万元。中昌数据迟至2021年11月23日及2022年4月30日才分别公告上述诉讼事项，且未公告关于法院查封、扣押或冻结公司财产等进展情况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上述行为违反了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《上市公司信息披露管理办法》（证监会令第182号）第三条、第二十二条、第二十五条、第二十六条等相关规定。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三、对子公司失控时点信息披露不准确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2019年12月6日，中昌数据披露公告称，由于亿美汇金不配合公司的预审计工作，审计人员不能进场进行审计相关工作，公司已对亿美汇金失去控制。2020年1月22日，中昌数据披露上海证券交易所问询函的回复公告称，公司于2019年10-12月逐步对亿美汇金失去控制。2020年6月30日，中昌数据公布2019年年度报告，披露公司自2019年1月1日起不再将亿美汇金纳入合并报表范围。中昌数据披露公司对亿美汇金失控的时点前后不一致，相关信息披露不准确，违反了《上市公司信息披露管理办法》（证监会令第40号）第二条等相关规定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、退市风险揭示不准确、不充分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2020年4月30日，中昌数据公告董事、监事及高级管理人员关于2019年主要经营业绩的专项说明，称公司2019年年度财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务报告存在被出具非标准审计意见的风险，公司不存在退市风险。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经查，在上述公告之前，审计机构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已与公司沟通2019年年度财务报告可能被出具保留意见或无法表示意见的审计报告。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2020年7月1日起，中昌数据因2019年度被出具无法表示意见的审计报告，公司股票被实施退市风险警示。综上，公司前期公告中有关退市风险揭示的信息披露不准确、不充分，违反了《上市公司信息披露管理办法》（证监会令第40号）第二条等相关规定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时任独立董事未履行定期报告审议义务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昌数据时任独立董事李备战在辞职申请尚未生效的情况下，未出席、也未委托他人出席审议中昌数据2020年半年度报告的董事会会议，未对相关议案发表意见，也未对公司2020年半年度报告签署书面确认意见。上述行为违反了《中华人民共和国证券法》（以下简称《证券法》）第八十二条、《上市公司信息披露管理办法》（证监会令第40号）第二十四条等相关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时任监事未履行定期报告审议义务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昌数据时任监事洪杰未出席、也未委托他人出席审议中昌数据2019年年度报告的监事会会议，未对相关议案发表意见，也未对公司2019年年度报告签署书面确认意见。上述行为违反了《证券法》第八十二条等相关规定。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36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未按规定披露关联交易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中昌数据在2019年财务报告附注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“关联方资金拆借”中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，披露从三盛宏业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金额1995万元，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经查，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转入公司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10.28亿元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，相关信息披露不实，上述行为违反了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《上市公司信息披露管理办法》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（证监会令第40号）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第二条、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《企业会计准则第36号——关联方披露》第十条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pacing w:val="0"/>
          <w:kern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highlight w:val="none"/>
          <w:lang w:val="en-US" w:eastAsia="zh-CN"/>
        </w:rPr>
        <w:t>中昌数据时任董事长兼代董事会秘书凌云、时任董事长兼总经理及代董事会秘书厉群南、时任总经理何东、时任总经理曾建祥、时任董事会秘书何永祥、时任财务总监叶伟、时任财务总监薛玮佳、时任独立董事李备战</w:t>
      </w:r>
      <w:r>
        <w:rPr>
          <w:rFonts w:hint="eastAsia" w:ascii="仿宋_GB2312" w:hAnsi="仿宋_GB2312" w:eastAsia="仿宋_GB2312"/>
          <w:spacing w:val="0"/>
          <w:kern w:val="0"/>
          <w:sz w:val="32"/>
          <w:highlight w:val="none"/>
          <w:lang w:val="en-US" w:eastAsia="zh-CN"/>
        </w:rPr>
        <w:t>、时任监事洪杰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未按照《上市公司信息披露管理办法》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（证监会令第40号）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第三条、《上市公司信息披露管理办法》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（证监会令第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182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号）第四条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的规定履行勤勉尽责义务，分别对公司相关违规行为负有主要责任，</w:t>
      </w:r>
      <w:r>
        <w:rPr>
          <w:rFonts w:hint="eastAsia" w:ascii="仿宋_GB2312" w:eastAsia="仿宋_GB2312"/>
          <w:b w:val="0"/>
          <w:bCs w:val="0"/>
          <w:color w:val="000000"/>
          <w:spacing w:val="0"/>
          <w:kern w:val="0"/>
          <w:sz w:val="32"/>
          <w:highlight w:val="none"/>
          <w:lang w:val="en-US" w:eastAsia="zh-CN"/>
        </w:rPr>
        <w:t>其中凌云对公司上述第二项违规行为负有主要责任；厉群南对公司上述第一项至第四项及第七项违规行为负有主要责任；何东、曾建祥对公司上述第二项违规行为负有主要责任；</w:t>
      </w:r>
      <w:r>
        <w:rPr>
          <w:rFonts w:hint="eastAsia" w:ascii="仿宋_GB2312" w:hAnsi="仿宋_GB2312" w:eastAsia="仿宋_GB2312"/>
          <w:spacing w:val="0"/>
          <w:kern w:val="0"/>
          <w:sz w:val="32"/>
          <w:highlight w:val="none"/>
          <w:lang w:val="en-US" w:eastAsia="zh-CN"/>
        </w:rPr>
        <w:t>何永祥、叶伟</w:t>
      </w:r>
      <w:r>
        <w:rPr>
          <w:rFonts w:hint="eastAsia" w:ascii="仿宋_GB2312" w:eastAsia="仿宋_GB2312"/>
          <w:b w:val="0"/>
          <w:bCs w:val="0"/>
          <w:color w:val="000000"/>
          <w:spacing w:val="0"/>
          <w:kern w:val="0"/>
          <w:sz w:val="32"/>
          <w:highlight w:val="none"/>
          <w:lang w:val="en-US" w:eastAsia="zh-CN"/>
        </w:rPr>
        <w:t>对公司上述第一项违规行为负有主要责任；薛玮佳对公司上述第三项至第四项及第七项违规行为负有主要责任；李备战对公司上述第五项违规行为负有主要责任；洪杰对公司上述第六项违规行为负有主要责任。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pacing w:val="0"/>
          <w:kern w:val="0"/>
          <w:sz w:val="32"/>
          <w:highlight w:val="none"/>
        </w:rPr>
      </w:pPr>
      <w:r>
        <w:rPr>
          <w:rFonts w:ascii="仿宋_GB2312" w:hAnsi="??" w:eastAsia="仿宋_GB2312"/>
          <w:color w:val="auto"/>
          <w:spacing w:val="0"/>
          <w:kern w:val="0"/>
          <w:sz w:val="32"/>
          <w:highlight w:val="none"/>
        </w:rPr>
        <w:t>根据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《证券法》第一百七十条、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</w:rPr>
        <w:t>《上市公司信息披露管理办法》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（证监会令第40号）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  <w:lang w:eastAsia="zh-CN"/>
        </w:rPr>
        <w:t>第五十八条、第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</w:rPr>
        <w:t>五十九条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  <w:lang w:eastAsia="zh-CN"/>
        </w:rPr>
        <w:t>及</w:t>
      </w:r>
      <w:r>
        <w:rPr>
          <w:rFonts w:hint="eastAsia" w:ascii="仿宋_GB2312" w:hAnsi="仿宋" w:eastAsia="仿宋_GB2312"/>
          <w:color w:val="000000"/>
          <w:spacing w:val="0"/>
          <w:sz w:val="32"/>
          <w:szCs w:val="30"/>
          <w:highlight w:val="none"/>
          <w:lang w:val="en-US" w:eastAsia="zh-CN"/>
        </w:rPr>
        <w:t>《上市公司信息披露管理办法》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（证监会令第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val="en-US" w:eastAsia="zh-CN"/>
        </w:rPr>
        <w:t>182</w:t>
      </w:r>
      <w:r>
        <w:rPr>
          <w:rFonts w:hint="eastAsia" w:ascii="仿宋_GB2312" w:hAnsi="仿宋_GB2312" w:eastAsia="仿宋_GB2312" w:cs="Times New Roman"/>
          <w:spacing w:val="0"/>
          <w:sz w:val="32"/>
          <w:highlight w:val="none"/>
          <w:lang w:eastAsia="zh-CN"/>
        </w:rPr>
        <w:t>号）第五十一条、第五十二条</w:t>
      </w:r>
      <w:r>
        <w:rPr>
          <w:rFonts w:hint="eastAsia" w:ascii="仿宋_GB2312" w:hAnsi="仿宋_GB2312" w:eastAsia="仿宋_GB2312"/>
          <w:color w:val="auto"/>
          <w:spacing w:val="0"/>
          <w:kern w:val="0"/>
          <w:sz w:val="32"/>
          <w:highlight w:val="none"/>
        </w:rPr>
        <w:t>的</w:t>
      </w:r>
      <w:r>
        <w:rPr>
          <w:rFonts w:ascii="仿宋_GB2312" w:hAnsi="??" w:eastAsia="仿宋_GB2312"/>
          <w:color w:val="auto"/>
          <w:spacing w:val="0"/>
          <w:kern w:val="0"/>
          <w:sz w:val="32"/>
          <w:highlight w:val="none"/>
        </w:rPr>
        <w:t>规定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</w:rPr>
        <w:t>，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我局决定对中昌数据和</w:t>
      </w:r>
      <w:r>
        <w:rPr>
          <w:rFonts w:hint="eastAsia" w:ascii="仿宋_GB2312" w:hAnsi="仿宋_GB2312" w:eastAsia="仿宋_GB2312"/>
          <w:spacing w:val="0"/>
          <w:kern w:val="0"/>
          <w:sz w:val="32"/>
          <w:highlight w:val="none"/>
          <w:lang w:val="en-US" w:eastAsia="zh-CN"/>
        </w:rPr>
        <w:t>凌云、厉群南、何东、曾建祥、何永祥、叶伟、薛玮佳、李备战、洪杰采取出具警示函</w:t>
      </w:r>
      <w:r>
        <w:rPr>
          <w:rFonts w:hint="eastAsia" w:ascii="仿宋_GB2312" w:hAnsi="??" w:eastAsia="仿宋_GB2312"/>
          <w:color w:val="auto"/>
          <w:spacing w:val="0"/>
          <w:kern w:val="0"/>
          <w:sz w:val="32"/>
          <w:highlight w:val="none"/>
          <w:lang w:eastAsia="zh-CN"/>
        </w:rPr>
        <w:t>的行政监管措施。你们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highlight w:val="none"/>
        </w:rPr>
        <w:t>应认真吸取教训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highlight w:val="none"/>
          <w:lang w:eastAsia="zh-CN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highlight w:val="none"/>
        </w:rPr>
        <w:t>切实加强对证券法律法规的学习，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采取有效措施切实整改，于收到本决定书30日内向我局报送整改报告，同时抄送上海证券交易所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wordWrap/>
        <w:adjustRightInd w:val="0"/>
        <w:snapToGrid w:val="0"/>
        <w:spacing w:beforeLines="0" w:afterLines="0" w:line="336" w:lineRule="auto"/>
        <w:ind w:left="0" w:leftChars="0" w:firstLine="640" w:firstLineChars="200"/>
        <w:textAlignment w:val="auto"/>
        <w:outlineLvl w:val="9"/>
        <w:rPr>
          <w:rFonts w:hint="eastAsia" w:eastAsia="仿宋_GB2312"/>
          <w:spacing w:val="0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如果对本监督管理措施不服，可以在收到本决定书之日起60日内向中国证券监督管理委员会提出行政复议申请；也可以在收到本决定书之日起6个月内向有管辖权的人民法院提起诉讼。复议与诉讼期间，上述监督管理措施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1"/>
          <w:szCs w:val="21"/>
        </w:rPr>
      </w:pPr>
    </w:p>
    <w:p>
      <w:pPr>
        <w:pStyle w:val="2"/>
        <w:rPr>
          <w:rFonts w:ascii="宋体" w:hAnsi="宋体" w:cs="宋体"/>
          <w:sz w:val="21"/>
          <w:szCs w:val="21"/>
        </w:rPr>
      </w:pPr>
    </w:p>
    <w:p>
      <w:pPr>
        <w:rPr>
          <w:rFonts w:ascii="Times New Roman" w:hAnsi="Times New Roman" w:cs="Times New Roman"/>
          <w:sz w:val="21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36" w:lineRule="auto"/>
        <w:ind w:right="1705"/>
        <w:jc w:val="right"/>
        <w:textAlignment w:val="auto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</w:rPr>
        <w:t>广东证监局</w:t>
      </w:r>
    </w:p>
    <w:p>
      <w:pPr>
        <w:widowControl/>
        <w:numPr>
          <w:ilvl w:val="0"/>
          <w:numId w:val="0"/>
        </w:numPr>
        <w:overflowPunct w:val="0"/>
        <w:adjustRightInd w:val="0"/>
        <w:snapToGrid w:val="0"/>
        <w:spacing w:beforeLines="0" w:afterLines="0" w:line="336" w:lineRule="auto"/>
        <w:ind w:right="1191" w:firstLine="0" w:firstLineChars="0"/>
        <w:jc w:val="right"/>
        <w:outlineLvl w:val="9"/>
      </w:pPr>
      <w:r>
        <w:rPr>
          <w:rFonts w:hint="eastAsia" w:ascii="仿宋_GB2312" w:hAnsi="Times New Roman" w:eastAsia="仿宋_GB2312"/>
          <w:spacing w:val="10"/>
          <w:sz w:val="32"/>
        </w:rPr>
        <w:t>202</w:t>
      </w:r>
      <w:r>
        <w:rPr>
          <w:rFonts w:hint="eastAsia" w:ascii="仿宋_GB2312" w:eastAsia="仿宋_GB2312"/>
          <w:spacing w:val="10"/>
          <w:sz w:val="32"/>
        </w:rPr>
        <w:t>2</w:t>
      </w:r>
      <w:r>
        <w:rPr>
          <w:rFonts w:hint="eastAsia" w:ascii="仿宋_GB2312" w:hAnsi="Times New Roman" w:eastAsia="仿宋_GB2312"/>
          <w:spacing w:val="10"/>
          <w:sz w:val="32"/>
        </w:rPr>
        <w:t>年</w:t>
      </w:r>
      <w:r>
        <w:rPr>
          <w:rFonts w:hint="default" w:ascii="仿宋_GB2312" w:hAnsi="Times New Roman" w:eastAsia="仿宋_GB2312"/>
          <w:spacing w:val="10"/>
          <w:sz w:val="32"/>
        </w:rPr>
        <w:t>6</w:t>
      </w:r>
      <w:r>
        <w:rPr>
          <w:rFonts w:hint="eastAsia" w:ascii="仿宋_GB2312" w:hAnsi="Times New Roman" w:eastAsia="仿宋_GB2312"/>
          <w:spacing w:val="10"/>
          <w:sz w:val="32"/>
        </w:rPr>
        <w:t>月</w:t>
      </w:r>
      <w:r>
        <w:rPr>
          <w:rFonts w:hint="default" w:ascii="仿宋_GB2312" w:hAnsi="Times New Roman" w:eastAsia="仿宋_GB2312"/>
          <w:spacing w:val="10"/>
          <w:sz w:val="32"/>
          <w:lang w:val="en" w:eastAsia="zh-CN"/>
        </w:rPr>
        <w:t>23</w:t>
      </w:r>
      <w:r>
        <w:rPr>
          <w:rFonts w:hint="eastAsia" w:ascii="仿宋_GB2312" w:hAnsi="Times New Roman" w:eastAsia="仿宋_GB2312"/>
          <w:spacing w:val="10"/>
          <w:sz w:val="32"/>
        </w:rPr>
        <w:t>日</w:t>
      </w: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</w:rPr>
      </w:pPr>
    </w:p>
    <w:p>
      <w:pPr>
        <w:adjustRightInd w:val="0"/>
        <w:snapToGrid w:val="0"/>
        <w:spacing w:line="360" w:lineRule="auto"/>
        <w:ind w:right="1262"/>
        <w:jc w:val="both"/>
        <w:rPr>
          <w:rFonts w:hint="eastAsia" w:ascii="仿宋_GB2312" w:eastAsia="仿宋_GB2312"/>
          <w:spacing w:val="10"/>
          <w:sz w:val="32"/>
          <w:szCs w:val="32"/>
        </w:rPr>
      </w:pPr>
    </w:p>
    <w:p>
      <w:pPr>
        <w:snapToGrid w:val="0"/>
        <w:spacing w:line="300" w:lineRule="auto"/>
        <w:ind w:right="26"/>
        <w:jc w:val="left"/>
        <w:rPr>
          <w:rFonts w:hint="eastAsia" w:ascii="黑体" w:eastAsia="黑体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6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09" w:afterLines="35"/>
        <w:ind w:firstLine="296" w:firstLineChars="100"/>
        <w:textAlignment w:val="auto"/>
        <w:rPr>
          <w:rFonts w:hint="eastAsia" w:ascii="仿宋_GB2312" w:eastAsia="仿宋_GB2312"/>
          <w:spacing w:val="8"/>
          <w:sz w:val="28"/>
          <w:lang w:eastAsia="zh-CN"/>
        </w:rPr>
      </w:pPr>
      <w:r>
        <w:rPr>
          <w:rFonts w:hint="eastAsia" w:ascii="仿宋_GB2312" w:eastAsia="仿宋_GB2312"/>
          <w:spacing w:val="8"/>
          <w:sz w:val="28"/>
        </w:rPr>
        <w:t>抄送：</w:t>
      </w:r>
      <w:r>
        <w:rPr>
          <w:rFonts w:hint="eastAsia" w:ascii="仿宋_GB2312" w:eastAsia="仿宋_GB2312"/>
          <w:spacing w:val="8"/>
          <w:sz w:val="28"/>
          <w:lang w:eastAsia="zh-CN"/>
        </w:rPr>
        <w:t>证监会上市部、法律部；上海证券交易所。</w:t>
      </w:r>
    </w:p>
    <w:p>
      <w:pPr>
        <w:pBdr>
          <w:top w:val="single" w:color="auto" w:sz="4" w:space="6"/>
        </w:pBdr>
        <w:adjustRightInd w:val="0"/>
        <w:snapToGrid w:val="0"/>
        <w:spacing w:after="109" w:afterLines="35"/>
        <w:ind w:firstLine="318"/>
        <w:jc w:val="left"/>
        <w:rPr>
          <w:rFonts w:hint="eastAsia" w:ascii="仿宋_GB2312" w:eastAsia="仿宋_GB2312"/>
          <w:spacing w:val="8"/>
          <w:sz w:val="28"/>
        </w:rPr>
      </w:pPr>
      <w:r>
        <w:rPr>
          <w:rFonts w:hint="eastAsia" w:ascii="仿宋_GB2312" w:eastAsia="仿宋_GB2312"/>
          <w:spacing w:val="8"/>
          <w:sz w:val="28"/>
        </w:rPr>
        <w:t xml:space="preserve">广东证监局办公室             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 xml:space="preserve">     </w:t>
      </w:r>
      <w:r>
        <w:rPr>
          <w:rFonts w:hint="eastAsia" w:ascii="仿宋_GB2312" w:eastAsia="仿宋_GB2312"/>
          <w:spacing w:val="8"/>
          <w:sz w:val="28"/>
        </w:rPr>
        <w:t xml:space="preserve"> 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2022</w:t>
      </w:r>
      <w:r>
        <w:rPr>
          <w:rFonts w:hint="eastAsia" w:ascii="仿宋_GB2312" w:eastAsia="仿宋_GB2312"/>
          <w:spacing w:val="8"/>
          <w:sz w:val="28"/>
        </w:rPr>
        <w:t>年</w:t>
      </w:r>
      <w:r>
        <w:rPr>
          <w:rFonts w:hint="eastAsia" w:ascii="仿宋_GB2312" w:eastAsia="仿宋_GB2312"/>
          <w:spacing w:val="8"/>
          <w:sz w:val="28"/>
          <w:lang w:val="en-US" w:eastAsia="zh-CN"/>
        </w:rPr>
        <w:t>6</w:t>
      </w:r>
      <w:r>
        <w:rPr>
          <w:rFonts w:hint="eastAsia" w:ascii="仿宋_GB2312" w:eastAsia="仿宋_GB2312"/>
          <w:spacing w:val="8"/>
          <w:sz w:val="28"/>
        </w:rPr>
        <w:t>月</w:t>
      </w:r>
      <w:r>
        <w:rPr>
          <w:rFonts w:hint="default" w:ascii="仿宋_GB2312" w:eastAsia="仿宋_GB2312"/>
          <w:spacing w:val="8"/>
          <w:sz w:val="28"/>
          <w:lang w:val="en" w:eastAsia="zh-CN"/>
        </w:rPr>
        <w:t>23</w:t>
      </w:r>
      <w:r>
        <w:rPr>
          <w:rFonts w:hint="eastAsia" w:ascii="仿宋_GB2312" w:eastAsia="仿宋_GB2312"/>
          <w:spacing w:val="8"/>
          <w:sz w:val="28"/>
        </w:rPr>
        <w:t>日印发</w:t>
      </w:r>
    </w:p>
    <w:p>
      <w:pPr>
        <w:pBdr>
          <w:top w:val="single" w:color="auto" w:sz="8" w:space="7"/>
        </w:pBdr>
        <w:adjustRightInd w:val="0"/>
        <w:snapToGrid w:val="0"/>
        <w:spacing w:beforeLines="0" w:after="0" w:afterLines="0"/>
        <w:ind w:firstLine="0"/>
        <w:jc w:val="left"/>
        <w:rPr>
          <w:rFonts w:hint="eastAsia" w:ascii="仿宋_GB2312" w:eastAsia="仿宋_GB2312"/>
          <w:spacing w:val="8"/>
          <w:sz w:val="2"/>
          <w:szCs w:val="2"/>
          <w:vertAlign w:val="baseline"/>
        </w:rPr>
      </w:pPr>
    </w:p>
    <w:bookmarkEnd w:id="0"/>
    <w:p>
      <w:pPr>
        <w:snapToGrid w:val="0"/>
        <w:spacing w:beforeLines="0" w:afterLines="0" w:line="240" w:lineRule="auto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609000101010101"/>
    <w:charset w:val="00"/>
    <w:family w:val="auto"/>
    <w:pitch w:val="default"/>
    <w:sig w:usb0="00000000" w:usb1="00000000" w:usb2="00000000" w:usb3="00000000" w:csb0="0000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</w:pPr>
    <w:r>
      <w:rPr>
        <w:rFonts w:hint="eastAsia" w:ascii="宋体" w:hAnsi="宋体"/>
        <w:sz w:val="28"/>
      </w:rPr>
      <w:fldChar w:fldCharType="begin"/>
    </w:r>
    <w:r>
      <w:rPr>
        <w:rStyle w:val="8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- 1 -</w:t>
    </w:r>
    <w:r>
      <w:rPr>
        <w:rFonts w:hint="eastAsia" w:ascii="宋体" w:hAnsi="宋体"/>
        <w:sz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F2E6"/>
    <w:rsid w:val="2EF887F4"/>
    <w:rsid w:val="3CDF9B15"/>
    <w:rsid w:val="3DF527C2"/>
    <w:rsid w:val="3FFBE77C"/>
    <w:rsid w:val="4FCF9265"/>
    <w:rsid w:val="5D6FF2E6"/>
    <w:rsid w:val="6BFFF353"/>
    <w:rsid w:val="6DDF53C7"/>
    <w:rsid w:val="6FF7FB00"/>
    <w:rsid w:val="72E50F91"/>
    <w:rsid w:val="73294E14"/>
    <w:rsid w:val="73BFC770"/>
    <w:rsid w:val="767F6D22"/>
    <w:rsid w:val="7B3EB2BE"/>
    <w:rsid w:val="7B5B36EF"/>
    <w:rsid w:val="7DBF93AE"/>
    <w:rsid w:val="7FF26201"/>
    <w:rsid w:val="7FF77098"/>
    <w:rsid w:val="89E9C490"/>
    <w:rsid w:val="8FFB8BDF"/>
    <w:rsid w:val="B37EF36F"/>
    <w:rsid w:val="BFBFE429"/>
    <w:rsid w:val="E6DF093E"/>
    <w:rsid w:val="EBEEAEDC"/>
    <w:rsid w:val="EFF7F1B7"/>
    <w:rsid w:val="F5E9AA68"/>
    <w:rsid w:val="F7FD5B15"/>
    <w:rsid w:val="FBF4C19A"/>
    <w:rsid w:val="FC358176"/>
    <w:rsid w:val="FCFE4CC9"/>
    <w:rsid w:val="FDB88CAA"/>
    <w:rsid w:val="FFFFF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2022-06-19T13:51:00Z</dcterms:created>
  <dc:creator>黄卉：主办人校对</dc:creator>
  <cp:lastModifiedBy>黄卉</cp:lastModifiedBy>
  <dcterms:modified xsi:type="dcterms:W3CDTF">2022-06-28T15:32:05Z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