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28"/>
          <w:szCs w:val="28"/>
        </w:rPr>
      </w:pPr>
    </w:p>
    <w:p>
      <w:pPr>
        <w:snapToGrid w:val="0"/>
        <w:spacing w:before="156" w:beforeLines="50" w:line="300" w:lineRule="auto"/>
        <w:jc w:val="center"/>
        <w:rPr>
          <w:rFonts w:ascii="黑体" w:hAnsi="Times New Roman" w:eastAsia="黑体" w:cs="Times New Roman"/>
          <w:color w:val="000000"/>
          <w:spacing w:val="12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8</w:t>
      </w:r>
      <w:r>
        <w:rPr>
          <w:rFonts w:hint="default" w:ascii="仿宋_GB2312" w:hAnsi="Times New Roman" w:eastAsia="仿宋_GB2312" w:cs="Times New Roman"/>
          <w:color w:val="000000"/>
          <w:spacing w:val="12"/>
          <w:sz w:val="28"/>
          <w:lang w:val="en" w:eastAsia="zh-CN"/>
        </w:rPr>
        <w:t>1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</w:p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128905</wp:posOffset>
                </wp:positionV>
                <wp:extent cx="555180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35pt;margin-top:10.15pt;height:0.05pt;width:437.15pt;z-index:251658240;mso-width-relative:page;mso-height-relative:page;" filled="f" stroked="t" coordsize="21600,21600" o:gfxdata="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ML7WS1gAAAAgBAAAPAAAAAAAAAAEAIAAAADgAAABkcnMvZG93bnJldi54bWxQ&#10;SwECFAAUAAAACACHTuJAIhmvX+MBAACqAwAADgAAAAAAAAABACAAAAA7AQAAZHJzL2Uyb0RvYy54&#10;bWxQSwUGAAAAAAYABgBZAQAAkA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</w:pPr>
      <w:bookmarkStart w:id="0" w:name="quanwen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光大期货有限公司东莞营业部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采取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责令改正措施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的决定</w:t>
      </w:r>
    </w:p>
    <w:p>
      <w:pPr>
        <w:pStyle w:val="9"/>
        <w:adjustRightInd w:val="0"/>
        <w:snapToGrid w:val="0"/>
        <w:spacing w:before="0" w:beforeLines="0" w:afterLines="0" w:line="240" w:lineRule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pStyle w:val="9"/>
        <w:widowControl w:val="0"/>
        <w:overflowPunct w:val="0"/>
        <w:adjustRightInd w:val="0"/>
        <w:snapToGrid w:val="0"/>
        <w:spacing w:before="0" w:beforeLines="0" w:afterLines="0" w:line="336" w:lineRule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光大期货有限公司东莞营业部：</w:t>
      </w:r>
    </w:p>
    <w:p>
      <w:pPr>
        <w:pStyle w:val="9"/>
        <w:widowControl w:val="0"/>
        <w:overflowPunct w:val="0"/>
        <w:adjustRightInd w:val="0"/>
        <w:snapToGrid w:val="0"/>
        <w:spacing w:before="0" w:beforeLines="0" w:afterLines="0" w:line="336" w:lineRule="auto"/>
        <w:ind w:firstLine="672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经查，你营业部存在对期货经纪业务管理不到位的问题，违反了</w:t>
      </w:r>
      <w:r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val="en-US" w:eastAsia="zh-CN"/>
        </w:rPr>
        <w:t>《期货公司监督管理办法》（证监会令第155号）第五十六条的规定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spacing w:val="0"/>
          <w:sz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根据《期货公司监督管理办法》</w:t>
      </w:r>
      <w:r>
        <w:rPr>
          <w:rFonts w:hint="eastAsia" w:ascii="仿宋_GB2312" w:hAnsi="仿宋_GB2312" w:eastAsia="仿宋_GB2312"/>
          <w:color w:val="auto"/>
          <w:sz w:val="32"/>
          <w:szCs w:val="22"/>
          <w:highlight w:val="none"/>
          <w:lang w:val="en-US" w:eastAsia="zh-CN"/>
        </w:rPr>
        <w:t>第一百零九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条的规定，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决定对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你营业部采取责令改正的行政监管措施。你营业部应高度重视，采取切实有效的整改措施，对存在的问题进行整改，并</w:t>
      </w:r>
      <w:r>
        <w:rPr>
          <w:rFonts w:hint="eastAsia" w:ascii="仿宋_GB2312" w:hAnsi="仿宋_GB2312" w:eastAsia="仿宋_GB2312"/>
          <w:spacing w:val="-6"/>
          <w:sz w:val="32"/>
          <w:lang w:eastAsia="zh-CN"/>
        </w:rPr>
        <w:t>于收到本决定书之日起</w:t>
      </w:r>
      <w:r>
        <w:rPr>
          <w:rFonts w:hint="eastAsia" w:ascii="仿宋_GB2312" w:hAnsi="仿宋_GB2312" w:eastAsia="仿宋_GB2312"/>
          <w:spacing w:val="-6"/>
          <w:sz w:val="32"/>
          <w:lang w:val="en-US" w:eastAsia="zh-CN"/>
        </w:rPr>
        <w:t>30日内</w:t>
      </w:r>
      <w:r>
        <w:rPr>
          <w:rFonts w:hint="eastAsia" w:ascii="仿宋_GB2312" w:hAnsi="仿宋_GB2312" w:eastAsia="仿宋_GB2312"/>
          <w:spacing w:val="-6"/>
          <w:sz w:val="32"/>
          <w:lang w:eastAsia="zh-CN"/>
        </w:rPr>
        <w:t>向我局提交书面整改报告。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我局将</w:t>
      </w:r>
      <w:r>
        <w:rPr>
          <w:rFonts w:hint="eastAsia" w:ascii="仿宋_GB2312" w:eastAsia="仿宋_GB2312"/>
          <w:spacing w:val="0"/>
          <w:sz w:val="32"/>
          <w:szCs w:val="20"/>
          <w:lang w:eastAsia="zh-CN"/>
        </w:rPr>
        <w:t>视情况</w:t>
      </w:r>
      <w:r>
        <w:rPr>
          <w:rFonts w:hint="eastAsia" w:ascii="仿宋_GB2312" w:hAnsi="仿宋_GB2312" w:eastAsia="仿宋_GB2312"/>
          <w:spacing w:val="0"/>
          <w:sz w:val="32"/>
          <w:lang w:eastAsia="zh-CN"/>
        </w:rPr>
        <w:t>对你营业部的整改情况组织检查验收。</w:t>
      </w:r>
    </w:p>
    <w:p>
      <w:pPr>
        <w:adjustRightInd w:val="0"/>
        <w:snapToGrid w:val="0"/>
        <w:spacing w:before="0" w:beforeLines="0" w:beforeAutospacing="0" w:after="0" w:afterLines="0" w:afterAutospacing="0" w:line="336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pacing w:val="8"/>
          <w:kern w:val="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如果对本监督管理措施不服，可在收到本决定书之日起60日内向中国证券监督管理委员会提出行政复议申请，也可以在收到本决定书之日起6个月内向有管辖权的人民法院提起诉讼。复议与诉讼期间，上述监督管理措施不停止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36" w:lineRule="auto"/>
        <w:ind w:right="1705"/>
        <w:jc w:val="right"/>
        <w:textAlignment w:val="auto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广东证监局</w:t>
      </w:r>
    </w:p>
    <w:p>
      <w:pPr>
        <w:widowControl/>
        <w:numPr>
          <w:ilvl w:val="0"/>
          <w:numId w:val="0"/>
        </w:numPr>
        <w:overflowPunct w:val="0"/>
        <w:adjustRightInd w:val="0"/>
        <w:snapToGrid w:val="0"/>
        <w:spacing w:beforeLines="0" w:afterLines="0" w:line="336" w:lineRule="auto"/>
        <w:ind w:right="1191" w:firstLine="0" w:firstLineChars="0"/>
        <w:jc w:val="right"/>
        <w:outlineLvl w:val="9"/>
      </w:pPr>
      <w:r>
        <w:rPr>
          <w:rFonts w:hint="eastAsia" w:ascii="仿宋_GB2312" w:hAnsi="Times New Roman" w:eastAsia="仿宋_GB2312"/>
          <w:spacing w:val="10"/>
          <w:sz w:val="32"/>
        </w:rPr>
        <w:t>202</w:t>
      </w:r>
      <w:r>
        <w:rPr>
          <w:rFonts w:hint="eastAsia" w:ascii="仿宋_GB2312" w:eastAsia="仿宋_GB2312"/>
          <w:spacing w:val="10"/>
          <w:sz w:val="32"/>
        </w:rPr>
        <w:t>2</w:t>
      </w:r>
      <w:r>
        <w:rPr>
          <w:rFonts w:hint="eastAsia" w:ascii="仿宋_GB2312" w:hAnsi="Times New Roman" w:eastAsia="仿宋_GB2312"/>
          <w:spacing w:val="10"/>
          <w:sz w:val="32"/>
        </w:rPr>
        <w:t>年</w:t>
      </w:r>
      <w:r>
        <w:rPr>
          <w:rFonts w:hint="default" w:ascii="仿宋_GB2312" w:hAnsi="Times New Roman" w:eastAsia="仿宋_GB2312"/>
          <w:spacing w:val="10"/>
          <w:sz w:val="32"/>
        </w:rPr>
        <w:t>6</w:t>
      </w:r>
      <w:r>
        <w:rPr>
          <w:rFonts w:hint="eastAsia" w:ascii="仿宋_GB2312" w:hAnsi="Times New Roman" w:eastAsia="仿宋_GB2312"/>
          <w:spacing w:val="10"/>
          <w:sz w:val="32"/>
        </w:rPr>
        <w:t>月</w:t>
      </w:r>
      <w:r>
        <w:rPr>
          <w:rFonts w:hint="default" w:ascii="仿宋_GB2312" w:hAnsi="Times New Roman" w:eastAsia="仿宋_GB2312"/>
          <w:spacing w:val="10"/>
          <w:sz w:val="32"/>
          <w:lang w:val="en" w:eastAsia="zh-CN"/>
        </w:rPr>
        <w:t>23</w:t>
      </w:r>
      <w:r>
        <w:rPr>
          <w:rFonts w:hint="eastAsia" w:ascii="仿宋_GB2312" w:hAnsi="Times New Roman" w:eastAsia="仿宋_GB2312"/>
          <w:spacing w:val="10"/>
          <w:sz w:val="32"/>
        </w:rPr>
        <w:t>日</w:t>
      </w: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21"/>
          <w:szCs w:val="21"/>
        </w:rPr>
      </w:pPr>
    </w:p>
    <w:p>
      <w:pPr>
        <w:snapToGrid w:val="0"/>
        <w:spacing w:line="300" w:lineRule="auto"/>
        <w:ind w:right="26"/>
        <w:jc w:val="left"/>
        <w:rPr>
          <w:rFonts w:hint="eastAsia" w:ascii="黑体" w:eastAsia="黑体"/>
          <w:spacing w:val="8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/>
        <w:ind w:firstLine="296" w:firstLineChars="100"/>
        <w:textAlignment w:val="auto"/>
        <w:rPr>
          <w:rFonts w:hint="eastAsia" w:ascii="仿宋_GB2312" w:eastAsia="仿宋_GB2312"/>
          <w:spacing w:val="8"/>
          <w:sz w:val="28"/>
          <w:lang w:eastAsia="zh-CN"/>
        </w:rPr>
      </w:pPr>
      <w:r>
        <w:rPr>
          <w:rFonts w:hint="eastAsia" w:ascii="仿宋_GB2312" w:eastAsia="仿宋_GB2312"/>
          <w:spacing w:val="8"/>
          <w:sz w:val="28"/>
        </w:rPr>
        <w:t>抄送：</w:t>
      </w:r>
      <w:r>
        <w:rPr>
          <w:rFonts w:hint="eastAsia" w:ascii="仿宋_GB2312" w:eastAsia="仿宋_GB2312"/>
          <w:spacing w:val="8"/>
          <w:sz w:val="28"/>
          <w:lang w:eastAsia="zh-CN"/>
        </w:rPr>
        <w:t>证监会期货部，法律部；上海证监局。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       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8"/>
          <w:sz w:val="28"/>
        </w:rPr>
        <w:t xml:space="preserve"> 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2022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6</w:t>
      </w:r>
      <w:r>
        <w:rPr>
          <w:rFonts w:hint="eastAsia" w:ascii="仿宋_GB2312" w:eastAsia="仿宋_GB2312"/>
          <w:spacing w:val="8"/>
          <w:sz w:val="28"/>
        </w:rPr>
        <w:t>月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24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pBdr>
          <w:top w:val="single" w:color="auto" w:sz="8" w:space="7"/>
        </w:pBdr>
        <w:adjustRightInd w:val="0"/>
        <w:snapToGrid w:val="0"/>
        <w:spacing w:beforeLines="0" w:after="0" w:afterLines="0"/>
        <w:ind w:firstLine="0"/>
        <w:jc w:val="left"/>
        <w:rPr>
          <w:rFonts w:hint="eastAsia" w:ascii="仿宋_GB2312" w:eastAsia="仿宋_GB2312"/>
          <w:spacing w:val="8"/>
          <w:sz w:val="2"/>
          <w:szCs w:val="2"/>
          <w:vertAlign w:val="baseline"/>
        </w:rPr>
      </w:pPr>
    </w:p>
    <w:bookmarkEnd w:id="0"/>
    <w:p>
      <w:pPr>
        <w:snapToGrid w:val="0"/>
        <w:spacing w:beforeLines="0" w:afterLines="0"/>
        <w:rPr>
          <w:sz w:val="2"/>
          <w:szCs w:val="2"/>
        </w:rPr>
      </w:pPr>
    </w:p>
    <w:sectPr>
      <w:footerReference r:id="rId3" w:type="default"/>
      <w:pgSz w:w="11906" w:h="16838"/>
      <w:pgMar w:top="2097" w:right="1474" w:bottom="1984" w:left="1587" w:header="851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top"/>
    </w:pPr>
    <w:r>
      <w:rPr>
        <w:rFonts w:hint="eastAsia" w:ascii="宋体" w:hAnsi="宋体"/>
        <w:sz w:val="28"/>
      </w:rPr>
      <w:fldChar w:fldCharType="begin"/>
    </w:r>
    <w:r>
      <w:rPr>
        <w:rStyle w:val="8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8"/>
        <w:rFonts w:ascii="宋体" w:hAnsi="宋体"/>
        <w:sz w:val="28"/>
      </w:rPr>
      <w:t>- 1 -</w:t>
    </w:r>
    <w:r>
      <w:rPr>
        <w:rFonts w:hint="eastAsia" w:ascii="宋体" w:hAnsi="宋体"/>
        <w:sz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A9963"/>
    <w:rsid w:val="29EF4639"/>
    <w:rsid w:val="2F6DDDC4"/>
    <w:rsid w:val="2FF3DD69"/>
    <w:rsid w:val="396FCA42"/>
    <w:rsid w:val="3BEE295A"/>
    <w:rsid w:val="5BDF149D"/>
    <w:rsid w:val="66BFED7C"/>
    <w:rsid w:val="6ADA9963"/>
    <w:rsid w:val="7FEFF6C9"/>
    <w:rsid w:val="7FF37D78"/>
    <w:rsid w:val="7FFC6EE7"/>
    <w:rsid w:val="AFFE474C"/>
    <w:rsid w:val="DF7BA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spacing w:line="240" w:lineRule="auto"/>
      <w:ind w:firstLine="420"/>
      <w:jc w:val="both"/>
      <w:textAlignment w:val="baseline"/>
    </w:pPr>
    <w:rPr>
      <w:rFonts w:ascii="宋体" w:hAnsi="Calibri"/>
      <w:kern w:val="0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rFonts w:ascii="宋体"/>
      <w:b/>
      <w:bCs/>
      <w:sz w:val="40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10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2022-04-18T23:24:00Z</dcterms:created>
  <dc:creator>张竣杰：主办人清稿</dc:creator>
  <cp:lastModifiedBy>张竣杰</cp:lastModifiedBy>
  <cp:lastPrinted>2022-06-25T05:36:00Z</cp:lastPrinted>
  <dcterms:modified xsi:type="dcterms:W3CDTF">2022-06-24T14:57:08Z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