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方正小标宋简体" w:hAnsi="方正小标宋简体" w:eastAsia="方正小标宋简体"/>
          <w:b/>
          <w:color w:val="FF0000"/>
          <w:w w:val="95"/>
          <w:kern w:val="0"/>
          <w:sz w:val="44"/>
          <w:szCs w:val="116"/>
        </w:rPr>
      </w:pPr>
      <w:bookmarkStart w:id="1" w:name="_GoBack"/>
      <w:bookmarkEnd w:id="1"/>
      <w:r>
        <w:rPr>
          <w:rFonts w:hint="eastAsia" w:ascii="方正小标宋简体" w:hAnsi="方正小标宋简体" w:eastAsia="方正小标宋简体" w:cs="黑体"/>
          <w:b/>
          <w:color w:val="FF0000"/>
          <w:w w:val="95"/>
          <w:sz w:val="44"/>
          <w:szCs w:val="72"/>
        </w:rPr>
        <w:t>中国证券监督管理委员会广东监管局</w:t>
      </w:r>
    </w:p>
    <w:p>
      <w:pPr>
        <w:jc w:val="center"/>
        <w:rPr>
          <w:rFonts w:hint="eastAsia" w:ascii="方正小标宋简体" w:hAnsi="方正小标宋简体" w:eastAsia="方正小标宋简体"/>
          <w:snapToGrid w:val="0"/>
          <w:spacing w:val="85"/>
          <w:w w:val="90"/>
          <w:sz w:val="72"/>
          <w:szCs w:val="72"/>
        </w:rPr>
      </w:pPr>
      <w:r>
        <w:rPr>
          <w:rFonts w:hint="eastAsia" w:ascii="方正小标宋简体" w:hAnsi="方正小标宋简体" w:eastAsia="方正小标宋简体"/>
          <w:b/>
          <w:bCs/>
          <w:snapToGrid w:val="0"/>
          <w:color w:val="FF0000"/>
          <w:spacing w:val="85"/>
          <w:w w:val="90"/>
          <w:sz w:val="72"/>
          <w:szCs w:val="72"/>
        </w:rPr>
        <w:t>行政监管措施决定书</w:t>
      </w:r>
    </w:p>
    <w:p>
      <w:pPr>
        <w:snapToGrid w:val="0"/>
        <w:jc w:val="center"/>
        <w:rPr>
          <w:rFonts w:hint="eastAsia" w:ascii="仿宋_GB2312" w:hAnsi="仿宋_GB2312" w:eastAsia="仿宋_GB2312" w:cs="宋体"/>
          <w:sz w:val="40"/>
          <w:szCs w:val="40"/>
        </w:rPr>
      </w:pPr>
    </w:p>
    <w:p>
      <w:pPr>
        <w:snapToGrid w:val="0"/>
        <w:spacing w:before="156" w:beforeLines="50" w:line="300" w:lineRule="auto"/>
        <w:jc w:val="center"/>
        <w:rPr>
          <w:rFonts w:ascii="黑体" w:hAnsi="Times New Roman" w:eastAsia="黑体" w:cs="Times New Roman"/>
          <w:color w:val="000000"/>
          <w:spacing w:val="12"/>
          <w:sz w:val="32"/>
        </w:rPr>
      </w:pPr>
      <w:r>
        <w:rPr>
          <w:rFonts w:hint="eastAsia" w:ascii="仿宋_GB2312" w:hAnsi="Times New Roman" w:eastAsia="仿宋_GB2312" w:cs="Times New Roman"/>
          <w:color w:val="000000"/>
          <w:spacing w:val="12"/>
          <w:sz w:val="28"/>
        </w:rPr>
        <w:t>〔20</w:t>
      </w:r>
      <w:r>
        <w:rPr>
          <w:rFonts w:hint="eastAsia" w:ascii="仿宋_GB2312" w:hAnsi="Times New Roman" w:eastAsia="仿宋_GB2312" w:cs="Times New Roman"/>
          <w:color w:val="000000"/>
          <w:spacing w:val="12"/>
          <w:sz w:val="28"/>
          <w:lang w:val="en-US" w:eastAsia="zh-CN"/>
        </w:rPr>
        <w:t>2</w:t>
      </w:r>
      <w:r>
        <w:rPr>
          <w:rFonts w:hint="eastAsia" w:ascii="仿宋_GB2312" w:eastAsia="仿宋_GB2312" w:cs="Times New Roman"/>
          <w:color w:val="000000"/>
          <w:spacing w:val="12"/>
          <w:sz w:val="28"/>
          <w:lang w:val="en-US" w:eastAsia="zh-CN"/>
        </w:rPr>
        <w:t>2</w:t>
      </w:r>
      <w:r>
        <w:rPr>
          <w:rFonts w:hint="eastAsia" w:ascii="仿宋_GB2312" w:hAnsi="Times New Roman" w:eastAsia="仿宋_GB2312" w:cs="Times New Roman"/>
          <w:color w:val="000000"/>
          <w:spacing w:val="12"/>
          <w:sz w:val="28"/>
        </w:rPr>
        <w:t>〕</w:t>
      </w:r>
      <w:r>
        <w:rPr>
          <w:rFonts w:hint="eastAsia" w:ascii="仿宋_GB2312" w:hAnsi="Times New Roman" w:eastAsia="仿宋_GB2312" w:cs="Times New Roman"/>
          <w:color w:val="000000"/>
          <w:spacing w:val="12"/>
          <w:sz w:val="28"/>
          <w:lang w:val="en-US" w:eastAsia="zh-CN"/>
        </w:rPr>
        <w:t>5</w:t>
      </w:r>
      <w:r>
        <w:rPr>
          <w:rFonts w:hint="default" w:ascii="仿宋_GB2312" w:eastAsia="仿宋_GB2312" w:cs="Times New Roman"/>
          <w:color w:val="000000"/>
          <w:spacing w:val="12"/>
          <w:sz w:val="28"/>
          <w:lang w:val="en" w:eastAsia="zh-CN"/>
        </w:rPr>
        <w:t>2</w:t>
      </w:r>
      <w:r>
        <w:rPr>
          <w:rFonts w:hint="eastAsia" w:ascii="仿宋_GB2312" w:hAnsi="Times New Roman" w:eastAsia="仿宋_GB2312" w:cs="Times New Roman"/>
          <w:color w:val="000000"/>
          <w:spacing w:val="12"/>
          <w:sz w:val="28"/>
        </w:rPr>
        <w:t>号</w:t>
      </w:r>
    </w:p>
    <w:p>
      <w:pPr>
        <w:snapToGrid w:val="0"/>
        <w:jc w:val="center"/>
        <w:rPr>
          <w:rFonts w:hint="eastAsia" w:ascii="仿宋_GB2312" w:hAnsi="仿宋_GB2312" w:eastAsia="仿宋_GB2312"/>
          <w:sz w:val="28"/>
          <w:szCs w:val="28"/>
        </w:rPr>
      </w:pPr>
      <w:r>
        <w:pict>
          <v:line id="直接连接符 1" o:spid="_x0000_s1026" o:spt="20" style="position:absolute;left:0pt;margin-left:6.35pt;margin-top:10.15pt;height:0.05pt;width:437.15pt;z-index:251658240;mso-width-relative:page;mso-height-relative:page;" filled="f" stroked="t" coordsize="21600,21600" o:gfxdata="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C+1ktYAAAAIAQAADwAAAAAA&#10;AAABACAAAAAiAAAAZHJzL2Rvd25yZXYueG1sUEsBAhQAFAAAAAgAh07iQBPxIlTcAQAAmQMAAA4A&#10;AAAAAAAAAQAgAAAAJQEAAGRycy9lMm9Eb2MueG1sUEsFBgAAAAAGAAYAWQEAAHMFAAAAAA==&#10;">
            <v:path arrowok="t"/>
            <v:fill on="f" focussize="0,0"/>
            <v:stroke weight="1pt" color="#FF0000"/>
            <v:imagedata o:title=""/>
            <o:lock v:ext="edit" grouping="f" rotation="f" text="f" aspectratio="f"/>
          </v:line>
        </w:pict>
      </w:r>
    </w:p>
    <w:p>
      <w:pPr>
        <w:jc w:val="center"/>
        <w:rPr>
          <w:rFonts w:hint="eastAsia"/>
          <w:sz w:val="28"/>
          <w:szCs w:val="28"/>
        </w:rPr>
      </w:pPr>
    </w:p>
    <w:p>
      <w:pPr>
        <w:pStyle w:val="3"/>
        <w:widowControl w:val="0"/>
        <w:wordWrap/>
        <w:adjustRightInd w:val="0"/>
        <w:snapToGrid w:val="0"/>
        <w:spacing w:before="0" w:beforeLines="0" w:after="0" w:afterLines="0" w:line="240" w:lineRule="auto"/>
        <w:ind w:left="0" w:leftChars="0" w:right="0" w:firstLine="0" w:firstLineChars="0"/>
        <w:jc w:val="center"/>
        <w:outlineLvl w:val="9"/>
        <w:rPr>
          <w:rFonts w:hint="eastAsia" w:ascii="方正小标宋简体" w:hAnsi="方正小标宋简体" w:eastAsia="方正小标宋简体" w:cs="方正小标宋简体"/>
          <w:b w:val="0"/>
          <w:bCs w:val="0"/>
          <w:color w:val="auto"/>
          <w:sz w:val="44"/>
          <w:highlight w:val="none"/>
        </w:rPr>
      </w:pPr>
      <w:bookmarkStart w:id="0" w:name="quanwen"/>
      <w:r>
        <w:rPr>
          <w:rFonts w:hint="eastAsia" w:ascii="方正小标宋简体" w:hAnsi="方正小标宋简体" w:eastAsia="方正小标宋简体" w:cs="方正小标宋简体"/>
          <w:b w:val="0"/>
          <w:bCs w:val="0"/>
          <w:color w:val="auto"/>
          <w:sz w:val="44"/>
          <w:highlight w:val="none"/>
        </w:rPr>
        <w:t>关于对</w:t>
      </w:r>
      <w:r>
        <w:rPr>
          <w:rFonts w:hint="eastAsia" w:ascii="方正小标宋简体" w:hAnsi="方正小标宋简体" w:eastAsia="方正小标宋简体" w:cs="方正小标宋简体"/>
          <w:b w:val="0"/>
          <w:bCs w:val="0"/>
          <w:color w:val="auto"/>
          <w:sz w:val="44"/>
          <w:highlight w:val="none"/>
          <w:lang w:eastAsia="zh-CN"/>
        </w:rPr>
        <w:t>廖传明</w:t>
      </w:r>
      <w:r>
        <w:rPr>
          <w:rFonts w:hint="eastAsia" w:ascii="方正小标宋简体" w:hAnsi="方正小标宋简体" w:eastAsia="方正小标宋简体" w:cs="方正小标宋简体"/>
          <w:b w:val="0"/>
          <w:bCs w:val="0"/>
          <w:color w:val="auto"/>
          <w:sz w:val="44"/>
          <w:highlight w:val="none"/>
        </w:rPr>
        <w:t>采取</w:t>
      </w:r>
      <w:r>
        <w:rPr>
          <w:rFonts w:hint="eastAsia" w:ascii="方正小标宋简体" w:hAnsi="方正小标宋简体" w:eastAsia="方正小标宋简体" w:cs="方正小标宋简体"/>
          <w:b w:val="0"/>
          <w:bCs w:val="0"/>
          <w:color w:val="auto"/>
          <w:sz w:val="44"/>
          <w:highlight w:val="none"/>
          <w:lang w:eastAsia="zh-CN"/>
        </w:rPr>
        <w:t>责令改正</w:t>
      </w:r>
      <w:r>
        <w:rPr>
          <w:rFonts w:hint="eastAsia" w:ascii="方正小标宋简体" w:hAnsi="方正小标宋简体" w:eastAsia="方正小标宋简体" w:cs="方正小标宋简体"/>
          <w:b w:val="0"/>
          <w:bCs w:val="0"/>
          <w:color w:val="auto"/>
          <w:sz w:val="44"/>
          <w:highlight w:val="none"/>
          <w:lang w:val="en-US" w:eastAsia="zh-CN"/>
        </w:rPr>
        <w:t>措施</w:t>
      </w:r>
      <w:r>
        <w:rPr>
          <w:rFonts w:hint="eastAsia" w:ascii="方正小标宋简体" w:hAnsi="方正小标宋简体" w:eastAsia="方正小标宋简体" w:cs="方正小标宋简体"/>
          <w:b w:val="0"/>
          <w:bCs w:val="0"/>
          <w:color w:val="auto"/>
          <w:sz w:val="44"/>
          <w:highlight w:val="none"/>
        </w:rPr>
        <w:t>的决定</w:t>
      </w:r>
    </w:p>
    <w:p>
      <w:pPr>
        <w:pStyle w:val="9"/>
        <w:adjustRightInd w:val="0"/>
        <w:snapToGrid w:val="0"/>
        <w:spacing w:before="0" w:beforeLines="0" w:afterLines="0" w:line="240" w:lineRule="auto"/>
        <w:rPr>
          <w:rFonts w:hint="eastAsia" w:ascii="方正小标宋简体" w:hAnsi="方正小标宋简体" w:eastAsia="方正小标宋简体" w:cs="方正小标宋简体"/>
          <w:color w:val="auto"/>
          <w:sz w:val="32"/>
          <w:szCs w:val="32"/>
          <w:highlight w:val="none"/>
          <w:lang w:val="en-US" w:eastAsia="zh-CN"/>
        </w:rPr>
      </w:pPr>
    </w:p>
    <w:p>
      <w:pPr>
        <w:pStyle w:val="9"/>
        <w:widowControl w:val="0"/>
        <w:overflowPunct w:val="0"/>
        <w:adjustRightInd w:val="0"/>
        <w:snapToGrid w:val="0"/>
        <w:spacing w:before="0" w:beforeLines="0" w:afterLines="0" w:line="336" w:lineRule="auto"/>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廖传明：</w:t>
      </w:r>
    </w:p>
    <w:p>
      <w:pPr>
        <w:pStyle w:val="9"/>
        <w:widowControl w:val="0"/>
        <w:overflowPunct w:val="0"/>
        <w:adjustRightInd w:val="0"/>
        <w:snapToGrid w:val="0"/>
        <w:spacing w:before="0" w:beforeLines="0" w:afterLines="0" w:line="336" w:lineRule="auto"/>
        <w:ind w:firstLine="672"/>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经查，在</w:t>
      </w:r>
      <w:r>
        <w:rPr>
          <w:rFonts w:hint="eastAsia" w:ascii="仿宋_GB2312" w:hAnsi="仿宋_GB2312" w:eastAsia="仿宋_GB2312" w:cs="仿宋_GB2312"/>
          <w:kern w:val="0"/>
          <w:sz w:val="32"/>
          <w:szCs w:val="32"/>
          <w:lang w:val="en-US" w:eastAsia="zh-CN" w:bidi="ar-SA"/>
        </w:rPr>
        <w:t>广东伊之密精密机械股份有限公司原董事、副总经理</w:t>
      </w:r>
      <w:r>
        <w:rPr>
          <w:rFonts w:hint="eastAsia" w:ascii="仿宋_GB2312" w:hAnsi="宋体" w:eastAsia="仿宋_GB2312"/>
          <w:color w:val="auto"/>
          <w:kern w:val="0"/>
          <w:sz w:val="32"/>
          <w:szCs w:val="32"/>
          <w:highlight w:val="none"/>
          <w:lang w:val="en-US" w:eastAsia="zh-CN"/>
        </w:rPr>
        <w:t>廖昌清的安排下，你将本人开立于华泰证券和安信证券的证券账户出借给廖昌清使用。其中，华泰证券“廖传明”证券账户出借行为起始于2018年12月12日并延续至检查日（2021年8月6日）；安信证券“廖传明”证券账户出借行为起始于2020年7月9日并延续至检查日（2021年8月6日）</w:t>
      </w:r>
      <w:r>
        <w:rPr>
          <w:rFonts w:hint="eastAsia" w:ascii="仿宋_GB2312" w:hAnsi="仿宋_GB2312" w:eastAsia="仿宋_GB2312" w:cs="仿宋_GB2312"/>
          <w:color w:val="auto"/>
          <w:kern w:val="0"/>
          <w:sz w:val="32"/>
          <w:szCs w:val="32"/>
          <w:highlight w:val="none"/>
          <w:lang w:val="en-US" w:eastAsia="zh-CN"/>
        </w:rPr>
        <w:t>。</w:t>
      </w:r>
    </w:p>
    <w:p>
      <w:pPr>
        <w:widowControl w:val="0"/>
        <w:wordWrap/>
        <w:overflowPunct w:val="0"/>
        <w:adjustRightInd w:val="0"/>
        <w:snapToGrid w:val="0"/>
        <w:spacing w:beforeLines="0" w:afterLines="0" w:line="336" w:lineRule="auto"/>
        <w:ind w:left="0" w:leftChars="0" w:right="0" w:firstLine="640" w:firstLineChars="200"/>
        <w:jc w:val="both"/>
        <w:textAlignment w:val="auto"/>
        <w:outlineLvl w:val="9"/>
        <w:rPr>
          <w:rFonts w:hint="eastAsia" w:ascii="仿宋_GB2312" w:hAnsi="仿宋_GB2312" w:eastAsia="仿宋_GB2312" w:cs="仿宋_GB2312"/>
          <w:spacing w:val="0"/>
          <w:kern w:val="0"/>
          <w:sz w:val="32"/>
          <w:szCs w:val="30"/>
          <w:highlight w:val="none"/>
          <w:lang w:val="en-US" w:eastAsia="zh-CN"/>
        </w:rPr>
      </w:pPr>
      <w:r>
        <w:rPr>
          <w:rFonts w:hint="eastAsia" w:ascii="仿宋_GB2312" w:hAnsi="仿宋_GB2312" w:eastAsia="仿宋_GB2312" w:cs="仿宋_GB2312"/>
          <w:spacing w:val="0"/>
          <w:kern w:val="0"/>
          <w:sz w:val="32"/>
          <w:szCs w:val="30"/>
          <w:highlight w:val="none"/>
          <w:lang w:val="en-US" w:eastAsia="zh-CN"/>
        </w:rPr>
        <w:t>你将自己的证券账户出借给他人从事证券交易，有关行为违反了</w:t>
      </w:r>
      <w:r>
        <w:rPr>
          <w:rFonts w:hint="eastAsia" w:ascii="仿宋_GB2312" w:hAnsi="仿宋_GB2312" w:eastAsia="仿宋_GB2312" w:cs="仿宋_GB2312"/>
          <w:kern w:val="0"/>
          <w:sz w:val="32"/>
          <w:szCs w:val="32"/>
          <w:highlight w:val="none"/>
          <w:lang w:eastAsia="zh-CN"/>
        </w:rPr>
        <w:t>《中华人民共和国证券法》（以下简称《证券法》）</w:t>
      </w:r>
      <w:r>
        <w:rPr>
          <w:rFonts w:hint="eastAsia" w:ascii="仿宋_GB2312" w:hAnsi="仿宋_GB2312" w:eastAsia="仿宋_GB2312" w:cs="仿宋_GB2312"/>
          <w:spacing w:val="0"/>
          <w:kern w:val="0"/>
          <w:sz w:val="32"/>
          <w:szCs w:val="30"/>
          <w:highlight w:val="none"/>
          <w:lang w:val="en-US" w:eastAsia="zh-CN"/>
        </w:rPr>
        <w:t>第五十八条</w:t>
      </w:r>
      <w:r>
        <w:rPr>
          <w:rFonts w:hint="eastAsia" w:ascii="仿宋_GB2312" w:hAnsi="仿宋_GB2312" w:eastAsia="仿宋_GB2312" w:cs="仿宋_GB2312"/>
          <w:spacing w:val="0"/>
          <w:kern w:val="0"/>
          <w:sz w:val="32"/>
          <w:szCs w:val="32"/>
          <w:highlight w:val="none"/>
          <w:lang w:val="en-US" w:eastAsia="zh-CN"/>
        </w:rPr>
        <w:t>的相关规定</w:t>
      </w:r>
      <w:r>
        <w:rPr>
          <w:rFonts w:hint="eastAsia" w:ascii="仿宋_GB2312" w:hAnsi="仿宋_GB2312" w:eastAsia="仿宋_GB2312" w:cs="仿宋_GB2312"/>
          <w:spacing w:val="0"/>
          <w:kern w:val="0"/>
          <w:sz w:val="32"/>
          <w:szCs w:val="30"/>
          <w:highlight w:val="none"/>
          <w:lang w:val="en-US" w:eastAsia="zh-CN"/>
        </w:rPr>
        <w:t>。根据《证券法》第一百七十条的规定，</w:t>
      </w:r>
      <w:r>
        <w:rPr>
          <w:rFonts w:hint="eastAsia" w:ascii="仿宋_GB2312" w:hAnsi="宋体" w:eastAsia="仿宋_GB2312"/>
          <w:color w:val="auto"/>
          <w:spacing w:val="0"/>
          <w:kern w:val="0"/>
          <w:sz w:val="32"/>
          <w:szCs w:val="32"/>
          <w:highlight w:val="none"/>
          <w:lang w:val="en-US" w:eastAsia="zh-CN"/>
        </w:rPr>
        <w:t>你应当于收到本决定书之日起三个月内完成上述出借证券账户的清理处置，并向我局提交书面整改报告。同时，</w:t>
      </w:r>
      <w:r>
        <w:rPr>
          <w:rFonts w:hint="eastAsia" w:ascii="仿宋_GB2312" w:hAnsi="仿宋_GB2312" w:eastAsia="仿宋_GB2312" w:cs="Times New Roman"/>
          <w:kern w:val="0"/>
          <w:sz w:val="32"/>
          <w:highlight w:val="none"/>
        </w:rPr>
        <w:t>你应认真吸取教训，</w:t>
      </w:r>
      <w:r>
        <w:rPr>
          <w:rFonts w:hint="eastAsia" w:ascii="仿宋_GB2312" w:hAnsi="仿宋_GB2312" w:eastAsia="仿宋_GB2312" w:cs="Times New Roman"/>
          <w:kern w:val="0"/>
          <w:sz w:val="32"/>
          <w:highlight w:val="none"/>
          <w:lang w:eastAsia="zh-CN"/>
        </w:rPr>
        <w:t>认真</w:t>
      </w:r>
      <w:r>
        <w:rPr>
          <w:rFonts w:hint="eastAsia" w:ascii="仿宋_GB2312" w:hAnsi="仿宋_GB2312" w:eastAsia="仿宋_GB2312" w:cs="Times New Roman"/>
          <w:kern w:val="0"/>
          <w:sz w:val="32"/>
          <w:highlight w:val="none"/>
        </w:rPr>
        <w:t>学习证券法律法规</w:t>
      </w:r>
      <w:r>
        <w:rPr>
          <w:rFonts w:hint="eastAsia" w:ascii="仿宋_GB2312" w:hAnsi="仿宋_GB2312" w:eastAsia="仿宋_GB2312" w:cs="仿宋_GB2312"/>
          <w:kern w:val="0"/>
          <w:sz w:val="32"/>
          <w:szCs w:val="32"/>
          <w:highlight w:val="none"/>
          <w:lang w:val="en-US" w:eastAsia="zh-CN"/>
        </w:rPr>
        <w:t>，采取切实有效措施杜绝此类行为再次发生。</w:t>
      </w:r>
    </w:p>
    <w:p>
      <w:pPr>
        <w:overflowPunct w:val="0"/>
        <w:adjustRightInd w:val="0"/>
        <w:snapToGrid w:val="0"/>
        <w:spacing w:before="0" w:beforeLines="0" w:beforeAutospacing="0" w:after="0" w:afterLines="0" w:afterAutospacing="0" w:line="336" w:lineRule="auto"/>
        <w:ind w:firstLine="640" w:firstLineChars="200"/>
        <w:rPr>
          <w:rFonts w:hint="eastAsia" w:ascii="仿宋_GB2312" w:hAnsi="仿宋_GB2312" w:eastAsia="仿宋_GB2312" w:cs="仿宋_GB2312"/>
          <w:color w:val="auto"/>
          <w:spacing w:val="0"/>
          <w:kern w:val="0"/>
          <w:sz w:val="28"/>
          <w:szCs w:val="28"/>
          <w:highlight w:val="none"/>
          <w:lang w:val="en-US" w:eastAsia="zh-CN"/>
        </w:rPr>
      </w:pPr>
      <w:r>
        <w:rPr>
          <w:rFonts w:hint="eastAsia" w:ascii="仿宋_GB2312" w:hAnsi="宋体" w:eastAsia="仿宋_GB2312"/>
          <w:color w:val="auto"/>
          <w:kern w:val="0"/>
          <w:sz w:val="32"/>
          <w:szCs w:val="32"/>
          <w:highlight w:val="none"/>
          <w:lang w:val="en-US" w:eastAsia="zh-CN"/>
        </w:rPr>
        <w:t>如果对本监督管理措施不服，可在收到本决定书之日起60日内向中国证券监督管理委员会提出行政复议申请，也可以在收到本决定书之日起6个月内向有管辖权的人民法院提起诉讼。复议与诉讼期间，上述监督管理措施不停止执行。</w:t>
      </w: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right="1705"/>
        <w:jc w:val="right"/>
        <w:rPr>
          <w:rFonts w:hint="eastAsia" w:ascii="仿宋_GB2312" w:hAnsi="Times New Roman" w:eastAsia="仿宋_GB2312" w:cs="Times New Roman"/>
          <w:sz w:val="32"/>
        </w:rPr>
      </w:pPr>
      <w:r>
        <w:rPr>
          <w:rFonts w:hint="eastAsia" w:ascii="仿宋_GB2312" w:hAnsi="Times New Roman" w:eastAsia="仿宋_GB2312" w:cs="Times New Roman"/>
          <w:sz w:val="32"/>
        </w:rPr>
        <w:t>广东证监局</w:t>
      </w:r>
    </w:p>
    <w:p>
      <w:pPr>
        <w:widowControl/>
        <w:adjustRightInd w:val="0"/>
        <w:snapToGrid w:val="0"/>
        <w:spacing w:beforeLines="0" w:afterLines="0" w:line="360" w:lineRule="auto"/>
        <w:ind w:right="1247" w:firstLine="0" w:firstLineChars="0"/>
        <w:jc w:val="right"/>
        <w:outlineLvl w:val="9"/>
        <w:rPr>
          <w:rFonts w:hint="eastAsia" w:ascii="仿宋_GB2312" w:hAnsi="Times New Roman" w:eastAsia="仿宋_GB2312" w:cs="Times New Roman"/>
          <w:spacing w:val="10"/>
          <w:sz w:val="32"/>
        </w:rPr>
      </w:pPr>
      <w:r>
        <w:rPr>
          <w:rFonts w:hint="eastAsia" w:ascii="仿宋_GB2312" w:hAnsi="Times New Roman" w:eastAsia="仿宋_GB2312" w:cs="Times New Roman"/>
          <w:spacing w:val="10"/>
          <w:sz w:val="32"/>
          <w:lang w:eastAsia="zh-CN"/>
        </w:rPr>
        <w:t>2</w:t>
      </w:r>
      <w:r>
        <w:rPr>
          <w:rFonts w:hint="eastAsia" w:ascii="仿宋_GB2312" w:hAnsi="Times New Roman" w:eastAsia="仿宋_GB2312" w:cs="Times New Roman"/>
          <w:spacing w:val="10"/>
          <w:sz w:val="32"/>
          <w:lang w:val="en-US" w:eastAsia="zh-CN"/>
        </w:rPr>
        <w:t>02</w:t>
      </w:r>
      <w:r>
        <w:rPr>
          <w:rFonts w:hint="eastAsia" w:ascii="仿宋_GB2312" w:eastAsia="仿宋_GB2312" w:cs="Times New Roman"/>
          <w:spacing w:val="10"/>
          <w:sz w:val="32"/>
          <w:lang w:val="en-US" w:eastAsia="zh-CN"/>
        </w:rPr>
        <w:t>2</w:t>
      </w:r>
      <w:r>
        <w:rPr>
          <w:rFonts w:hint="eastAsia" w:ascii="仿宋_GB2312" w:hAnsi="Times New Roman" w:eastAsia="仿宋_GB2312" w:cs="Times New Roman"/>
          <w:spacing w:val="10"/>
          <w:sz w:val="32"/>
        </w:rPr>
        <w:t>年</w:t>
      </w:r>
      <w:r>
        <w:rPr>
          <w:rFonts w:hint="eastAsia" w:ascii="仿宋_GB2312" w:eastAsia="仿宋_GB2312" w:cs="Times New Roman"/>
          <w:spacing w:val="10"/>
          <w:sz w:val="32"/>
          <w:lang w:val="en-US" w:eastAsia="zh-CN"/>
        </w:rPr>
        <w:t>5</w:t>
      </w:r>
      <w:r>
        <w:rPr>
          <w:rFonts w:hint="eastAsia" w:ascii="仿宋_GB2312" w:hAnsi="Times New Roman" w:eastAsia="仿宋_GB2312" w:cs="Times New Roman"/>
          <w:spacing w:val="10"/>
          <w:sz w:val="32"/>
        </w:rPr>
        <w:t>月</w:t>
      </w:r>
      <w:r>
        <w:rPr>
          <w:rFonts w:hint="eastAsia" w:ascii="仿宋_GB2312" w:hAnsi="Times New Roman" w:eastAsia="仿宋_GB2312" w:cs="Times New Roman"/>
          <w:spacing w:val="10"/>
          <w:sz w:val="32"/>
          <w:lang w:val="en-US" w:eastAsia="zh-CN"/>
        </w:rPr>
        <w:t>6</w:t>
      </w:r>
      <w:r>
        <w:rPr>
          <w:rFonts w:hint="eastAsia" w:ascii="仿宋_GB2312" w:hAnsi="Times New Roman" w:eastAsia="仿宋_GB2312" w:cs="Times New Roman"/>
          <w:spacing w:val="10"/>
          <w:sz w:val="32"/>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黑体" w:hAnsi="黑体" w:eastAsia="黑体" w:cs="黑体"/>
          <w:color w:val="000000"/>
          <w:sz w:val="24"/>
          <w:szCs w:val="24"/>
        </w:rPr>
      </w:pPr>
    </w:p>
    <w:p>
      <w:pPr>
        <w:snapToGrid w:val="0"/>
        <w:spacing w:line="300" w:lineRule="auto"/>
        <w:ind w:right="26"/>
        <w:jc w:val="left"/>
        <w:rPr>
          <w:rFonts w:hint="eastAsia" w:ascii="黑体" w:eastAsia="黑体"/>
          <w:spacing w:val="8"/>
          <w:sz w:val="20"/>
          <w:szCs w:val="16"/>
        </w:rPr>
      </w:pPr>
    </w:p>
    <w:p>
      <w:pPr>
        <w:keepNext w:val="0"/>
        <w:keepLines w:val="0"/>
        <w:pageBreakBefore w:val="0"/>
        <w:widowControl w:val="0"/>
        <w:pBdr>
          <w:top w:val="single" w:color="auto" w:sz="8" w:space="6"/>
        </w:pBdr>
        <w:kinsoku/>
        <w:wordWrap/>
        <w:overflowPunct/>
        <w:topLinePunct w:val="0"/>
        <w:autoSpaceDE/>
        <w:autoSpaceDN/>
        <w:bidi w:val="0"/>
        <w:adjustRightInd w:val="0"/>
        <w:snapToGrid w:val="0"/>
        <w:spacing w:after="109" w:afterLines="35"/>
        <w:ind w:firstLine="317"/>
        <w:textAlignment w:val="auto"/>
        <w:rPr>
          <w:rFonts w:ascii="长城仿宋" w:eastAsia="长城仿宋"/>
          <w:sz w:val="28"/>
        </w:rPr>
      </w:pPr>
      <w:r>
        <w:rPr>
          <w:rFonts w:hint="eastAsia" w:ascii="仿宋_GB2312" w:eastAsia="仿宋_GB2312"/>
          <w:spacing w:val="8"/>
          <w:sz w:val="28"/>
        </w:rPr>
        <w:t>抄送：</w:t>
      </w:r>
      <w:r>
        <w:rPr>
          <w:rFonts w:hint="eastAsia" w:ascii="仿宋_GB2312" w:eastAsia="仿宋_GB2312"/>
          <w:spacing w:val="8"/>
          <w:sz w:val="28"/>
          <w:lang w:eastAsia="zh-CN"/>
        </w:rPr>
        <w:t>证监会上市部，法律部；深圳证券交易所</w:t>
      </w:r>
      <w:r>
        <w:rPr>
          <w:rFonts w:hint="eastAsia" w:ascii="仿宋_GB2312" w:eastAsia="仿宋_GB2312"/>
          <w:spacing w:val="8"/>
          <w:sz w:val="28"/>
        </w:rPr>
        <w:t>。</w:t>
      </w:r>
    </w:p>
    <w:p>
      <w:pPr>
        <w:pBdr>
          <w:top w:val="single" w:color="auto" w:sz="4" w:space="6"/>
        </w:pBdr>
        <w:adjustRightInd w:val="0"/>
        <w:snapToGrid w:val="0"/>
        <w:spacing w:after="109" w:afterLines="35"/>
        <w:ind w:firstLine="318"/>
        <w:jc w:val="left"/>
        <w:rPr>
          <w:rFonts w:hint="eastAsia" w:ascii="仿宋_GB2312" w:eastAsia="仿宋_GB2312"/>
          <w:spacing w:val="8"/>
          <w:sz w:val="28"/>
        </w:rPr>
      </w:pPr>
      <w:r>
        <w:rPr>
          <w:rFonts w:hint="eastAsia" w:ascii="仿宋_GB2312" w:eastAsia="仿宋_GB2312"/>
          <w:spacing w:val="8"/>
          <w:sz w:val="28"/>
        </w:rPr>
        <w:t xml:space="preserve">广东证监局办公室              </w:t>
      </w:r>
      <w:r>
        <w:rPr>
          <w:rFonts w:hint="eastAsia" w:ascii="仿宋_GB2312" w:eastAsia="仿宋_GB2312"/>
          <w:spacing w:val="8"/>
          <w:sz w:val="28"/>
          <w:lang w:val="en-US" w:eastAsia="zh-CN"/>
        </w:rPr>
        <w:t xml:space="preserve">    </w:t>
      </w:r>
      <w:r>
        <w:rPr>
          <w:rFonts w:hint="eastAsia" w:ascii="仿宋_GB2312" w:eastAsia="仿宋_GB2312"/>
          <w:spacing w:val="8"/>
          <w:sz w:val="28"/>
        </w:rPr>
        <w:t xml:space="preserve"> </w:t>
      </w:r>
      <w:r>
        <w:rPr>
          <w:rFonts w:hint="default" w:ascii="仿宋_GB2312" w:eastAsia="仿宋_GB2312"/>
          <w:spacing w:val="8"/>
          <w:sz w:val="28"/>
          <w:lang w:val="en" w:eastAsia="zh-CN"/>
        </w:rPr>
        <w:t>2022</w:t>
      </w:r>
      <w:r>
        <w:rPr>
          <w:rFonts w:hint="eastAsia" w:ascii="仿宋_GB2312" w:eastAsia="仿宋_GB2312"/>
          <w:spacing w:val="8"/>
          <w:sz w:val="28"/>
        </w:rPr>
        <w:t>年</w:t>
      </w:r>
      <w:r>
        <w:rPr>
          <w:rFonts w:hint="default" w:ascii="仿宋_GB2312" w:eastAsia="仿宋_GB2312"/>
          <w:spacing w:val="8"/>
          <w:sz w:val="28"/>
          <w:lang w:val="en"/>
        </w:rPr>
        <w:t>5</w:t>
      </w:r>
      <w:r>
        <w:rPr>
          <w:rFonts w:hint="eastAsia" w:ascii="仿宋_GB2312" w:eastAsia="仿宋_GB2312"/>
          <w:spacing w:val="8"/>
          <w:sz w:val="28"/>
        </w:rPr>
        <w:t>月</w:t>
      </w:r>
      <w:r>
        <w:rPr>
          <w:rFonts w:hint="default" w:ascii="仿宋_GB2312" w:eastAsia="仿宋_GB2312"/>
          <w:spacing w:val="8"/>
          <w:sz w:val="28"/>
          <w:lang w:val="en" w:eastAsia="zh-CN"/>
        </w:rPr>
        <w:t>7</w:t>
      </w:r>
      <w:r>
        <w:rPr>
          <w:rFonts w:hint="eastAsia" w:ascii="仿宋_GB2312" w:eastAsia="仿宋_GB2312"/>
          <w:spacing w:val="8"/>
          <w:sz w:val="28"/>
        </w:rPr>
        <w:t>日印发</w:t>
      </w:r>
    </w:p>
    <w:p>
      <w:pPr>
        <w:pBdr>
          <w:top w:val="single" w:color="auto" w:sz="8" w:space="7"/>
        </w:pBdr>
        <w:adjustRightInd w:val="0"/>
        <w:snapToGrid w:val="0"/>
        <w:spacing w:beforeLines="0" w:after="0" w:afterLines="0"/>
        <w:ind w:firstLine="0"/>
        <w:jc w:val="left"/>
        <w:rPr>
          <w:rFonts w:hint="eastAsia" w:ascii="仿宋_GB2312" w:eastAsia="仿宋_GB2312"/>
          <w:spacing w:val="8"/>
          <w:sz w:val="2"/>
          <w:szCs w:val="2"/>
        </w:rPr>
      </w:pPr>
    </w:p>
    <w:bookmarkEnd w:id="0"/>
    <w:p>
      <w:pPr>
        <w:adjustRightInd w:val="0"/>
        <w:snapToGrid w:val="0"/>
        <w:spacing w:beforeLines="0" w:afterLines="0" w:line="240" w:lineRule="auto"/>
        <w:rPr>
          <w:sz w:val="2"/>
          <w:szCs w:val="2"/>
        </w:rPr>
      </w:pPr>
    </w:p>
    <w:sectPr>
      <w:footerReference r:id="rId3" w:type="default"/>
      <w:pgSz w:w="11906" w:h="16838"/>
      <w:pgMar w:top="2097" w:right="1474" w:bottom="1984" w:left="1587"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长城仿宋">
    <w:altName w:val="宋体"/>
    <w:panose1 w:val="02010609000101010101"/>
    <w:charset w:val="00"/>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Align="top"/>
    </w:pPr>
    <w:r>
      <w:rPr>
        <w:rFonts w:hint="eastAsia" w:ascii="宋体" w:hAnsi="宋体"/>
        <w:sz w:val="28"/>
      </w:rPr>
      <w:fldChar w:fldCharType="begin"/>
    </w:r>
    <w:r>
      <w:rPr>
        <w:rStyle w:val="8"/>
        <w:rFonts w:hint="eastAsia" w:ascii="宋体" w:hAnsi="宋体"/>
        <w:sz w:val="28"/>
      </w:rPr>
      <w:instrText xml:space="preserve"> PAGE  </w:instrText>
    </w:r>
    <w:r>
      <w:rPr>
        <w:rFonts w:hint="eastAsia" w:ascii="宋体" w:hAnsi="宋体"/>
        <w:sz w:val="28"/>
      </w:rPr>
      <w:fldChar w:fldCharType="separate"/>
    </w:r>
    <w:r>
      <w:rPr>
        <w:rStyle w:val="8"/>
        <w:rFonts w:ascii="宋体" w:hAnsi="宋体"/>
        <w:sz w:val="28"/>
      </w:rPr>
      <w:t>- 1 -</w:t>
    </w:r>
    <w:r>
      <w:rPr>
        <w:rFonts w:hint="eastAsia" w:ascii="宋体" w:hAnsi="宋体"/>
        <w:sz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documentProtection w:edit="readOnly" w:enforcement="1" w:cryptProviderType="rsaFull" w:cryptAlgorithmClass="hash" w:cryptAlgorithmType="typeAny" w:cryptAlgorithmSid="4" w:cryptSpinCount="0" w:hash="q9sCb5yJHw8R3BeDRYPO26zlpK4=" w:salt="LToDlyzIuRnmPhUKkT3d2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KGWebUrl" w:val="http://126.53.164.178:8088/GDZJJ/OfficeServer;jsessionid=2DC4922717C2C1374392D4EE4FE9405D"/>
  </w:docVars>
  <w:rsids>
    <w:rsidRoot w:val="FFF53A3C"/>
    <w:rsid w:val="2BCF6AF3"/>
    <w:rsid w:val="5F7FEB89"/>
    <w:rsid w:val="6C781DED"/>
    <w:rsid w:val="6E77444F"/>
    <w:rsid w:val="73EF1711"/>
    <w:rsid w:val="7470167F"/>
    <w:rsid w:val="77F55118"/>
    <w:rsid w:val="7EED7F72"/>
    <w:rsid w:val="FFF53A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3">
    <w:name w:val="Body Text"/>
    <w:basedOn w:val="1"/>
    <w:qFormat/>
    <w:uiPriority w:val="0"/>
    <w:pPr>
      <w:jc w:val="center"/>
    </w:pPr>
    <w:rPr>
      <w:rFonts w:ascii="宋体"/>
      <w:b/>
      <w:bCs/>
      <w:sz w:val="40"/>
      <w:szCs w:val="4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p0"/>
    <w:basedOn w:val="1"/>
    <w:qFormat/>
    <w:uiPriority w:val="0"/>
    <w:pPr>
      <w:widowControl/>
    </w:pPr>
    <w:rPr>
      <w:rFonts w:hint="eastAsia"/>
    </w:rPr>
  </w:style>
  <w:style w:type="paragraph" w:customStyle="1" w:styleId="10">
    <w:name w:val="Char Char Char Char Char Char Char Char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2022-01-31T01:09:00Z</dcterms:created>
  <dc:creator>公司检查处临时*</dc:creator>
  <cp:lastModifiedBy>公司监管三处临时*</cp:lastModifiedBy>
  <dcterms:modified xsi:type="dcterms:W3CDTF">2022-05-07T15:12:54Z</dcterms:modified>
  <dc:title>〔2022〕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