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50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8240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ML7WS1gAAAAgBAAAPAAAAAAAAAAEAIAAAADgAAABkcnMvZG93bnJldi54bWxQ&#10;SwECFAAUAAAACACHTuJAIhmvX+MBAACqAwAADgAAAAAAAAABACAAAAA7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widowControl w:val="0"/>
        <w:wordWrap/>
        <w:adjustRightInd w:val="0"/>
        <w:snapToGrid w:val="0"/>
        <w:spacing w:beforeLines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bookmarkStart w:id="0" w:name="quanwen"/>
      <w:r>
        <w:rPr>
          <w:rFonts w:hint="eastAsia" w:ascii="方正小标宋简体" w:hAnsi="方正小标宋简体" w:eastAsia="方正小标宋简体" w:cs="方正小标宋简体"/>
          <w:snapToGrid w:val="0"/>
          <w:spacing w:val="-6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韶钢松山股份有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限公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司、解旗、</w:t>
      </w:r>
    </w:p>
    <w:p>
      <w:pPr>
        <w:widowControl w:val="0"/>
        <w:wordWrap/>
        <w:adjustRightInd w:val="0"/>
        <w:snapToGrid w:val="0"/>
        <w:spacing w:beforeLines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李国权、皮丽珍、郭利荣采取</w:t>
      </w:r>
    </w:p>
    <w:p>
      <w:pPr>
        <w:widowControl w:val="0"/>
        <w:wordWrap/>
        <w:adjustRightInd w:val="0"/>
        <w:snapToGrid w:val="0"/>
        <w:spacing w:beforeLines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3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出具警示函措施的决定</w:t>
      </w:r>
    </w:p>
    <w:p>
      <w:pPr>
        <w:widowControl w:val="0"/>
        <w:wordWrap/>
        <w:adjustRightInd w:val="0"/>
        <w:snapToGrid w:val="0"/>
        <w:spacing w:beforeLines="0" w:afterLines="0" w:line="240" w:lineRule="auto"/>
        <w:ind w:left="0" w:leftChars="0" w:right="0" w:firstLine="0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wordWrap/>
        <w:adjustRightInd w:val="0"/>
        <w:snapToGrid w:val="0"/>
        <w:spacing w:before="0" w:beforeLines="0" w:after="0" w:afterLines="0" w:line="312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广东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val="en-US" w:eastAsia="zh-CN"/>
        </w:rPr>
        <w:t>韶钢松山股份有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限公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val="en-US" w:eastAsia="zh-CN"/>
        </w:rPr>
        <w:t>司、解旗、李国权、皮丽珍、郭利荣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beforeLines="0" w:after="0" w:afterLines="0" w:line="312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经查，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val="en-US" w:eastAsia="zh-CN"/>
        </w:rPr>
        <w:t>2022年1月至2月期间，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广东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val="en-US" w:eastAsia="zh-CN"/>
        </w:rPr>
        <w:t>韶钢松山股份有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限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val="en-US" w:eastAsia="zh-CN"/>
        </w:rPr>
        <w:t>公司（以下简称韶钢松山或公司）与关联方发生日常关联交易金额合计约32.1亿元，占公司2020年度经审计净资产的33.76%。直至2022年3月7日、3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月23日，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val="en-US" w:eastAsia="zh-CN"/>
        </w:rPr>
        <w:t>韶钢松山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才对上述日常关联交易分别履行董事会和股东大会审议程序，以及相关信息披露义务。</w:t>
      </w:r>
      <w:bookmarkStart w:id="1" w:name="_GoBack"/>
      <w:bookmarkEnd w:id="1"/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beforeLines="0" w:after="0" w:afterLines="0" w:line="312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韶钢松山的上述行为违反了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《上市公司信息披露管理办法》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（证监会令第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第三条、第四十一条的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规定。解旗作为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韶钢松山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董事长、李国权作为代行总裁、皮丽珍作为副总裁兼董事会秘书，郭利荣作为公司时任财务负责人，未按照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《上市公司信息披露管理办法》第四条的规定履行勤勉尽责义务，对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韶钢松山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上述违规行为负有主要责任。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="0" w:beforeLines="0" w:after="0" w:afterLines="0" w:line="312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kern w:val="0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</w:t>
      </w:r>
      <w:r>
        <w:rPr>
          <w:rFonts w:ascii="仿宋_GB2312" w:hAnsi="??" w:eastAsia="仿宋_GB2312"/>
          <w:color w:val="auto"/>
          <w:spacing w:val="0"/>
          <w:kern w:val="0"/>
          <w:sz w:val="32"/>
          <w:highlight w:val="none"/>
        </w:rPr>
        <w:t>据</w:t>
      </w:r>
      <w:r>
        <w:rPr>
          <w:rFonts w:hint="eastAsia" w:ascii="仿宋_GB2312" w:hAnsi="仿宋_GB2312" w:eastAsia="仿宋_GB2312"/>
          <w:color w:val="auto"/>
          <w:spacing w:val="0"/>
          <w:kern w:val="0"/>
          <w:sz w:val="32"/>
          <w:highlight w:val="none"/>
        </w:rPr>
        <w:t>《上市公司信息披露管理办法》</w:t>
      </w:r>
      <w:r>
        <w:rPr>
          <w:rFonts w:hint="eastAsia" w:ascii="仿宋_GB2312" w:hAnsi="仿宋_GB2312" w:eastAsia="仿宋_GB2312"/>
          <w:color w:val="auto"/>
          <w:spacing w:val="0"/>
          <w:kern w:val="0"/>
          <w:sz w:val="32"/>
          <w:highlight w:val="none"/>
          <w:lang w:eastAsia="zh-CN"/>
        </w:rPr>
        <w:t>第五十二条</w:t>
      </w:r>
      <w:r>
        <w:rPr>
          <w:rFonts w:hint="eastAsia" w:ascii="仿宋_GB2312" w:hAnsi="仿宋_GB2312" w:eastAsia="仿宋_GB2312"/>
          <w:color w:val="auto"/>
          <w:spacing w:val="0"/>
          <w:kern w:val="0"/>
          <w:sz w:val="32"/>
          <w:highlight w:val="none"/>
        </w:rPr>
        <w:t>的</w:t>
      </w:r>
      <w:r>
        <w:rPr>
          <w:rFonts w:ascii="仿宋_GB2312" w:hAnsi="??" w:eastAsia="仿宋_GB2312"/>
          <w:color w:val="auto"/>
          <w:spacing w:val="0"/>
          <w:kern w:val="0"/>
          <w:sz w:val="32"/>
          <w:highlight w:val="none"/>
        </w:rPr>
        <w:t>规定</w:t>
      </w:r>
      <w:r>
        <w:rPr>
          <w:rFonts w:hint="eastAsia" w:ascii="仿宋_GB2312" w:hAnsi="??" w:eastAsia="仿宋_GB2312"/>
          <w:color w:val="auto"/>
          <w:spacing w:val="0"/>
          <w:kern w:val="0"/>
          <w:sz w:val="32"/>
          <w:highlight w:val="none"/>
        </w:rPr>
        <w:t>，</w:t>
      </w:r>
      <w:r>
        <w:rPr>
          <w:rFonts w:hint="eastAsia" w:ascii="仿宋_GB2312" w:hAnsi="??" w:eastAsia="仿宋_GB2312"/>
          <w:color w:val="auto"/>
          <w:spacing w:val="0"/>
          <w:kern w:val="0"/>
          <w:sz w:val="32"/>
          <w:highlight w:val="none"/>
          <w:lang w:eastAsia="zh-CN"/>
        </w:rPr>
        <w:t>我局决定对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韶钢松山、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解旗、李国权、皮丽珍、郭利荣</w:t>
      </w:r>
      <w:r>
        <w:rPr>
          <w:rFonts w:hint="eastAsia" w:ascii="仿宋_GB2312" w:hAnsi="仿宋_GB2312" w:eastAsia="仿宋_GB2312"/>
          <w:spacing w:val="0"/>
          <w:kern w:val="0"/>
          <w:sz w:val="32"/>
          <w:highlight w:val="none"/>
          <w:lang w:val="en-US" w:eastAsia="zh-CN"/>
        </w:rPr>
        <w:t>采取出具警示函</w:t>
      </w:r>
      <w:r>
        <w:rPr>
          <w:rFonts w:hint="eastAsia" w:ascii="仿宋_GB2312" w:hAnsi="??" w:eastAsia="仿宋_GB2312"/>
          <w:color w:val="auto"/>
          <w:spacing w:val="0"/>
          <w:kern w:val="0"/>
          <w:sz w:val="32"/>
          <w:highlight w:val="none"/>
          <w:lang w:eastAsia="zh-CN"/>
        </w:rPr>
        <w:t>的行政监管措施。</w:t>
      </w:r>
      <w:r>
        <w:rPr>
          <w:rFonts w:hint="eastAsia" w:ascii="仿宋_GB2312" w:hAnsi="仿宋" w:eastAsia="仿宋_GB2312"/>
          <w:color w:val="000000"/>
          <w:spacing w:val="0"/>
          <w:kern w:val="0"/>
          <w:sz w:val="32"/>
          <w:szCs w:val="30"/>
          <w:highlight w:val="none"/>
          <w:lang w:val="en-US" w:eastAsia="zh-CN"/>
        </w:rPr>
        <w:t>你们应认真吸取教训，切实加强对证券法律法规的学习，依法真实、准确、完整、及时、公平地履行信息披露义务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。同时公司应对相关责任人员进行内部问责，于收到本决定书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30日内向我局报送整改报告、内部问责情况报告，并抄报深圳证券交易所。</w:t>
      </w:r>
    </w:p>
    <w:p>
      <w:pPr>
        <w:wordWrap/>
        <w:adjustRightInd w:val="0"/>
        <w:snapToGrid w:val="0"/>
        <w:spacing w:beforeLines="0" w:afterLines="0" w:line="312" w:lineRule="auto"/>
        <w:ind w:left="0" w:leftChars="0" w:firstLine="640" w:firstLineChars="200"/>
        <w:textAlignment w:val="auto"/>
        <w:outlineLvl w:val="9"/>
        <w:rPr>
          <w:rFonts w:hint="eastAsia" w:eastAsia="仿宋_GB2312"/>
          <w:spacing w:val="0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如果对本监督管理措施不服，可以在收到本决定书之日起60日内向中国证券监督管理委员会提出行政复议申请；也可以在收到本决定书之日起6个月内向有管辖权的人民法院提起诉讼。复议与诉讼期间，上述监督管理措施不停止执行。</w:t>
      </w: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广东证监局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1191" w:firstLine="0" w:firstLineChars="0"/>
        <w:jc w:val="right"/>
        <w:textAlignment w:val="auto"/>
        <w:outlineLvl w:val="9"/>
        <w:rPr>
          <w:rFonts w:hint="eastAsia" w:ascii="仿宋_GB2312" w:hAnsi="Times New Roman" w:eastAsia="仿宋_GB2312" w:cs="Times New Roman"/>
          <w:spacing w:val="10"/>
          <w:sz w:val="32"/>
        </w:rPr>
      </w:pPr>
      <w:r>
        <w:rPr>
          <w:rFonts w:hint="eastAsia" w:ascii="仿宋_GB2312" w:hAnsi="Times New Roman" w:eastAsia="仿宋_GB2312" w:cs="Times New Roman"/>
          <w:spacing w:val="10"/>
          <w:sz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  <w:lang w:val="en-US" w:eastAsia="zh-CN"/>
        </w:rPr>
        <w:t>02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年</w:t>
      </w:r>
      <w:r>
        <w:rPr>
          <w:rFonts w:hint="default" w:ascii="仿宋_GB2312" w:eastAsia="仿宋_GB2312" w:cs="Times New Roman"/>
          <w:spacing w:val="10"/>
          <w:sz w:val="32"/>
          <w:lang w:val="en" w:eastAsia="zh-CN"/>
        </w:rPr>
        <w:t>4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月</w:t>
      </w:r>
      <w:r>
        <w:rPr>
          <w:rFonts w:hint="default" w:ascii="仿宋_GB2312" w:hAnsi="Times New Roman" w:eastAsia="仿宋_GB2312" w:cs="Times New Roman"/>
          <w:spacing w:val="10"/>
          <w:sz w:val="32"/>
          <w:lang w:val="e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22"/>
          <w:szCs w:val="20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317"/>
        <w:textAlignment w:val="auto"/>
        <w:rPr>
          <w:rFonts w:ascii="长城仿宋" w:eastAsia="长城仿宋"/>
          <w:sz w:val="28"/>
        </w:rPr>
      </w:pPr>
      <w:r>
        <w:rPr>
          <w:rFonts w:hint="eastAsia" w:ascii="仿宋_GB2312" w:eastAsia="仿宋_GB2312"/>
          <w:spacing w:val="8"/>
          <w:sz w:val="28"/>
        </w:rPr>
        <w:t>抄送：</w:t>
      </w:r>
      <w:r>
        <w:rPr>
          <w:rFonts w:hint="eastAsia" w:ascii="仿宋_GB2312" w:eastAsia="仿宋_GB2312"/>
          <w:spacing w:val="8"/>
          <w:sz w:val="28"/>
          <w:lang w:eastAsia="zh-CN"/>
        </w:rPr>
        <w:t>证监会上市部，法律部；深圳证券交易所</w:t>
      </w:r>
      <w:r>
        <w:rPr>
          <w:rFonts w:hint="eastAsia" w:ascii="仿宋_GB2312" w:eastAsia="仿宋_GB2312"/>
          <w:spacing w:val="8"/>
          <w:sz w:val="28"/>
        </w:rPr>
        <w:t>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2022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4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29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adjustRightInd w:val="0"/>
        <w:snapToGrid w:val="0"/>
        <w:spacing w:beforeLines="0"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</w:rPr>
      </w:pPr>
    </w:p>
    <w:bookmarkEnd w:id="0"/>
    <w:p>
      <w:pPr>
        <w:snapToGrid w:val="0"/>
        <w:spacing w:beforeLines="0" w:afterLines="0"/>
        <w:rPr>
          <w:sz w:val="2"/>
          <w:szCs w:val="2"/>
        </w:rPr>
      </w:pPr>
    </w:p>
    <w:sectPr>
      <w:headerReference r:id="rId3" w:type="default"/>
      <w:footerReference r:id="rId4" w:type="default"/>
      <w:pgSz w:w="11906" w:h="16838"/>
      <w:pgMar w:top="2097" w:right="1474" w:bottom="1984" w:left="1587" w:header="0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609000101010101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</w:pPr>
    <w:r>
      <w:rPr>
        <w:rFonts w:hint="eastAsia" w:ascii="宋体" w:hAnsi="宋体"/>
        <w:sz w:val="28"/>
      </w:rPr>
      <w:fldChar w:fldCharType="begin"/>
    </w:r>
    <w:r>
      <w:rPr>
        <w:rStyle w:val="7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7"/>
        <w:rFonts w:ascii="宋体" w:hAnsi="宋体"/>
        <w:sz w:val="28"/>
      </w:rPr>
      <w:t>- 1 -</w:t>
    </w:r>
    <w:r>
      <w:rPr>
        <w:rFonts w:hint="eastAsia" w:ascii="宋体" w:hAnsi="宋体"/>
        <w:sz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revisionView w:markup="0"/>
  <w:documentProtection w:edit="readOnly" w:enforcement="1" w:cryptProviderType="rsaFull" w:cryptAlgorithmClass="hash" w:cryptAlgorithmType="typeAny" w:cryptAlgorithmSid="4" w:cryptSpinCount="0" w:hash="qc02D4Wu07EFbabGjjgfmXgnHfo=" w:salt="meEQbYTo4X58rnZsYa56n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7C7AB"/>
    <w:rsid w:val="3FFF62C3"/>
    <w:rsid w:val="45EE2B91"/>
    <w:rsid w:val="55FF8890"/>
    <w:rsid w:val="677ED293"/>
    <w:rsid w:val="6FEFBD54"/>
    <w:rsid w:val="75F7682F"/>
    <w:rsid w:val="7F19A2D4"/>
    <w:rsid w:val="EBFFDBD8"/>
    <w:rsid w:val="F9BF61AF"/>
    <w:rsid w:val="FD7D27CF"/>
    <w:rsid w:val="FEF7C7AB"/>
    <w:rsid w:val="FFBC250E"/>
    <w:rsid w:val="FFF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740</Characters>
  <Lines>0</Lines>
  <Paragraphs>0</Paragraphs>
  <TotalTime>1</TotalTime>
  <ScaleCrop>false</ScaleCrop>
  <LinksUpToDate>false</LinksUpToDate>
  <CharactersWithSpaces>759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2022-04-21T00:25:00Z</dcterms:created>
  <dc:creator>夏兰：主办人清稿</dc:creator>
  <cp:lastModifiedBy>夏兰</cp:lastModifiedBy>
  <cp:lastPrinted>2022-04-28T18:10:00Z</cp:lastPrinted>
  <dcterms:modified xsi:type="dcterms:W3CDTF">2022-05-06T13:47:46Z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