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zC+1ktYAAAAIAQAADwAAAAAAAAABACAAAAA4AAAAZHJzL2Rvd25yZXYueG1s&#10;UEsBAhQAFAAAAAgAh07iQBHrGhfkAQAAqgMAAA4AAAAAAAAAAQAgAAAAOwEAAGRycy9lMm9Eb2Mu&#10;eG1sUEsFBgAAAAAGAAYAWQEAAJE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Lines="0" w:afterLines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关于对广东星徽精密制造股份有限公司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责令改正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措施的决定</w:t>
      </w:r>
    </w:p>
    <w:p>
      <w:pPr>
        <w:adjustRightInd w:val="0"/>
        <w:snapToGrid w:val="0"/>
        <w:spacing w:beforeLines="0" w:afterLines="0" w:line="24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spacing w:beforeLines="0" w:afterLines="0" w:line="336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广东星徽精密制造股份有限公司：</w:t>
      </w:r>
    </w:p>
    <w:p>
      <w:pPr>
        <w:adjustRightInd w:val="0"/>
        <w:snapToGrid w:val="0"/>
        <w:spacing w:beforeLines="0" w:afterLines="0" w:line="336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经查，你公司存在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以下信息披露违规行为：</w:t>
      </w:r>
    </w:p>
    <w:p>
      <w:pPr>
        <w:adjustRightInd w:val="0"/>
        <w:snapToGrid w:val="0"/>
        <w:spacing w:beforeLines="0" w:afterLines="0" w:line="336" w:lineRule="auto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一、或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有事项披露不完整。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2021年4月27日，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你公司披露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Sunvalley E-commerce (HK) Limite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向法院提请诉讼，请求法院判令你公司向其支付股权转让现金对价5,311.9万元及逾期付款违约金，相关费用合计为7,287.15万元。截至2021年6月末，该案尚未开庭审理,属于应在定期报告中披露的重要或有事项。你公司未在2021年半年报中披露相关或有事项，违反了《上市公司信息披露管理办法》（证监会令第182号）第三条、第十五条等相关规定。</w:t>
      </w:r>
    </w:p>
    <w:p>
      <w:pPr>
        <w:snapToGrid w:val="0"/>
        <w:spacing w:beforeLines="0" w:afterLines="0" w:line="336" w:lineRule="auto"/>
        <w:ind w:firstLine="641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二、2021年半年报财务数据存在错报。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你公司2021年半年报披露，截至2021年6月末，你公司合并财务报表中“期末现金及现金等价物余额”以及货币资金项目中“因抵押、质押或冻结等对使用有限制的款项总额”分别为35,205.86万元、14,490.21万元。经查，相关财务数据实际应为27,903.82万元、11,982.46万元，错报金额分别为7,302.04万元、2,507.75万元。你公司2021年半年报相关财务数据披露不准确，违反了《上市公司信息披露管理办法》（证监会令第182号）第三条等相关规定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36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三、合并范围披露不完整。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2019年11月22日，你公司控股子公司深圳市泽宝创新技术有限公司（以下简称泽宝技术）与CELLECTIONS CORP(以下简称CELLECTIONS公司)原实际控制人董柏辰签署《股份置换协议》，约定在不进行工商变更的情况下，将CELLECTIONS公司全部权益转归泽宝技术所有。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你公司在实际控制CELLECTIONS公司的情况下，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未将CELLECTIONS公司纳入合并范围并在2020年年报中进行披露，违反了《上市公司信息披露管理办法》（证监会令第40号）第二条等相关规定。</w:t>
      </w:r>
    </w:p>
    <w:p>
      <w:pPr>
        <w:snapToGrid w:val="0"/>
        <w:spacing w:beforeLines="0" w:afterLines="0" w:line="336" w:lineRule="auto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《上市公司信息披露管理办法》（证监会令第40号）第五十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《上市公司信息披露管理办法》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（证监会令第182号）第五十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规定，我局决定对你公司采取责令改正的行政监管措施。你公司应高度重视上述问题，采取有效措施切实整改，依法真实、准确、完整、及时、公平地履行信息披露义务；同时你公司应对相关责任人进行内部问责，于收到本决定书30日内向我局报送整改报告、内部问责情况，并抄报深圳证券交易所。</w:t>
      </w:r>
    </w:p>
    <w:p>
      <w:pPr>
        <w:adjustRightInd w:val="0"/>
        <w:snapToGrid w:val="0"/>
        <w:spacing w:before="0" w:beforeLines="0" w:after="0" w:afterLines="0" w:line="336" w:lineRule="auto"/>
        <w:ind w:firstLine="640" w:firstLineChars="200"/>
        <w:jc w:val="both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如果</w:t>
      </w:r>
      <w:r>
        <w:rPr>
          <w:rFonts w:hint="eastAsia" w:ascii="仿宋_GB2312" w:hAnsi="仿宋_GB2312" w:eastAsia="仿宋_GB2312"/>
          <w:sz w:val="32"/>
        </w:rPr>
        <w:t>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1191" w:firstLine="0" w:firstLineChars="0"/>
        <w:jc w:val="right"/>
        <w:textAlignment w:val="auto"/>
        <w:outlineLvl w:val="9"/>
        <w:rPr>
          <w:rFonts w:hint="eastAsia" w:ascii="仿宋_GB2312" w:hAnsi="Times New Roman" w:eastAsia="仿宋_GB2312" w:cs="Times New Roman"/>
          <w:spacing w:val="10"/>
          <w:sz w:val="32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default" w:ascii="仿宋_GB2312" w:eastAsia="仿宋_GB2312" w:cs="Times New Roman"/>
          <w:spacing w:val="10"/>
          <w:sz w:val="32"/>
          <w:lang w:val="en" w:eastAsia="zh-CN"/>
        </w:rPr>
        <w:t>4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default" w:ascii="仿宋_GB2312" w:hAnsi="Times New Roman" w:eastAsia="仿宋_GB2312" w:cs="Times New Roman"/>
          <w:spacing w:val="10"/>
          <w:sz w:val="32"/>
          <w:lang w:val="en"/>
        </w:rPr>
        <w:t>2</w:t>
      </w:r>
      <w:r>
        <w:rPr>
          <w:rFonts w:hint="default" w:ascii="仿宋_GB2312" w:hAnsi="Times New Roman" w:eastAsia="仿宋_GB2312" w:cs="Times New Roman"/>
          <w:spacing w:val="10"/>
          <w:sz w:val="32"/>
          <w:lang w:val="en" w:eastAsia="zh-CN"/>
        </w:rPr>
        <w:t>7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spacing w:val="8"/>
          <w:sz w:val="24"/>
          <w:szCs w:val="24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317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证监会上市部，法律部；深圳证券交易所</w:t>
      </w:r>
      <w:r>
        <w:rPr>
          <w:rFonts w:hint="eastAsia" w:ascii="仿宋_GB2312" w:eastAsia="仿宋_GB2312"/>
          <w:spacing w:val="8"/>
          <w:sz w:val="28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29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 w:line="240" w:lineRule="auto"/>
        <w:rPr>
          <w:sz w:val="2"/>
          <w:szCs w:val="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revisionView w:markup="0"/>
  <w:documentProtection w:edit="readOnly" w:enforcement="1" w:cryptProviderType="rsaFull" w:cryptAlgorithmClass="hash" w:cryptAlgorithmType="typeAny" w:cryptAlgorithmSid="4" w:cryptSpinCount="0" w:hash="AmC01Q87avYYJtpHXLTDbJa9wg4=" w:salt="jA5jYKpWX5Pr0P+kCYgE+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7056C"/>
    <w:rsid w:val="3F7FB0BF"/>
    <w:rsid w:val="3FFFDBB5"/>
    <w:rsid w:val="4FA767D9"/>
    <w:rsid w:val="55FEBB8D"/>
    <w:rsid w:val="73DAF9B8"/>
    <w:rsid w:val="797E4232"/>
    <w:rsid w:val="7AC54F67"/>
    <w:rsid w:val="7AF9CD8E"/>
    <w:rsid w:val="7F5BBBDE"/>
    <w:rsid w:val="7F6F9020"/>
    <w:rsid w:val="ADFFF6D6"/>
    <w:rsid w:val="BF7B761C"/>
    <w:rsid w:val="DDF20765"/>
    <w:rsid w:val="EBD793F8"/>
    <w:rsid w:val="ED6F6371"/>
    <w:rsid w:val="EFF98193"/>
    <w:rsid w:val="F7C56D27"/>
    <w:rsid w:val="F7FF1533"/>
    <w:rsid w:val="FDFF797D"/>
    <w:rsid w:val="FF7BC540"/>
    <w:rsid w:val="FFC7056C"/>
    <w:rsid w:val="FFD3D802"/>
    <w:rsid w:val="FF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2022-04-28T10:56:00Z</dcterms:created>
  <dc:creator>公司监管三处临时*</dc:creator>
  <cp:lastModifiedBy>公司监管三处临时*</cp:lastModifiedBy>
  <dcterms:modified xsi:type="dcterms:W3CDTF">2022-05-06T09:22:17Z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