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default" w:ascii="仿宋_GB2312" w:eastAsia="仿宋_GB2312" w:cs="Times New Roman"/>
          <w:color w:val="000000"/>
          <w:spacing w:val="12"/>
          <w:sz w:val="28"/>
          <w:lang w:val="en" w:eastAsia="zh-CN"/>
        </w:rPr>
        <w:t>1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30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pict>
          <v:line id="直接连接符 1" o:spid="_x0000_s2050" o:spt="20" style="position:absolute;left:0pt;margin-left:6.35pt;margin-top:10.15pt;height:0.05pt;width:437.15pt;z-index:251658240;mso-width-relative:page;mso-height-relative:page;" filled="f" stroked="t" coordsize="21600,21600" o:gfxdata="UEsDBAoAAAAAAIdO4kAAAAAAAAAAAAAAAAAEAAAAZHJzL1BLAwQUAAAACACHTuJAzC+1ktYAAAAI&#10;AQAADwAAAGRycy9kb3ducmV2LnhtbE2PwU7DMBBE70j8g7VI3KjdUJEQ4lQICU5waCkHbk68xIHY&#10;jmw3CX/P9kSPszOafVNtFzuwCUPsvZOwXglg6Fqve9dJOLw/3xTAYlJOq8E7lPCLEbb15UWlSu1n&#10;t8NpnzpGJS6WSoJJaSw5j61Bq+LKj+jI+/LBqkQydFwHNVO5HXgmxB23qnf0wagRnwy2P/ujlbB5&#10;/WjGOZjPw+5lye9xmae370cpr6/W4gFYwiX9h+GET+hQE1Pjj05HNpDOckpKyMQtMPKLIqdtzemw&#10;AV5X/HxA/QdQSwMEFAAAAAgAh07iQBPxIlTcAQAAmQMAAA4AAABkcnMvZTJvRG9jLnhtbK1TzY7T&#10;MBC+I/EOlu80aVGWVdR0D5RyQbDSwgNMbSex5D95vE37ErwAEjc4ceTO27A8BmO3dPm5IEQOk7H9&#10;+ct830yWV3tr2E5F1N51fD6rOVNOeKnd0PE3rzePLjnDBE6C8U51/KCQX60ePlhOoVULP3ojVWRE&#10;4rCdQsfHlEJbVShGZQFnPihHh72PFhIt41DJCBOxW1Mt6vqimnyUIXqhEGl3fTzkq8Lf90qkV32P&#10;KjHTcaotlRhL3OZYrZbQDhHCqMWpDPiHKixoRx89U60hAbuN+g8qq0X06Ps0E95Wvu+1UEUDqZnX&#10;v6m5GSGoooXMwXC2Cf8frXi5u45MS+odZw4steju3eevbz98+/Ke4t2nj2yeTZoCtoS9CdfxtEJK&#10;s+J9H21+kxa2L8YezsaqfWKCNpummV/WDWeCzi4eN5mxur8aIqbnyluWk44b7bJqaGH3AtMR+gOS&#10;t41jE9W7eFJTRwXQ1PQGEqU2kA50Q7mM3mi50cbkKxiH7VMT2Q5oDjabmp5TDb/A8lfWgOMRV44y&#10;DNpRgXzmJEuHQA45GmWea7BKcmYUTX7OCjKBNn+DJPnGkQvZ2KOVOdt6eaB+3Iaoh5GsKN4XDPW/&#10;eHaa1TxgP68L0/0ftf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C+1ktYAAAAIAQAADwAAAAAA&#10;AAABACAAAAAiAAAAZHJzL2Rvd25yZXYueG1sUEsBAhQAFAAAAAgAh07iQBPxIlTcAQAAmQMAAA4A&#10;AAAAAAAAAQAgAAAAJQEAAGRycy9lMm9Eb2MueG1sUEsFBgAAAAAGAAYAWQEAAHMFAAAAAA==&#10;">
            <v:path arrowok="t"/>
            <v:fill on="f" focussize="0,0"/>
            <v:stroke weight="1pt" color="#FF0000"/>
            <v:imagedata o:title=""/>
            <o:lock v:ext="edit" grouping="f" rotation="f" text="f" aspectratio="f"/>
          </v:line>
        </w:pic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0"/>
          <w:right w:val="none" w:color="auto" w:sz="0" w:space="4"/>
        </w:pBdr>
        <w:tabs>
          <w:tab w:val="left" w:pos="420"/>
        </w:tabs>
        <w:snapToGrid w:val="0"/>
        <w:spacing w:line="300" w:lineRule="auto"/>
        <w:jc w:val="both"/>
        <w:outlineLvl w:val="9"/>
        <w:rPr>
          <w:rFonts w:ascii="仿宋_GB2312" w:hAnsi="Times New Roman" w:eastAsia="仿宋_GB2312" w:cs="Times New Roman"/>
          <w:color w:val="000000"/>
          <w:spacing w:val="12"/>
          <w:kern w:val="2"/>
          <w:sz w:val="28"/>
          <w:szCs w:val="28"/>
          <w:lang w:val="en-US" w:eastAsia="zh-CN" w:bidi="ar-SA"/>
        </w:rPr>
      </w:pPr>
      <w:bookmarkStart w:id="0" w:name="quanwen"/>
    </w:p>
    <w:p>
      <w:pPr>
        <w:widowControl w:val="0"/>
        <w:adjustRightInd w:val="0"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lang w:eastAsia="zh-CN"/>
        </w:rPr>
        <w:t>广东奥马电器股份有限公司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22"/>
          <w:lang w:eastAsia="zh-CN"/>
        </w:rPr>
        <w:t>采</w:t>
      </w: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highlight w:val="none"/>
        </w:rPr>
        <w:t>取</w:t>
      </w:r>
    </w:p>
    <w:p>
      <w:pPr>
        <w:widowControl w:val="0"/>
        <w:adjustRightInd w:val="0"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highlight w:val="none"/>
          <w:lang w:eastAsia="zh-CN"/>
        </w:rPr>
        <w:t>责令改正</w:t>
      </w: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highlight w:val="none"/>
        </w:rPr>
        <w:t>措施的决定</w:t>
      </w:r>
    </w:p>
    <w:p>
      <w:pPr>
        <w:snapToGrid w:val="0"/>
        <w:spacing w:beforeLines="0" w:afterLines="0" w:line="240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snapToGrid w:val="0"/>
        <w:spacing w:line="336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广东奥马电器股份有限公司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napToGrid w:val="0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，你公司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snapToGrid w:val="0"/>
        <w:spacing w:line="336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一、对外担保未履行审批程序及信息披露义务</w:t>
      </w:r>
    </w:p>
    <w:p>
      <w:pPr>
        <w:numPr>
          <w:ilvl w:val="0"/>
          <w:numId w:val="0"/>
        </w:numPr>
        <w:snapToGrid w:val="0"/>
        <w:spacing w:line="336" w:lineRule="auto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2020年8月至10月，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你公司子公司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西藏网金创新投资有限公司及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汇通恒丰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以下简称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汇通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）以银行定期存单分别为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张家港保税区明科国际贸易有限公司、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镇江中能恒兴国际贸易有限公司提供质押担保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4笔，担保金额合计10.45亿元。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2017年9月21日、2018年2月1日，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福州钱包好车电子商务有限公司（</w:t>
      </w:r>
      <w:r>
        <w:rPr>
          <w:rFonts w:hint="eastAsia" w:ascii="仿宋_GB2312" w:hAnsi="仿宋_GB2312" w:eastAsia="仿宋_GB2312" w:cs="仿宋_GB2312"/>
          <w:sz w:val="32"/>
          <w:szCs w:val="32"/>
        </w:rPr>
        <w:t>时为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你公司控股孙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称钱包好车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与郑州银行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股份有限公司签订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两份《差额补足协议》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钱包好车与郑州银行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签订的两份《个人小额贷款业务合作协议》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承担差额补足责任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月2日，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山西智源融汇科技有限公司（</w:t>
      </w:r>
      <w:r>
        <w:rPr>
          <w:rFonts w:hint="eastAsia" w:ascii="仿宋_GB2312" w:hAnsi="仿宋_GB2312" w:eastAsia="仿宋_GB2312" w:cs="仿宋_GB2312"/>
          <w:sz w:val="32"/>
          <w:szCs w:val="32"/>
        </w:rPr>
        <w:t>时为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你公司控股孙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，以下简称智源融汇</w:t>
      </w:r>
      <w:r>
        <w:rPr>
          <w:rFonts w:hint="eastAsia" w:ascii="仿宋_GB2312" w:hAnsi="仿宋_GB2312" w:eastAsia="仿宋_GB2312" w:cs="仿宋_GB2312"/>
          <w:sz w:val="32"/>
          <w:szCs w:val="32"/>
        </w:rPr>
        <w:t>）与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长治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股份有限公司签订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《差额补足协议》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，为智源融汇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长治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签订的《个人信用贷款业务合作协议》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承担差额补足责任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你公司对上述对外担保事项未履行审批程序和披露义务，相关定期报告披露的信息不准确，违反了《上市公司信息披露管理办法》（证监会令第40号）第二条、第二十一条、第三十条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szCs w:val="22"/>
          <w:lang w:val="en-US" w:eastAsia="zh-CN"/>
        </w:rPr>
        <w:t>以及《关于规范上市公司对外担保行为的通知》（证监发</w:t>
      </w:r>
      <w:r>
        <w:rPr>
          <w:rFonts w:hint="eastAsia" w:ascii="仿宋_GB2312" w:hAnsi="仿宋_GB2312" w:eastAsia="仿宋_GB2312"/>
          <w:spacing w:val="0"/>
          <w:kern w:val="0"/>
          <w:sz w:val="32"/>
        </w:rPr>
        <w:t>〔</w:t>
      </w:r>
      <w:r>
        <w:rPr>
          <w:rFonts w:hint="eastAsia" w:ascii="仿宋_GB2312" w:hAnsi="仿宋_GB2312" w:eastAsia="仿宋_GB2312"/>
          <w:spacing w:val="0"/>
          <w:kern w:val="0"/>
          <w:sz w:val="32"/>
          <w:lang w:val="en-US" w:eastAsia="zh-CN"/>
        </w:rPr>
        <w:t>2005</w:t>
      </w:r>
      <w:r>
        <w:rPr>
          <w:rFonts w:hint="eastAsia" w:ascii="仿宋_GB2312" w:hAnsi="仿宋_GB2312" w:eastAsia="仿宋_GB2312"/>
          <w:spacing w:val="0"/>
          <w:kern w:val="0"/>
          <w:sz w:val="32"/>
        </w:rPr>
        <w:t>〕12</w:t>
      </w:r>
      <w:r>
        <w:rPr>
          <w:rFonts w:hint="eastAsia" w:ascii="仿宋_GB2312" w:hAnsi="仿宋_GB2312" w:eastAsia="仿宋_GB2312"/>
          <w:spacing w:val="0"/>
          <w:kern w:val="0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pacing w:val="0"/>
          <w:kern w:val="0"/>
          <w:sz w:val="32"/>
        </w:rPr>
        <w:t>号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szCs w:val="22"/>
          <w:lang w:val="en-US" w:eastAsia="zh-CN"/>
        </w:rPr>
        <w:t>）第一条等规定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napToGrid w:val="0"/>
        <w:spacing w:line="336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二、2020年年报披露的相关财务数据不准确</w:t>
      </w:r>
    </w:p>
    <w:p>
      <w:pPr>
        <w:numPr>
          <w:ilvl w:val="0"/>
          <w:numId w:val="0"/>
        </w:numPr>
        <w:snapToGrid w:val="0"/>
        <w:spacing w:line="336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你公司在2020年年报中确认，子公司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汇通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2020年8月</w:t>
      </w:r>
      <w:r>
        <w:rPr>
          <w:rFonts w:hint="eastAsia" w:ascii="仿宋_GB2312" w:hAnsi="仿宋_GB2312" w:eastAsia="仿宋_GB2312" w:cs="仿宋_GB2312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福州中凯融资租赁有限公司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保理业务应收账款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1.45亿元，并于2020年10月收回对原公司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子公司中融金（北京）科技有限公司（已于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2019年12月转让给原实际控制人赵国栋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）及其子公司全部应收款项，相应减少了账面应收账款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经查，山西汇通收到的上述款项大都</w:t>
      </w:r>
      <w:r>
        <w:rPr>
          <w:rFonts w:hint="eastAsia" w:ascii="仿宋_GB2312" w:hAnsi="仿宋_GB2312" w:eastAsia="仿宋_GB2312" w:cs="仿宋_GB2312"/>
          <w:sz w:val="32"/>
          <w:szCs w:val="32"/>
        </w:rPr>
        <w:t>来源于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你公司对外</w:t>
      </w:r>
      <w:r>
        <w:rPr>
          <w:rFonts w:hint="eastAsia" w:ascii="仿宋_GB2312" w:hAnsi="仿宋_GB2312" w:eastAsia="仿宋_GB2312" w:cs="仿宋_GB2312"/>
          <w:sz w:val="32"/>
          <w:szCs w:val="32"/>
        </w:rPr>
        <w:t>借款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，相关应收款项实际均未收回。上述事项导致你公司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2020年年报披露的相关财务信息不准确，2020年10月21日发布的《关于出售全资子公司股权暨关联交易的进展公告》披露的相关信息也不准确，违反了《上市公司信息披露管理办法》（证监会令第40号）第二条、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第二十一条、第三十条和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《企业会计准则——基本准则》第十二条等规定。</w:t>
      </w:r>
    </w:p>
    <w:p>
      <w:pPr>
        <w:snapToGrid w:val="0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根据《上市公司信息披露管理办法》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（证监会令第40号）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第五十九条的规定，</w:t>
      </w:r>
      <w:r>
        <w:rPr>
          <w:rFonts w:hint="eastAsia" w:ascii="仿宋_GB2312" w:hAnsi="仿宋_GB2312" w:eastAsia="仿宋_GB2312" w:cs="仿宋_GB2312"/>
          <w:kern w:val="0"/>
          <w:sz w:val="32"/>
        </w:rPr>
        <w:t>我局决定对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kern w:val="0"/>
          <w:sz w:val="32"/>
        </w:rPr>
        <w:t>采取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责令改正</w:t>
      </w:r>
      <w:r>
        <w:rPr>
          <w:rFonts w:hint="eastAsia" w:ascii="仿宋_GB2312" w:hAnsi="仿宋_GB2312" w:eastAsia="仿宋_GB2312" w:cs="仿宋_GB2312"/>
          <w:kern w:val="0"/>
          <w:sz w:val="32"/>
        </w:rPr>
        <w:t>的行政监管措施。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应高度重视上述问题，采取有效措施切实整改，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依法真实、准确、完整、及时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、公平</w:t>
      </w:r>
      <w:r>
        <w:rPr>
          <w:rFonts w:hint="eastAsia" w:ascii="仿宋_GB2312" w:hAnsi="仿宋_GB2312" w:eastAsia="仿宋_GB2312" w:cs="仿宋_GB2312"/>
          <w:sz w:val="32"/>
          <w:szCs w:val="32"/>
        </w:rPr>
        <w:t>地履行信息披露义务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，同时公司应对相关责任人员进行内部问责，于收到本决定书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30日内向我局报送整改报告、内部问责情况，并抄报深圳证券交易所。</w:t>
      </w:r>
    </w:p>
    <w:p>
      <w:pPr>
        <w:snapToGrid w:val="0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。</w:t>
      </w:r>
    </w:p>
    <w:p>
      <w:pPr>
        <w:adjustRightInd w:val="0"/>
        <w:snapToGrid w:val="0"/>
        <w:spacing w:before="0" w:beforeLines="0" w:beforeAutospacing="0" w:after="0" w:afterLines="0" w:afterAutospacing="0" w:line="336" w:lineRule="auto"/>
        <w:ind w:firstLine="592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28"/>
          <w:szCs w:val="28"/>
          <w:lang w:val="en-US" w:eastAsia="zh-CN"/>
        </w:rPr>
      </w:pPr>
    </w:p>
    <w:p>
      <w:pPr>
        <w:adjustRightInd w:val="0"/>
        <w:snapToGrid w:val="0"/>
        <w:spacing w:before="0" w:beforeLines="0" w:beforeAutospacing="0" w:after="0" w:afterLines="0" w:afterAutospacing="0" w:line="336" w:lineRule="auto"/>
        <w:ind w:firstLine="592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28"/>
          <w:szCs w:val="28"/>
          <w:lang w:val="en-US" w:eastAsia="zh-CN"/>
        </w:rPr>
      </w:pPr>
    </w:p>
    <w:p>
      <w:pPr>
        <w:adjustRightInd w:val="0"/>
        <w:snapToGrid w:val="0"/>
        <w:spacing w:before="0" w:beforeLines="0" w:beforeAutospacing="0" w:after="0" w:afterLines="0" w:afterAutospacing="0" w:line="336" w:lineRule="auto"/>
        <w:ind w:firstLine="592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广东证监局</w:t>
      </w:r>
    </w:p>
    <w:p>
      <w:pPr>
        <w:widowControl/>
        <w:adjustRightInd w:val="0"/>
        <w:snapToGrid w:val="0"/>
        <w:spacing w:line="360" w:lineRule="auto"/>
        <w:ind w:right="1077"/>
        <w:jc w:val="right"/>
        <w:outlineLvl w:val="9"/>
        <w:rPr>
          <w:rFonts w:hint="eastAsia" w:ascii="仿宋_GB2312" w:eastAsia="仿宋_GB2312"/>
          <w:color w:val="000000"/>
          <w:spacing w:val="10"/>
          <w:sz w:val="32"/>
        </w:rPr>
      </w:pPr>
      <w:r>
        <w:rPr>
          <w:rFonts w:hint="eastAsia" w:ascii="仿宋_GB2312" w:eastAsia="仿宋_GB2312"/>
          <w:color w:val="000000"/>
          <w:spacing w:val="10"/>
          <w:sz w:val="32"/>
          <w:lang w:eastAsia="zh-CN"/>
        </w:rPr>
        <w:t>20</w:t>
      </w:r>
      <w:r>
        <w:rPr>
          <w:rFonts w:hint="eastAsia" w:ascii="仿宋_GB2312" w:eastAsia="仿宋_GB2312"/>
          <w:color w:val="000000"/>
          <w:spacing w:val="10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pacing w:val="10"/>
          <w:sz w:val="32"/>
        </w:rPr>
        <w:t>年</w:t>
      </w:r>
      <w:r>
        <w:rPr>
          <w:rFonts w:hint="eastAsia" w:ascii="仿宋_GB2312" w:eastAsia="仿宋_GB2312"/>
          <w:color w:val="000000"/>
          <w:spacing w:val="10"/>
          <w:sz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pacing w:val="10"/>
          <w:sz w:val="32"/>
        </w:rPr>
        <w:t>月</w:t>
      </w:r>
      <w:r>
        <w:rPr>
          <w:rFonts w:hint="eastAsia" w:ascii="仿宋_GB2312" w:eastAsia="仿宋_GB2312"/>
          <w:color w:val="000000"/>
          <w:spacing w:val="10"/>
          <w:sz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pacing w:val="10"/>
          <w:sz w:val="32"/>
        </w:rPr>
        <w:t>日</w:t>
      </w: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hAnsi="Times New Roman" w:eastAsia="黑体" w:cs="Times New Roman"/>
          <w:b w:val="0"/>
          <w:bCs w:val="0"/>
          <w:spacing w:val="8"/>
          <w:sz w:val="24"/>
          <w:szCs w:val="24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6" w:firstLineChars="100"/>
        <w:textAlignment w:val="auto"/>
        <w:rPr>
          <w:rFonts w:ascii="长城仿宋" w:eastAsia="长城仿宋"/>
          <w:sz w:val="28"/>
        </w:rPr>
      </w:pPr>
      <w:r>
        <w:rPr>
          <w:rFonts w:hint="eastAsia" w:ascii="仿宋_GB2312" w:eastAsia="仿宋_GB2312"/>
          <w:spacing w:val="8"/>
          <w:sz w:val="28"/>
        </w:rPr>
        <w:t>抄送：会办公厅，上市部，法律部；深圳证券交易所</w:t>
      </w:r>
      <w:r>
        <w:rPr>
          <w:rFonts w:hint="eastAsia" w:ascii="仿宋_GB2312" w:eastAsia="仿宋_GB2312"/>
          <w:spacing w:val="8"/>
          <w:sz w:val="28"/>
          <w:lang w:eastAsia="zh-CN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spacing w:val="8"/>
          <w:sz w:val="28"/>
          <w:lang w:eastAsia="zh-CN"/>
        </w:rPr>
        <w:t>20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21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11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25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keepNext w:val="0"/>
        <w:keepLines w:val="0"/>
        <w:pageBreakBefore w:val="0"/>
        <w:pBdr>
          <w:top w:val="single" w:color="auto" w:sz="8" w:space="7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firstLine="0"/>
        <w:jc w:val="left"/>
        <w:textAlignment w:val="auto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snapToGrid w:val="0"/>
        <w:spacing w:beforeLines="0" w:afterLines="0"/>
        <w:jc w:val="left"/>
        <w:rPr>
          <w:sz w:val="2"/>
          <w:szCs w:val="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_x0000_s4097" o:spid="_x0000_s4097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documentProtection w:edit="readOnly" w:enforcement="1" w:cryptProviderType="rsaFull" w:cryptAlgorithmClass="hash" w:cryptAlgorithmType="typeAny" w:cryptAlgorithmSid="4" w:cryptSpinCount="0" w:hash="qhu6DLKp8Q9tq1uXhVCBP8/vco0=" w:salt="cx4jrHS5oaMr7e+pla2cX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KGWebUrl" w:val="http://126.53.164.178:8088/GDZJJ/OfficeServer;jsessionid=50098FD5428F5E97D3685186E1291FC3"/>
  </w:docVars>
  <w:rsids>
    <w:rsidRoot w:val="3DFA904D"/>
    <w:rsid w:val="009F31EB"/>
    <w:rsid w:val="044807CF"/>
    <w:rsid w:val="1C2A42DD"/>
    <w:rsid w:val="1F6E1716"/>
    <w:rsid w:val="30785FE6"/>
    <w:rsid w:val="31FB3063"/>
    <w:rsid w:val="34BC793F"/>
    <w:rsid w:val="395F082B"/>
    <w:rsid w:val="3DFA904D"/>
    <w:rsid w:val="46B8709B"/>
    <w:rsid w:val="51500041"/>
    <w:rsid w:val="5FCF425E"/>
    <w:rsid w:val="5FDE3A94"/>
    <w:rsid w:val="67B92F76"/>
    <w:rsid w:val="7B3F67BC"/>
    <w:rsid w:val="7CBB423F"/>
    <w:rsid w:val="7E5F9970"/>
    <w:rsid w:val="7E9DC102"/>
    <w:rsid w:val="B5EF4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2021-11-25T21:05:00Z</dcterms:created>
  <dc:creator>陈嘉明</dc:creator>
  <cp:lastModifiedBy>陈嘉明</cp:lastModifiedBy>
  <dcterms:modified xsi:type="dcterms:W3CDTF">2021-11-26T13:50:50Z</dcterms:modified>
  <dc:title>〔2021〕号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