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300" w:lineRule="auto"/>
        <w:jc w:val="center"/>
        <w:rPr>
          <w:rFonts w:hint="eastAsia" w:ascii="方正小标宋简体" w:hAnsi="方正小标宋简体" w:eastAsia="方正小标宋简体"/>
          <w:color w:val="FF0000"/>
          <w:spacing w:val="12"/>
          <w:w w:val="75"/>
          <w:sz w:val="60"/>
        </w:rPr>
      </w:pPr>
      <w:r>
        <w:rPr>
          <w:rFonts w:hint="eastAsia" w:ascii="方正小标宋简体" w:hAnsi="方正小标宋简体" w:eastAsia="方正小标宋简体"/>
          <w:color w:val="FF0000"/>
          <w:w w:val="75"/>
          <w:sz w:val="60"/>
        </w:rPr>
        <w:t>中国证券监督管理委员会广东监管局</w:t>
      </w:r>
    </w:p>
    <w:p>
      <w:pPr>
        <w:snapToGrid w:val="0"/>
        <w:spacing w:line="300" w:lineRule="auto"/>
        <w:ind w:right="-194"/>
        <w:jc w:val="center"/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</w:pPr>
      <w:r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0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pacing w:val="12"/>
          <w:sz w:val="32"/>
          <w:szCs w:val="32"/>
        </w:rPr>
      </w:pPr>
      <w:bookmarkStart w:id="0" w:name="quanwen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24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pacing w:val="12"/>
          <w:sz w:val="28"/>
        </w:rPr>
      </w:pPr>
      <w:r>
        <w:rPr>
          <w:rFonts w:hint="eastAsia" w:ascii="仿宋_GB2312" w:eastAsia="仿宋_GB2312"/>
          <w:spacing w:val="12"/>
          <w:sz w:val="28"/>
        </w:rPr>
        <w:t>〔20</w:t>
      </w:r>
      <w:r>
        <w:rPr>
          <w:rFonts w:hint="eastAsia" w:ascii="仿宋_GB2312" w:eastAsia="仿宋_GB2312"/>
          <w:spacing w:val="12"/>
          <w:sz w:val="28"/>
          <w:lang w:val="en-US" w:eastAsia="zh-CN"/>
        </w:rPr>
        <w:t>2</w:t>
      </w:r>
      <w:r>
        <w:rPr>
          <w:rFonts w:hint="default" w:ascii="仿宋_GB2312" w:eastAsia="仿宋_GB2312"/>
          <w:spacing w:val="12"/>
          <w:sz w:val="28"/>
          <w:lang w:val="en" w:eastAsia="zh-CN"/>
        </w:rPr>
        <w:t>2</w:t>
      </w:r>
      <w:r>
        <w:rPr>
          <w:rFonts w:hint="eastAsia" w:ascii="仿宋_GB2312" w:eastAsia="仿宋_GB2312"/>
          <w:spacing w:val="12"/>
          <w:sz w:val="28"/>
        </w:rPr>
        <w:t>〕</w:t>
      </w:r>
      <w:r>
        <w:rPr>
          <w:rFonts w:hint="default" w:ascii="仿宋_GB2312" w:eastAsia="仿宋_GB2312"/>
          <w:spacing w:val="12"/>
          <w:sz w:val="28"/>
          <w:lang w:val="en" w:eastAsia="zh-CN"/>
        </w:rPr>
        <w:t>19</w:t>
      </w:r>
      <w:r>
        <w:rPr>
          <w:rFonts w:hint="eastAsia" w:ascii="仿宋_GB2312" w:eastAsia="仿宋_GB2312"/>
          <w:spacing w:val="12"/>
          <w:sz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512" w:firstLineChars="200"/>
        <w:textAlignment w:val="auto"/>
        <w:outlineLvl w:val="9"/>
        <w:rPr>
          <w:rFonts w:hint="eastAsia" w:ascii="仿宋_GB2312" w:eastAsia="仿宋_GB2312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512" w:firstLineChars="200"/>
        <w:textAlignment w:val="auto"/>
        <w:outlineLvl w:val="9"/>
        <w:rPr>
          <w:rFonts w:hint="eastAsia" w:ascii="仿宋_GB2312" w:eastAsia="仿宋_GB2312"/>
          <w:spacing w:val="8"/>
          <w:sz w:val="24"/>
          <w:szCs w:val="24"/>
        </w:rPr>
      </w:pP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当事人：刘某枝，女，19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X年8月出生，住址：广东省清远市佛冈县。</w:t>
      </w: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依据2005年修订、2014年修正的《中华人民共和国证券法》（以下简称2005年《证券法》），2019年修订的《中华人民共和国证券法》（以下简称《证券法》）的有关规定，我局对刘某枝证券从业人员违法买卖证券行为进行了立案调查、审理，并依法向当事人告知了作出行政处罚的事实、理由、依据及当事人依法享有的权利，当事人未提出陈述申辩意见。本案现已调查、审理终结。</w:t>
      </w: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经查明，当事人存在以下违法事实：</w:t>
      </w: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2013年8月至2022年8月，刘某枝在中信建投证券股份有限公司清远清新大道营业部经纪、投资咨询和营销等岗位任职。2017年7月至2020年12月，刘某枝筹集资金并控制、使用“陈某霞”证券账户，违规买卖股票和可转债，合计交易金额461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846.35元，亏损2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132.02元。2019年2月至2022年4月，刘某枝筹集主要资金并控制、使用“冯某梅”证券账户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违规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买卖股票和可转债，合计交易金额5,948,942.13元，亏损33,835.08元。</w:t>
      </w: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上述违法事实，有证券账户资料、银行账户资料、相关人员询问笔录、情况说明等证据证明，足以认定。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348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刘某枝的上述行为违反了2005年《证券法》第四十三条、《证券法》第四十条的规定，构成2005年《证券法》第一百九十九条、《证券法》第一百八十七条所述情形。</w:t>
      </w: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根据当事人违法行为的事实、性质、情节及社会危害程度，并结合违法行为跨越新旧《证券法》适用的特别情形，依据《证券法》第一百八十七条的规定，我局决定：</w:t>
      </w: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责令刘某枝依法处理非法持有的股票和其他具有股权性质的证券，并处以3万元罚款。</w:t>
      </w:r>
    </w:p>
    <w:p>
      <w:pPr>
        <w:numPr>
          <w:ilvl w:val="0"/>
          <w:numId w:val="0"/>
        </w:numPr>
        <w:adjustRightInd/>
        <w:snapToGrid w:val="0"/>
        <w:spacing w:beforeLines="0" w:afterLines="0" w:line="348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当事人应自收到本处罚决定书之日起15日内，将罚款汇交中国证券监督管理委员会开户银行：中信银行北京分行营业部，账号：7111010189800000162，由该行直接上缴国库，并将注有当事人名称的付款凭证复印件送我局备案。当事人如果对本处罚决定不服，可在收到本处罚决定书之日起60日内向中国证券监督管理委员会申请行政复议，也可在收到本处罚决定书之日起6个月内直接向有管辖权的人民法院提起行政诉讼。复议和诉讼期间，上述决定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beforeLines="0" w:afterLines="0" w:line="360" w:lineRule="auto"/>
        <w:ind w:right="1134" w:firstLine="0"/>
        <w:jc w:val="right"/>
        <w:outlineLvl w:val="9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eastAsia" w:ascii="仿宋_GB2312" w:cs="Times New Roman"/>
          <w:spacing w:val="10"/>
          <w:sz w:val="32"/>
          <w:lang w:val="en-US" w:eastAsia="zh-CN"/>
        </w:rPr>
        <w:t>2</w:t>
      </w:r>
      <w:r>
        <w:rPr>
          <w:rFonts w:hint="default" w:ascii="仿宋_GB2312" w:cs="Times New Roman"/>
          <w:spacing w:val="10"/>
          <w:sz w:val="32"/>
          <w:lang w:val="en" w:eastAsia="zh-CN"/>
        </w:rPr>
        <w:t>9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bookmarkEnd w:id="0"/>
    <w:p>
      <w:pPr>
        <w:snapToGrid w:val="0"/>
        <w:spacing w:beforeLines="0" w:afterLines="0"/>
        <w:jc w:val="left"/>
        <w:rPr>
          <w:sz w:val="2"/>
          <w:szCs w:val="2"/>
        </w:rPr>
      </w:pPr>
      <w:bookmarkStart w:id="1" w:name="_GoBack"/>
      <w:bookmarkEnd w:id="1"/>
    </w:p>
    <w:sectPr>
      <w:headerReference r:id="rId3" w:type="first"/>
      <w:footerReference r:id="rId5" w:type="firs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B5DF"/>
    <w:rsid w:val="33EEF4C6"/>
    <w:rsid w:val="7DF746E2"/>
    <w:rsid w:val="7EDB431C"/>
    <w:rsid w:val="DD674F02"/>
    <w:rsid w:val="EBF6F19C"/>
    <w:rsid w:val="FECE00DD"/>
    <w:rsid w:val="FFFA76EF"/>
    <w:rsid w:val="FFFBB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2022-11-30T01:00:00Z</dcterms:created>
  <dc:creator>奚呈</dc:creator>
  <cp:lastModifiedBy>李晓东</cp:lastModifiedBy>
  <dcterms:modified xsi:type="dcterms:W3CDTF">2022-12-01T13:53:42Z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