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line="300" w:lineRule="auto"/>
        <w:jc w:val="center"/>
        <w:rPr>
          <w:rFonts w:hint="eastAsia" w:ascii="方正小标宋简体" w:hAnsi="方正小标宋简体" w:eastAsia="方正小标宋简体"/>
          <w:color w:val="FF0000"/>
          <w:spacing w:val="12"/>
          <w:w w:val="75"/>
          <w:sz w:val="60"/>
        </w:rPr>
      </w:pPr>
      <w:r>
        <w:rPr>
          <w:rFonts w:hint="eastAsia" w:ascii="方正小标宋简体" w:hAnsi="方正小标宋简体" w:eastAsia="方正小标宋简体"/>
          <w:color w:val="FF0000"/>
          <w:w w:val="75"/>
          <w:sz w:val="60"/>
        </w:rPr>
        <w:t>中国证券监督管理委员会广东监管局</w:t>
      </w:r>
    </w:p>
    <w:p>
      <w:pPr>
        <w:snapToGrid w:val="0"/>
        <w:spacing w:line="300" w:lineRule="auto"/>
        <w:ind w:right="-194"/>
        <w:jc w:val="center"/>
        <w:rPr>
          <w:rFonts w:hint="eastAsia" w:ascii="方正小标宋简体" w:hAnsi="方正小标宋简体" w:eastAsia="方正小标宋简体"/>
          <w:snapToGrid w:val="0"/>
          <w:color w:val="FF0000"/>
          <w:spacing w:val="136"/>
          <w:kern w:val="0"/>
          <w:sz w:val="80"/>
        </w:rPr>
      </w:pPr>
      <w:r>
        <w:rPr>
          <w:rFonts w:hint="eastAsia" w:ascii="方正小标宋简体" w:hAnsi="方正小标宋简体" w:eastAsia="方正小标宋简体"/>
          <w:snapToGrid w:val="0"/>
          <w:color w:val="FF0000"/>
          <w:spacing w:val="136"/>
          <w:kern w:val="0"/>
          <w:sz w:val="80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30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pacing w:val="12"/>
          <w:sz w:val="32"/>
          <w:szCs w:val="32"/>
        </w:rPr>
      </w:pPr>
      <w:bookmarkStart w:id="0" w:name="begin"/>
      <w:bookmarkEnd w:id="0"/>
      <w:bookmarkStart w:id="1" w:name="内容"/>
      <w:bookmarkEnd w:id="1"/>
      <w:bookmarkStart w:id="2" w:name="quanwen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324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pacing w:val="12"/>
          <w:sz w:val="28"/>
        </w:rPr>
      </w:pPr>
      <w:r>
        <w:rPr>
          <w:rFonts w:hint="eastAsia" w:ascii="仿宋_GB2312" w:eastAsia="仿宋_GB2312"/>
          <w:spacing w:val="12"/>
          <w:sz w:val="28"/>
        </w:rPr>
        <w:t>〔20</w:t>
      </w:r>
      <w:r>
        <w:rPr>
          <w:rFonts w:hint="eastAsia" w:ascii="仿宋_GB2312" w:eastAsia="仿宋_GB2312"/>
          <w:spacing w:val="12"/>
          <w:sz w:val="28"/>
          <w:lang w:val="en-US" w:eastAsia="zh-CN"/>
        </w:rPr>
        <w:t>2</w:t>
      </w:r>
      <w:r>
        <w:rPr>
          <w:rFonts w:hint="default" w:ascii="仿宋_GB2312" w:eastAsia="仿宋_GB2312"/>
          <w:spacing w:val="12"/>
          <w:sz w:val="28"/>
          <w:lang w:val="en" w:eastAsia="zh-CN"/>
        </w:rPr>
        <w:t>2</w:t>
      </w:r>
      <w:r>
        <w:rPr>
          <w:rFonts w:hint="eastAsia" w:ascii="仿宋_GB2312" w:eastAsia="仿宋_GB2312"/>
          <w:spacing w:val="12"/>
          <w:sz w:val="28"/>
        </w:rPr>
        <w:t>〕</w:t>
      </w:r>
      <w:r>
        <w:rPr>
          <w:rFonts w:hint="default" w:ascii="仿宋_GB2312" w:eastAsia="仿宋_GB2312"/>
          <w:spacing w:val="12"/>
          <w:sz w:val="28"/>
          <w:lang w:val="en" w:eastAsia="zh-CN"/>
        </w:rPr>
        <w:t>1</w:t>
      </w:r>
      <w:r>
        <w:rPr>
          <w:rFonts w:hint="eastAsia" w:ascii="仿宋_GB2312" w:eastAsia="仿宋_GB2312"/>
          <w:spacing w:val="12"/>
          <w:sz w:val="28"/>
          <w:lang w:val="en-US" w:eastAsia="zh-CN"/>
        </w:rPr>
        <w:t>5</w:t>
      </w:r>
      <w:r>
        <w:rPr>
          <w:rFonts w:hint="eastAsia" w:ascii="仿宋_GB2312" w:eastAsia="仿宋_GB2312"/>
          <w:spacing w:val="12"/>
          <w:sz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24" w:lineRule="auto"/>
        <w:ind w:left="0" w:leftChars="0" w:right="0" w:rightChars="0" w:firstLine="512" w:firstLineChars="200"/>
        <w:textAlignment w:val="auto"/>
        <w:outlineLvl w:val="9"/>
        <w:rPr>
          <w:rFonts w:hint="eastAsia" w:ascii="仿宋_GB2312" w:eastAsia="仿宋_GB2312"/>
          <w:spacing w:val="8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24" w:lineRule="auto"/>
        <w:ind w:left="0" w:leftChars="0" w:right="0" w:rightChars="0" w:firstLine="512" w:firstLineChars="200"/>
        <w:textAlignment w:val="auto"/>
        <w:outlineLvl w:val="9"/>
        <w:rPr>
          <w:rFonts w:hint="eastAsia" w:ascii="仿宋_GB2312" w:eastAsia="仿宋_GB2312"/>
          <w:spacing w:val="8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当事人：宜华企业（集团）有限公司（以下简称宜华集团），住所：广东省汕头市澄海区莲下镇大坪工业区。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" w:eastAsia="zh-CN" w:bidi="ar-SA"/>
        </w:rPr>
        <w:t>刘某喜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，男，196X年12月出生，时任宜华集团董事长，住址：广东省汕头市龙湖区。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" w:eastAsia="zh-CN" w:bidi="ar-SA"/>
        </w:rPr>
        <w:t>刘某香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，女，197X年9月出生，时任宜华集团总裁，住址：广东省汕头市龙湖区。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依据2005年修订的《中华人民共和国证券法》（以下简称2005年《证券法》）、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" w:eastAsia="zh-CN" w:bidi="ar-SA"/>
        </w:rPr>
        <w:t>2019年修订的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《中华人民共和国证券法》（以下简称《证券法》）的有关规定，我局对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宜华集团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信息披露违法违规行为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进行了立案调查、审理，并依法向当事人告知了作出行政处罚的事实、理由、依据及当事人依法享有的权利。当事人未要求陈述申辩，也未要求举行听证会。本案现已调查、审理终结。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经查明，有关当事人存在以下违法事实：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宜华集团为上市公司宜华健康医疗股份有限公司（以下简称宜华健康）的控股股东。2019年3月2日，宜华集团与杜某利签订《借款合同》，约定宜华集团向杜某利借款1.5亿元。宜华集团在未经宜华健康董事会、股东大会审议，未告知宜华健康的情况下，在《担保书》上加盖宜华健康及其法定代表人印章，并对外出具，用于为宜华集团的借款提供连带责任保证担保。合同签订后，杜某利向宜华集团提供了1.3亿元资金。因合同履行纠纷，杜某利于2019年9月向北京市第一中级人民法院提起诉讼，要求宜华集团偿还欠款本息，宜华健康对宜华集团未能清偿部分承担连带责任。诉讼过程中，宜华集团未告知宜华健康涉诉事宜，在有关委托手续上加盖了宜华健康印章。2020年12月30日，北京市第一中级人民法院作出一审判决，判令宜华集团偿还杜某利借款本金85,103,449元及逾期利息等费用，利息计至实际付清之日止，宜华健康就宜华集团不能清偿部分的二分之一承担连带赔偿责任。宜华集团提起上诉，2021年12月27日，北京市高级人民法院终审维持一审判决。经统计，截至2020年12月31日，宜华健康按照判决应承担赔偿金额为58,985,113.55元，截至2021年12月31日应承担赔偿金额为69,613,394.10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宜华集团主导并隐瞒上述对外担保、重大诉讼事项，导致宜华健康未按规定在临时报告和2019年、2020年年度报告中进行披露，直至2022年1月、4月才分别在临时报告和2021年年度报告中予以披露。其中，相关担保金额占宜华健康2019年经审计净资产的16.45%，判决赔偿金额占2020年经审计净资产的21.41%。2022年1月，通过协商、宜华集团提供承诺等方式，宜华健康的担保、赔偿责任解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上述违法事实，有相关协议、公司公告、情况说明、询问笔录等证据证明，足以认定。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" w:eastAsia="zh-CN"/>
        </w:rPr>
        <w:t>我局认为，宜华集团主导并隐瞒重大事项，导致宜华健康未及时、未在定期报告中披露对外担保、重大诉讼的行为，构成2005年《证券法》第一百九十三条第三款、《证券法》第一百九十七条所述的违法情形。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" w:eastAsia="zh-CN"/>
        </w:rPr>
        <w:t>刘某喜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" w:eastAsia="zh-CN"/>
        </w:rPr>
        <w:t>作为宜华集团董事长，全面负责宜华集团的经营管理，决策上述事项；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" w:eastAsia="zh-CN"/>
        </w:rPr>
        <w:t>刘某香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" w:eastAsia="zh-CN"/>
        </w:rPr>
        <w:t>作为宜华集团总裁，负责宜华集团的日常经营管理，在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" w:eastAsia="zh-CN"/>
        </w:rPr>
        <w:t>刘某喜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" w:eastAsia="zh-CN"/>
        </w:rPr>
        <w:t>的授意下具体负责和组织安排涉案借款、担保事项，参与涉案重大诉讼，两人系宜华集团信息披露违法违规直接负责的主管人员。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根据当事人违法行为的事实、性质、情节与社会危害程度，并结合违法行为跨越新旧《证券法》适用的特别情形，依据《证券法》第一百九十七条第二款的规定，我局决定：</w:t>
      </w:r>
    </w:p>
    <w:p>
      <w:pPr>
        <w:widowControl w:val="0"/>
        <w:overflowPunct w:val="0"/>
        <w:autoSpaceDN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一、对宜华企业（集团）有限公司处以罚款120万元；</w:t>
      </w:r>
    </w:p>
    <w:p>
      <w:pPr>
        <w:widowControl w:val="0"/>
        <w:overflowPunct w:val="0"/>
        <w:autoSpaceDN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二、对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" w:eastAsia="zh-CN" w:bidi="ar-SA"/>
        </w:rPr>
        <w:t>刘某喜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处以罚款80万元；</w:t>
      </w:r>
    </w:p>
    <w:p>
      <w:pPr>
        <w:widowControl w:val="0"/>
        <w:overflowPunct w:val="0"/>
        <w:autoSpaceDN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三、对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" w:eastAsia="zh-CN" w:bidi="ar-SA"/>
        </w:rPr>
        <w:t>刘某香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处以罚款50万元。</w:t>
      </w:r>
    </w:p>
    <w:p>
      <w:pPr>
        <w:widowControl w:val="0"/>
        <w:overflowPunct w:val="0"/>
        <w:autoSpaceDN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9"/>
        <w:rPr>
          <w:rFonts w:hint="eastAsia" w:ascii="Calibri" w:hAnsi="Calibri" w:eastAsia="宋体" w:cs="Times New Roman"/>
          <w:color w:val="000000"/>
          <w:spacing w:val="0"/>
          <w:kern w:val="0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-SA"/>
        </w:rPr>
        <w:t>当事人应自收到本处罚决定书之日起15日内，将罚款汇交中国证券监督管理委员会，开户银行：中信银行北京分行营业部，账号7111010189800000162，由该行直接上缴国库，并将注有当事人名称的付款凭证复印件送我局备案。当事人如果对本处罚决定不服，可在收到本处罚决定书之日起60日内向中国证券监督管理委员会申请行政复议，也可在收到本处罚决定书之日起6个月内直接向有管辖权的人民法院提起行政诉讼。复议和诉讼期间，上述决定不停止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广东证监局</w:t>
      </w:r>
    </w:p>
    <w:p>
      <w:pPr>
        <w:widowControl/>
        <w:pBdr>
          <w:top w:val="none" w:color="auto" w:sz="0" w:space="0"/>
        </w:pBdr>
        <w:adjustRightInd w:val="0"/>
        <w:snapToGrid w:val="0"/>
        <w:spacing w:beforeLines="0" w:afterLines="0" w:line="360" w:lineRule="auto"/>
        <w:ind w:right="1191"/>
        <w:jc w:val="right"/>
        <w:outlineLvl w:val="9"/>
      </w:pPr>
      <w:r>
        <w:rPr>
          <w:rFonts w:hint="eastAsia" w:ascii="仿宋_GB2312" w:hAnsi="Times New Roman" w:eastAsia="仿宋_GB2312" w:cs="Times New Roman"/>
          <w:spacing w:val="10"/>
          <w:sz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  <w:lang w:val="en-US" w:eastAsia="zh-CN"/>
        </w:rPr>
        <w:t>02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年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月</w:t>
      </w:r>
      <w:r>
        <w:rPr>
          <w:rFonts w:hint="eastAsia" w:ascii="仿宋_GB2312" w:hAnsi="Times New Roman" w:eastAsia="仿宋_GB2312" w:cs="Times New Roman"/>
          <w:spacing w:val="10"/>
          <w:sz w:val="32"/>
          <w:lang w:val="en-US" w:eastAsia="zh-CN"/>
        </w:rPr>
        <w:t>29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日</w:t>
      </w:r>
    </w:p>
    <w:p>
      <w:pPr>
        <w:snapToGrid w:val="0"/>
        <w:spacing w:beforeLines="0" w:afterLines="0" w:line="360" w:lineRule="auto"/>
        <w:ind w:right="28"/>
        <w:jc w:val="left"/>
        <w:rPr>
          <w:rFonts w:hint="eastAsia" w:ascii="黑体" w:eastAsia="黑体"/>
          <w:b w:val="0"/>
          <w:bCs w:val="0"/>
          <w:color w:val="000000"/>
          <w:spacing w:val="8"/>
          <w:sz w:val="32"/>
          <w:szCs w:val="32"/>
        </w:rPr>
      </w:pPr>
    </w:p>
    <w:p>
      <w:pPr>
        <w:snapToGrid w:val="0"/>
        <w:spacing w:beforeLines="0" w:afterLines="0" w:line="360" w:lineRule="auto"/>
        <w:ind w:right="28"/>
        <w:jc w:val="left"/>
        <w:rPr>
          <w:rFonts w:hint="eastAsia" w:ascii="黑体" w:eastAsia="黑体"/>
          <w:color w:val="auto"/>
          <w:spacing w:val="8"/>
          <w:sz w:val="32"/>
          <w:szCs w:val="32"/>
          <w:highlight w:val="none"/>
        </w:rPr>
      </w:pPr>
    </w:p>
    <w:p>
      <w:pPr>
        <w:snapToGrid w:val="0"/>
        <w:spacing w:beforeLines="0" w:afterLines="0" w:line="360" w:lineRule="auto"/>
        <w:ind w:right="28"/>
        <w:jc w:val="left"/>
        <w:rPr>
          <w:rFonts w:hint="eastAsia" w:ascii="黑体" w:eastAsia="黑体"/>
          <w:color w:val="auto"/>
          <w:spacing w:val="8"/>
          <w:sz w:val="32"/>
          <w:szCs w:val="32"/>
          <w:highlight w:val="none"/>
        </w:rPr>
      </w:pPr>
    </w:p>
    <w:bookmarkEnd w:id="2"/>
    <w:p>
      <w:pPr>
        <w:snapToGrid w:val="0"/>
        <w:spacing w:beforeLines="0" w:afterLines="0" w:line="360" w:lineRule="auto"/>
        <w:ind w:right="28"/>
        <w:jc w:val="left"/>
        <w:rPr>
          <w:rFonts w:hint="eastAsia" w:ascii="黑体" w:eastAsia="黑体"/>
          <w:color w:val="auto"/>
          <w:spacing w:val="8"/>
          <w:sz w:val="32"/>
          <w:szCs w:val="32"/>
          <w:highlight w:val="none"/>
        </w:rPr>
      </w:pPr>
      <w:bookmarkStart w:id="3" w:name="_GoBack"/>
      <w:bookmarkEnd w:id="3"/>
    </w:p>
    <w:sectPr>
      <w:footerReference r:id="rId3" w:type="default"/>
      <w:pgSz w:w="11906" w:h="16838"/>
      <w:pgMar w:top="2097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仿宋">
    <w:altName w:val="宋体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195D"/>
    <w:rsid w:val="3FCB47B9"/>
    <w:rsid w:val="6BFF195D"/>
    <w:rsid w:val="FAEF8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next w:val="1"/>
    <w:qFormat/>
    <w:uiPriority w:val="0"/>
    <w:pPr>
      <w:widowControl w:val="0"/>
      <w:spacing w:line="240" w:lineRule="auto"/>
      <w:ind w:firstLine="420"/>
      <w:jc w:val="both"/>
      <w:textAlignment w:val="baseline"/>
    </w:pPr>
    <w:rPr>
      <w:rFonts w:ascii="宋体" w:hAnsi="Calibri" w:eastAsia="宋体" w:cs="Times New Roman"/>
      <w:kern w:val="0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1625</Words>
  <Characters>1780</Characters>
  <Lines>0</Lines>
  <Paragraphs>0</Paragraphs>
  <TotalTime>6</TotalTime>
  <ScaleCrop>false</ScaleCrop>
  <LinksUpToDate>false</LinksUpToDate>
  <CharactersWithSpaces>1799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2022-10-08T22:40:00Z</dcterms:created>
  <dc:creator>邹敏</dc:creator>
  <cp:lastModifiedBy>邹敏</cp:lastModifiedBy>
  <dcterms:modified xsi:type="dcterms:W3CDTF">2022-10-08T16:49:53Z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