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val="0"/>
        <w:spacing w:line="240" w:lineRule="auto"/>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附件3</w:t>
      </w:r>
    </w:p>
    <w:p>
      <w:pPr>
        <w:keepNext w:val="0"/>
        <w:keepLines w:val="0"/>
        <w:pageBreakBefore w:val="0"/>
        <w:kinsoku/>
        <w:wordWrap w:val="0"/>
        <w:overflowPunct/>
        <w:topLinePunct w:val="0"/>
        <w:autoSpaceDE/>
        <w:autoSpaceDN/>
        <w:bidi w:val="0"/>
        <w:adjustRightInd/>
        <w:snapToGrid w:val="0"/>
        <w:spacing w:line="240" w:lineRule="auto"/>
        <w:jc w:val="both"/>
        <w:textAlignment w:val="auto"/>
        <w:outlineLvl w:val="9"/>
        <w:rPr>
          <w:rFonts w:hint="eastAsia" w:ascii="方正小标宋简体" w:hAnsi="方正小标宋简体" w:eastAsia="方正小标宋简体" w:cs="方正小标宋简体"/>
          <w:color w:val="auto"/>
          <w:sz w:val="32"/>
          <w:szCs w:val="32"/>
          <w:lang w:val="en-US" w:eastAsia="zh-CN"/>
        </w:rPr>
      </w:pPr>
    </w:p>
    <w:p>
      <w:pPr>
        <w:keepNext w:val="0"/>
        <w:keepLines w:val="0"/>
        <w:pageBreakBefore w:val="0"/>
        <w:widowControl/>
        <w:kinsoku/>
        <w:overflowPunct/>
        <w:topLinePunct w:val="0"/>
        <w:autoSpaceDE/>
        <w:autoSpaceDN/>
        <w:bidi w:val="0"/>
        <w:adjustRightInd/>
        <w:snapToGrid w:val="0"/>
        <w:spacing w:line="240" w:lineRule="auto"/>
        <w:jc w:val="center"/>
        <w:textAlignment w:val="auto"/>
        <w:outlineLvl w:val="9"/>
        <w:rPr>
          <w:rFonts w:hint="eastAsia" w:ascii="方正小标宋简体" w:hAnsi="方正小标宋简体" w:eastAsia="方正小标宋简体" w:cs="方正小标宋简体"/>
          <w:color w:val="auto"/>
          <w:sz w:val="42"/>
          <w:szCs w:val="42"/>
        </w:rPr>
      </w:pPr>
      <w:r>
        <w:rPr>
          <w:rFonts w:hint="eastAsia" w:ascii="方正小标宋简体" w:hAnsi="方正小标宋简体" w:eastAsia="方正小标宋简体" w:cs="方正小标宋简体"/>
          <w:color w:val="auto"/>
          <w:sz w:val="42"/>
          <w:szCs w:val="42"/>
        </w:rPr>
        <w:t>广州资本市场金融科技创</w:t>
      </w:r>
      <w:bookmarkStart w:id="0" w:name="_GoBack"/>
      <w:bookmarkEnd w:id="0"/>
      <w:r>
        <w:rPr>
          <w:rFonts w:hint="eastAsia" w:ascii="方正小标宋简体" w:hAnsi="方正小标宋简体" w:eastAsia="方正小标宋简体" w:cs="方正小标宋简体"/>
          <w:color w:val="auto"/>
          <w:sz w:val="42"/>
          <w:szCs w:val="42"/>
        </w:rPr>
        <w:t>新试点</w:t>
      </w:r>
    </w:p>
    <w:p>
      <w:pPr>
        <w:keepNext w:val="0"/>
        <w:keepLines w:val="0"/>
        <w:pageBreakBefore w:val="0"/>
        <w:widowControl/>
        <w:kinsoku/>
        <w:overflowPunct/>
        <w:topLinePunct w:val="0"/>
        <w:autoSpaceDE/>
        <w:autoSpaceDN/>
        <w:bidi w:val="0"/>
        <w:adjustRightInd/>
        <w:snapToGrid w:val="0"/>
        <w:spacing w:line="240" w:lineRule="auto"/>
        <w:jc w:val="center"/>
        <w:textAlignment w:val="auto"/>
        <w:outlineLvl w:val="9"/>
        <w:rPr>
          <w:rFonts w:hint="eastAsia" w:ascii="方正小标宋简体" w:hAnsi="方正小标宋简体" w:eastAsia="方正小标宋简体" w:cs="方正小标宋简体"/>
          <w:color w:val="auto"/>
          <w:sz w:val="42"/>
          <w:szCs w:val="42"/>
        </w:rPr>
      </w:pPr>
      <w:r>
        <w:rPr>
          <w:rFonts w:hint="eastAsia" w:ascii="方正小标宋简体" w:hAnsi="方正小标宋简体" w:eastAsia="方正小标宋简体" w:cs="方正小标宋简体"/>
          <w:color w:val="auto"/>
          <w:sz w:val="42"/>
          <w:szCs w:val="42"/>
        </w:rPr>
        <w:t>项目公示表</w:t>
      </w:r>
    </w:p>
    <w:p>
      <w:pPr>
        <w:keepNext w:val="0"/>
        <w:keepLines w:val="0"/>
        <w:pageBreakBefore w:val="0"/>
        <w:kinsoku/>
        <w:wordWrap w:val="0"/>
        <w:overflowPunct/>
        <w:topLinePunct w:val="0"/>
        <w:autoSpaceDE/>
        <w:autoSpaceDN/>
        <w:bidi w:val="0"/>
        <w:adjustRightInd/>
        <w:snapToGrid w:val="0"/>
        <w:spacing w:line="240" w:lineRule="auto"/>
        <w:jc w:val="both"/>
        <w:textAlignment w:val="auto"/>
        <w:outlineLvl w:val="9"/>
        <w:rPr>
          <w:rFonts w:hint="eastAsia" w:ascii="方正小标宋简体" w:hAnsi="方正小标宋简体" w:eastAsia="方正小标宋简体" w:cs="方正小标宋简体"/>
          <w:color w:val="auto"/>
          <w:sz w:val="32"/>
          <w:szCs w:val="32"/>
          <w:lang w:val="en-US" w:eastAsia="zh-CN"/>
        </w:rPr>
      </w:pPr>
    </w:p>
    <w:p>
      <w:pPr>
        <w:jc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 xml:space="preserve">                                         </w:t>
      </w:r>
      <w:r>
        <w:rPr>
          <w:rFonts w:hint="eastAsia" w:ascii="仿宋_GB2312" w:hAnsi="仿宋_GB2312" w:eastAsia="仿宋_GB2312" w:cs="仿宋_GB2312"/>
          <w:color w:val="auto"/>
          <w:sz w:val="22"/>
          <w:szCs w:val="22"/>
        </w:rPr>
        <w:t xml:space="preserve">  </w:t>
      </w:r>
      <w:r>
        <w:rPr>
          <w:rFonts w:hint="eastAsia" w:ascii="仿宋_GB2312" w:hAnsi="仿宋_GB2312" w:eastAsia="仿宋_GB2312" w:cs="仿宋_GB2312"/>
          <w:b/>
          <w:bCs/>
          <w:color w:val="auto"/>
          <w:sz w:val="22"/>
          <w:szCs w:val="22"/>
        </w:rPr>
        <w:t xml:space="preserve">           填报时间：     年  月  日</w:t>
      </w:r>
    </w:p>
    <w:p>
      <w:pPr>
        <w:rPr>
          <w:rFonts w:hint="eastAsia" w:ascii="仿宋_GB2312" w:hAnsi="仿宋_GB2312" w:eastAsia="仿宋_GB2312" w:cs="仿宋_GB2312"/>
          <w:color w:val="auto"/>
          <w:sz w:val="22"/>
          <w:szCs w:val="22"/>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652"/>
        <w:gridCol w:w="2984"/>
        <w:gridCol w:w="179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gridSpan w:val="5"/>
            <w:noWrap w:val="0"/>
            <w:vAlign w:val="center"/>
          </w:tcPr>
          <w:p>
            <w:pPr>
              <w:spacing w:line="360" w:lineRule="exact"/>
              <w:jc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项目信息表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vMerge w:val="restart"/>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一、项目概</w:t>
            </w:r>
            <w:r>
              <w:rPr>
                <w:rFonts w:hint="eastAsia" w:ascii="仿宋_GB2312" w:hAnsi="仿宋_GB2312" w:eastAsia="仿宋_GB2312" w:cs="仿宋_GB2312"/>
                <w:b/>
                <w:color w:val="auto"/>
                <w:sz w:val="22"/>
                <w:szCs w:val="22"/>
                <w:lang w:val="en-US" w:eastAsia="zh-CN"/>
              </w:rPr>
              <w:t>况</w:t>
            </w:r>
          </w:p>
        </w:tc>
        <w:tc>
          <w:tcPr>
            <w:tcW w:w="1652"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1.1项目编号</w:t>
            </w:r>
          </w:p>
        </w:tc>
        <w:tc>
          <w:tcPr>
            <w:tcW w:w="6342" w:type="dxa"/>
            <w:gridSpan w:val="3"/>
            <w:noWrap w:val="0"/>
            <w:vAlign w:val="center"/>
          </w:tcPr>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此处留</w:t>
            </w:r>
            <w:r>
              <w:rPr>
                <w:rFonts w:hint="eastAsia" w:ascii="仿宋_GB2312" w:hAnsi="仿宋_GB2312" w:eastAsia="仿宋_GB2312" w:cs="仿宋_GB2312"/>
                <w:color w:val="auto"/>
                <w:sz w:val="22"/>
                <w:szCs w:val="22"/>
                <w:lang w:val="en-US" w:eastAsia="zh-CN"/>
              </w:rPr>
              <w:t>空</w:t>
            </w:r>
            <w:r>
              <w:rPr>
                <w:rFonts w:hint="eastAsia" w:ascii="仿宋_GB2312" w:hAnsi="仿宋_GB2312" w:eastAsia="仿宋_GB2312" w:cs="仿宋_GB2312"/>
                <w:color w:val="auto"/>
                <w:sz w:val="22"/>
                <w:szCs w:val="22"/>
              </w:rPr>
              <w:t>白，由遴选部门统一编号。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1652"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1.2项目名称</w:t>
            </w:r>
          </w:p>
        </w:tc>
        <w:tc>
          <w:tcPr>
            <w:tcW w:w="6342" w:type="dxa"/>
            <w:gridSpan w:val="3"/>
            <w:noWrap w:val="0"/>
            <w:vAlign w:val="center"/>
          </w:tcPr>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名称中不应包含品牌信息。项目名称原则上不超过20字。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1652"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1.3项目类型</w:t>
            </w:r>
          </w:p>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rPr>
              <w:t>（可多选）</w:t>
            </w:r>
          </w:p>
        </w:tc>
        <w:tc>
          <w:tcPr>
            <w:tcW w:w="6342" w:type="dxa"/>
            <w:gridSpan w:val="3"/>
            <w:noWrap w:val="0"/>
            <w:vAlign w:val="center"/>
          </w:tcPr>
          <w:p>
            <w:pPr>
              <w:spacing w:line="360" w:lineRule="exact"/>
              <w:jc w:val="left"/>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金融服务</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业务辅助</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合规</w:t>
            </w:r>
            <w:r>
              <w:rPr>
                <w:rFonts w:hint="eastAsia" w:ascii="仿宋_GB2312" w:hAnsi="仿宋_GB2312" w:eastAsia="仿宋_GB2312" w:cs="仿宋_GB2312"/>
                <w:color w:val="auto"/>
                <w:sz w:val="22"/>
                <w:szCs w:val="22"/>
                <w:lang w:eastAsia="zh-CN"/>
              </w:rPr>
              <w:t>风控</w:t>
            </w:r>
            <w:r>
              <w:rPr>
                <w:rFonts w:hint="eastAsia" w:ascii="仿宋_GB2312" w:hAnsi="仿宋_GB2312" w:eastAsia="仿宋_GB2312" w:cs="仿宋_GB2312"/>
                <w:color w:val="auto"/>
                <w:sz w:val="22"/>
                <w:szCs w:val="22"/>
                <w:lang w:val="en-US" w:eastAsia="zh-CN"/>
              </w:rPr>
              <w:t xml:space="preserve"> </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监管科技</w:t>
            </w:r>
            <w:r>
              <w:rPr>
                <w:rFonts w:hint="eastAsia" w:ascii="仿宋_GB2312" w:hAnsi="仿宋_GB2312" w:eastAsia="仿宋_GB2312" w:cs="仿宋_GB2312"/>
                <w:color w:val="auto"/>
                <w:sz w:val="22"/>
                <w:szCs w:val="22"/>
                <w:lang w:eastAsia="zh-CN"/>
              </w:rPr>
              <w:t xml:space="preserve"> </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行业平台</w:t>
            </w:r>
            <w:r>
              <w:rPr>
                <w:rFonts w:hint="eastAsia" w:ascii="仿宋_GB2312" w:hAnsi="仿宋_GB2312" w:eastAsia="仿宋_GB2312" w:cs="仿宋_GB2312"/>
                <w:color w:val="auto"/>
                <w:sz w:val="22"/>
                <w:szCs w:val="22"/>
                <w:lang w:val="en-US" w:eastAsia="zh-CN"/>
              </w:rPr>
              <w:t xml:space="preserve">        </w:t>
            </w: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行业基础设施</w:t>
            </w:r>
          </w:p>
          <w:p>
            <w:pPr>
              <w:spacing w:line="360" w:lineRule="exact"/>
              <w:jc w:val="left"/>
              <w:rPr>
                <w:rFonts w:hint="eastAsia" w:ascii="仿宋_GB2312" w:hAnsi="仿宋_GB2312" w:eastAsia="仿宋_GB2312" w:cs="仿宋_GB2312"/>
                <w:color w:val="auto"/>
                <w:sz w:val="22"/>
                <w:szCs w:val="22"/>
                <w:u w:val="single"/>
              </w:rPr>
            </w:pPr>
            <w:r>
              <w:rPr>
                <w:rFonts w:hint="eastAsia" w:ascii="仿宋_GB2312" w:hAnsi="仿宋_GB2312" w:eastAsia="仿宋_GB2312" w:cs="仿宋_GB2312"/>
                <w:b/>
                <w:color w:val="auto"/>
                <w:sz w:val="22"/>
                <w:szCs w:val="22"/>
              </w:rPr>
              <w:sym w:font="Wingdings" w:char="00A8"/>
            </w:r>
            <w:r>
              <w:rPr>
                <w:rFonts w:hint="eastAsia" w:ascii="仿宋_GB2312" w:hAnsi="仿宋_GB2312" w:eastAsia="仿宋_GB2312" w:cs="仿宋_GB2312"/>
                <w:color w:val="auto"/>
                <w:sz w:val="22"/>
                <w:szCs w:val="22"/>
              </w:rPr>
              <w:t>其他(需补充说明):</w:t>
            </w:r>
            <w:r>
              <w:rPr>
                <w:rFonts w:hint="eastAsia" w:ascii="仿宋_GB2312" w:hAnsi="仿宋_GB2312" w:eastAsia="仿宋_GB2312" w:cs="仿宋_GB2312"/>
                <w:color w:val="auto"/>
                <w:sz w:val="22"/>
                <w:szCs w:val="22"/>
                <w:u w:val="single"/>
              </w:rPr>
              <w:t xml:space="preserve">                               </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u w:val="none"/>
                <w:lang w:eastAsia="zh-CN"/>
              </w:rPr>
              <w:t>金融服务</w:t>
            </w:r>
            <w:r>
              <w:rPr>
                <w:rFonts w:hint="eastAsia" w:ascii="仿宋_GB2312" w:hAnsi="仿宋_GB2312" w:eastAsia="仿宋_GB2312" w:cs="仿宋_GB2312"/>
                <w:color w:val="auto"/>
                <w:sz w:val="22"/>
                <w:szCs w:val="22"/>
                <w:u w:val="none"/>
                <w:lang w:val="en-US" w:eastAsia="zh-CN"/>
              </w:rPr>
              <w:t>类</w:t>
            </w:r>
            <w:r>
              <w:rPr>
                <w:rFonts w:hint="eastAsia" w:ascii="仿宋_GB2312" w:hAnsi="仿宋_GB2312" w:eastAsia="仿宋_GB2312" w:cs="仿宋_GB2312"/>
                <w:color w:val="auto"/>
                <w:sz w:val="22"/>
                <w:szCs w:val="22"/>
                <w:u w:val="none"/>
                <w:lang w:eastAsia="zh-CN"/>
              </w:rPr>
              <w:t>指</w:t>
            </w:r>
            <w:r>
              <w:rPr>
                <w:rFonts w:hint="eastAsia" w:ascii="仿宋_GB2312" w:hAnsi="仿宋_GB2312" w:eastAsia="仿宋_GB2312" w:cs="仿宋_GB2312"/>
                <w:color w:val="auto"/>
                <w:sz w:val="22"/>
                <w:szCs w:val="22"/>
                <w:lang w:eastAsia="zh-CN"/>
              </w:rPr>
              <w:t>利用金融科技为客户提供的现代金融服务，如智能开户、智能推荐、智能客服、智能投顾、交易服务等。</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业务辅助</w:t>
            </w:r>
            <w:r>
              <w:rPr>
                <w:rFonts w:hint="eastAsia" w:ascii="仿宋_GB2312" w:hAnsi="仿宋_GB2312" w:eastAsia="仿宋_GB2312" w:cs="仿宋_GB2312"/>
                <w:color w:val="auto"/>
                <w:sz w:val="22"/>
                <w:szCs w:val="22"/>
                <w:lang w:val="en-US" w:eastAsia="zh-CN"/>
              </w:rPr>
              <w:t>类</w:t>
            </w:r>
            <w:r>
              <w:rPr>
                <w:rFonts w:hint="eastAsia" w:ascii="仿宋_GB2312" w:hAnsi="仿宋_GB2312" w:eastAsia="仿宋_GB2312" w:cs="仿宋_GB2312"/>
                <w:color w:val="auto"/>
                <w:sz w:val="22"/>
                <w:szCs w:val="22"/>
                <w:lang w:eastAsia="zh-CN"/>
              </w:rPr>
              <w:t>指在金融服务业务中为机构内部服务、管理人员提供的服务，如智能营销、智能运营、智能投研、智能投资、智能运维等。</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val="en-US" w:eastAsia="zh-CN"/>
              </w:rPr>
              <w:t>合规风控类指运用金融科技</w:t>
            </w:r>
            <w:r>
              <w:rPr>
                <w:rFonts w:hint="eastAsia" w:ascii="仿宋_GB2312" w:hAnsi="仿宋_GB2312" w:eastAsia="仿宋_GB2312" w:cs="仿宋_GB2312"/>
                <w:color w:val="auto"/>
                <w:sz w:val="22"/>
                <w:szCs w:val="22"/>
                <w:lang w:eastAsia="zh-CN"/>
              </w:rPr>
              <w:t>提升</w:t>
            </w:r>
            <w:r>
              <w:rPr>
                <w:rFonts w:hint="eastAsia" w:ascii="仿宋_GB2312" w:hAnsi="仿宋_GB2312" w:eastAsia="仿宋_GB2312" w:cs="仿宋_GB2312"/>
                <w:color w:val="auto"/>
                <w:sz w:val="22"/>
                <w:szCs w:val="22"/>
                <w:lang w:val="en-US" w:eastAsia="zh-CN"/>
              </w:rPr>
              <w:t>内部</w:t>
            </w:r>
            <w:r>
              <w:rPr>
                <w:rFonts w:hint="eastAsia" w:ascii="仿宋_GB2312" w:hAnsi="仿宋_GB2312" w:eastAsia="仿宋_GB2312" w:cs="仿宋_GB2312"/>
                <w:color w:val="auto"/>
                <w:sz w:val="22"/>
                <w:szCs w:val="22"/>
                <w:lang w:eastAsia="zh-CN"/>
              </w:rPr>
              <w:t>合规风控效率、降低合规风控成本的项目，如合规管理、风险控制、权限核查、信用审查等。</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监管科技</w:t>
            </w:r>
            <w:r>
              <w:rPr>
                <w:rFonts w:hint="eastAsia" w:ascii="仿宋_GB2312" w:hAnsi="仿宋_GB2312" w:eastAsia="仿宋_GB2312" w:cs="仿宋_GB2312"/>
                <w:color w:val="auto"/>
                <w:sz w:val="22"/>
                <w:szCs w:val="22"/>
                <w:lang w:val="en-US" w:eastAsia="zh-CN"/>
              </w:rPr>
              <w:t>类</w:t>
            </w:r>
            <w:r>
              <w:rPr>
                <w:rFonts w:hint="eastAsia" w:ascii="仿宋_GB2312" w:hAnsi="仿宋_GB2312" w:eastAsia="仿宋_GB2312" w:cs="仿宋_GB2312"/>
                <w:color w:val="auto"/>
                <w:sz w:val="22"/>
                <w:szCs w:val="22"/>
                <w:lang w:eastAsia="zh-CN"/>
              </w:rPr>
              <w:t>指为监管提供智能化应用和服务，</w:t>
            </w:r>
            <w:r>
              <w:rPr>
                <w:rFonts w:hint="eastAsia" w:ascii="仿宋_GB2312" w:hAnsi="仿宋_GB2312" w:eastAsia="仿宋_GB2312" w:cs="仿宋_GB2312"/>
                <w:color w:val="auto"/>
                <w:sz w:val="22"/>
                <w:szCs w:val="22"/>
                <w:lang w:val="en-US" w:eastAsia="zh-CN"/>
              </w:rPr>
              <w:t>主要用于</w:t>
            </w:r>
            <w:r>
              <w:rPr>
                <w:rFonts w:hint="eastAsia" w:ascii="仿宋_GB2312" w:hAnsi="仿宋_GB2312" w:eastAsia="仿宋_GB2312" w:cs="仿宋_GB2312"/>
                <w:color w:val="auto"/>
                <w:sz w:val="22"/>
                <w:szCs w:val="22"/>
                <w:lang w:eastAsia="zh-CN"/>
              </w:rPr>
              <w:t>强化市场风险的监测和异常交易行为的识别能力，</w:t>
            </w:r>
            <w:r>
              <w:rPr>
                <w:rFonts w:hint="eastAsia" w:ascii="仿宋_GB2312" w:hAnsi="仿宋_GB2312" w:eastAsia="仿宋_GB2312" w:cs="仿宋_GB2312"/>
                <w:color w:val="auto"/>
                <w:sz w:val="22"/>
                <w:szCs w:val="22"/>
                <w:lang w:val="en-US" w:eastAsia="zh-CN"/>
              </w:rPr>
              <w:t>帮助发现各类证券期货违法违规行为。</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行业平台</w:t>
            </w:r>
            <w:r>
              <w:rPr>
                <w:rFonts w:hint="eastAsia" w:ascii="仿宋_GB2312" w:hAnsi="仿宋_GB2312" w:eastAsia="仿宋_GB2312" w:cs="仿宋_GB2312"/>
                <w:color w:val="auto"/>
                <w:sz w:val="22"/>
                <w:szCs w:val="22"/>
                <w:lang w:val="en-US" w:eastAsia="zh-CN"/>
              </w:rPr>
              <w:t>类</w:t>
            </w:r>
            <w:r>
              <w:rPr>
                <w:rFonts w:hint="eastAsia" w:ascii="仿宋_GB2312" w:hAnsi="仿宋_GB2312" w:eastAsia="仿宋_GB2312" w:cs="仿宋_GB2312"/>
                <w:color w:val="auto"/>
                <w:sz w:val="22"/>
                <w:szCs w:val="22"/>
                <w:lang w:eastAsia="zh-CN"/>
              </w:rPr>
              <w:t>指</w:t>
            </w:r>
            <w:r>
              <w:rPr>
                <w:rFonts w:hint="eastAsia" w:ascii="仿宋_GB2312" w:hAnsi="仿宋_GB2312" w:eastAsia="仿宋_GB2312" w:cs="仿宋_GB2312"/>
                <w:color w:val="auto"/>
                <w:sz w:val="22"/>
                <w:szCs w:val="22"/>
                <w:lang w:val="en-US" w:eastAsia="zh-CN"/>
              </w:rPr>
              <w:t>行业共建、共享、共用或具有普遍业务价值的科技应用及服务。</w:t>
            </w:r>
          </w:p>
          <w:p>
            <w:pPr>
              <w:spacing w:line="360" w:lineRule="exact"/>
              <w:jc w:val="left"/>
              <w:rPr>
                <w:rFonts w:hint="eastAsia" w:ascii="仿宋_GB2312" w:hAnsi="仿宋_GB2312" w:eastAsia="仿宋_GB2312" w:cs="仿宋_GB2312"/>
                <w:color w:val="auto"/>
                <w:sz w:val="22"/>
                <w:szCs w:val="22"/>
                <w:u w:val="single"/>
              </w:rPr>
            </w:pPr>
            <w:r>
              <w:rPr>
                <w:rFonts w:hint="eastAsia" w:ascii="仿宋_GB2312" w:hAnsi="仿宋_GB2312" w:eastAsia="仿宋_GB2312" w:cs="仿宋_GB2312"/>
                <w:color w:val="auto"/>
                <w:sz w:val="22"/>
                <w:szCs w:val="22"/>
                <w:lang w:val="en-US" w:eastAsia="zh-CN"/>
              </w:rPr>
              <w:t>行业基础设施类指为行业提供公共服务支撑的重要网络设施、信息系统等。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1652"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1.4项目简介</w:t>
            </w:r>
          </w:p>
        </w:tc>
        <w:tc>
          <w:tcPr>
            <w:tcW w:w="6342" w:type="dxa"/>
            <w:gridSpan w:val="3"/>
            <w:noWrap w:val="0"/>
            <w:vAlign w:val="center"/>
          </w:tcPr>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简明扼要写明项目的应用场景与业务功能、技术应用、数据应用、服务对象、预期效果、创新性、应用价值、试点目的以及其他重要信息。详细可参考二、项目基本信息中相关指引。</w:t>
            </w:r>
            <w:r>
              <w:rPr>
                <w:rFonts w:hint="eastAsia" w:ascii="仿宋_GB2312" w:hAnsi="仿宋_GB2312" w:eastAsia="仿宋_GB2312" w:cs="仿宋_GB2312"/>
                <w:color w:val="auto"/>
                <w:sz w:val="22"/>
                <w:szCs w:val="22"/>
                <w:lang w:val="en-US" w:eastAsia="zh-CN"/>
              </w:rPr>
              <w:t>公示表的</w:t>
            </w:r>
            <w:r>
              <w:rPr>
                <w:rFonts w:hint="eastAsia" w:ascii="仿宋_GB2312" w:hAnsi="仿宋_GB2312" w:eastAsia="仿宋_GB2312" w:cs="仿宋_GB2312"/>
                <w:color w:val="auto"/>
                <w:sz w:val="22"/>
                <w:szCs w:val="22"/>
              </w:rPr>
              <w:t>项目简介原则上不超过</w:t>
            </w:r>
            <w:r>
              <w:rPr>
                <w:rFonts w:hint="eastAsia" w:ascii="仿宋_GB2312" w:hAnsi="仿宋_GB2312" w:eastAsia="仿宋_GB2312" w:cs="仿宋_GB2312"/>
                <w:color w:val="auto"/>
                <w:sz w:val="22"/>
                <w:szCs w:val="22"/>
                <w:lang w:val="en-US" w:eastAsia="zh-CN"/>
              </w:rPr>
              <w:t>4</w:t>
            </w:r>
            <w:r>
              <w:rPr>
                <w:rFonts w:hint="eastAsia" w:ascii="仿宋_GB2312" w:hAnsi="仿宋_GB2312" w:eastAsia="仿宋_GB2312" w:cs="仿宋_GB2312"/>
                <w:color w:val="auto"/>
                <w:sz w:val="22"/>
                <w:szCs w:val="22"/>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1652"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1.5牵头申报单位</w:t>
            </w:r>
          </w:p>
        </w:tc>
        <w:tc>
          <w:tcPr>
            <w:tcW w:w="6342" w:type="dxa"/>
            <w:gridSpan w:val="3"/>
            <w:noWrap w:val="0"/>
            <w:vAlign w:val="center"/>
          </w:tcPr>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应填写申报单位营业执照上的名称，同时注明单位类型。单位类型包括：</w:t>
            </w:r>
            <w:r>
              <w:rPr>
                <w:rFonts w:hint="eastAsia" w:ascii="仿宋_GB2312" w:hAnsi="仿宋_GB2312" w:eastAsia="仿宋_GB2312" w:cs="仿宋_GB2312"/>
                <w:color w:val="auto"/>
                <w:sz w:val="22"/>
              </w:rPr>
              <w:t>市场核心机构</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szCs w:val="22"/>
              </w:rPr>
              <w:t>证券公司、期货公司、基金管理公司、证券期货服务机构、区域性股权市场运营机构、基金托管机构、科技企业、其他等。例如，“xx证券有限公司，证券公司”。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1652"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1.6联合申报单位</w:t>
            </w:r>
          </w:p>
        </w:tc>
        <w:tc>
          <w:tcPr>
            <w:tcW w:w="6342" w:type="dxa"/>
            <w:gridSpan w:val="3"/>
            <w:noWrap w:val="0"/>
            <w:vAlign w:val="center"/>
          </w:tcPr>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填报要求同上，联合申报单位数量超过一家的，应逐行列明，并以在该项目中所承担工作的重要性为序。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1652"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1.7 责任与分工</w:t>
            </w:r>
          </w:p>
        </w:tc>
        <w:tc>
          <w:tcPr>
            <w:tcW w:w="6342" w:type="dxa"/>
            <w:gridSpan w:val="3"/>
            <w:noWrap w:val="0"/>
            <w:vAlign w:val="center"/>
          </w:tcPr>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填写各申报单位在项目中所承担的具体工作职责和职能分工以及贡献成果，由牵头单位开始按各单位再项目中贡献程度逐一填写。</w:t>
            </w:r>
            <w:r>
              <w:rPr>
                <w:rFonts w:hint="eastAsia" w:ascii="仿宋_GB2312" w:hAnsi="仿宋_GB2312" w:eastAsia="仿宋_GB2312" w:cs="仿宋_GB2312"/>
                <w:color w:val="auto"/>
                <w:sz w:val="22"/>
              </w:rPr>
              <w:t>填写试点项目主要参与人员</w:t>
            </w:r>
            <w:r>
              <w:rPr>
                <w:rFonts w:hint="eastAsia" w:ascii="仿宋_GB2312" w:hAnsi="仿宋_GB2312" w:eastAsia="仿宋_GB2312" w:cs="仿宋_GB2312"/>
                <w:color w:val="auto"/>
                <w:sz w:val="22"/>
                <w:lang w:val="en-US" w:eastAsia="zh-CN"/>
              </w:rPr>
              <w:t>的</w:t>
            </w:r>
            <w:r>
              <w:rPr>
                <w:rFonts w:hint="eastAsia" w:ascii="仿宋_GB2312" w:hAnsi="仿宋_GB2312" w:eastAsia="仿宋_GB2312" w:cs="仿宋_GB2312"/>
                <w:color w:val="auto"/>
                <w:sz w:val="22"/>
              </w:rPr>
              <w:t>单位及姓名。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二、项目基本信息</w:t>
            </w:r>
          </w:p>
        </w:tc>
        <w:tc>
          <w:tcPr>
            <w:tcW w:w="7994" w:type="dxa"/>
            <w:gridSpan w:val="4"/>
            <w:noWrap w:val="0"/>
            <w:vAlign w:val="center"/>
          </w:tcPr>
          <w:p>
            <w:pPr>
              <w:spacing w:line="360" w:lineRule="exact"/>
              <w:jc w:val="left"/>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2.1业务功能与服务</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bCs/>
                <w:color w:val="auto"/>
                <w:sz w:val="22"/>
                <w:szCs w:val="22"/>
              </w:rPr>
              <w:t>（1）</w:t>
            </w:r>
            <w:r>
              <w:rPr>
                <w:rFonts w:hint="eastAsia" w:ascii="仿宋_GB2312" w:hAnsi="仿宋_GB2312" w:eastAsia="仿宋_GB2312" w:cs="仿宋_GB2312"/>
                <w:color w:val="auto"/>
                <w:sz w:val="22"/>
                <w:szCs w:val="22"/>
              </w:rPr>
              <w:t>描述试点项目的主要应用场景，提供的主要功能、服务；可从服务主体与用户等多角度展开描述；涉及多项功能服务的，可逐条列明。</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（2）试点项目上线后的预期服务对象，区分内/外部，区分机构/个人；涉及个人投资者的，应详细描述获客渠道、服务方式、适当性要求等。</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（3）试点项目上线后的预期用户数量、资产数额、交易数额等反映业务规模的主要量化指标。</w:t>
            </w:r>
          </w:p>
          <w:p>
            <w:pPr>
              <w:spacing w:line="360" w:lineRule="exact"/>
              <w:jc w:val="left"/>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2.2数据与技术</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（1）描述试点项目使用的数据来源（内/外部数据，公开/私有数据，明确数据主体）、采集方式、使用方法等。</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（2）描述试点项目所使用的新兴技术，详细描述该技术为业务赋能的基本原理，与传统技术方案相比的价值体现。</w:t>
            </w:r>
          </w:p>
          <w:p>
            <w:pPr>
              <w:spacing w:line="360" w:lineRule="exact"/>
              <w:jc w:val="left"/>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2.3 预期效果</w:t>
            </w:r>
            <w:r>
              <w:rPr>
                <w:rFonts w:hint="eastAsia" w:ascii="仿宋_GB2312" w:hAnsi="仿宋_GB2312" w:eastAsia="仿宋_GB2312" w:cs="仿宋_GB2312"/>
                <w:b/>
                <w:bCs/>
                <w:color w:val="auto"/>
                <w:sz w:val="22"/>
                <w:szCs w:val="22"/>
                <w:lang w:eastAsia="zh-CN"/>
              </w:rPr>
              <w:t>与应用价值</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描述试点项目上线后预期在服务实体经济、提升市场效能、强化监管科技</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lang w:eastAsia="zh-CN"/>
              </w:rPr>
              <w:t>保障金融安全</w:t>
            </w:r>
            <w:r>
              <w:rPr>
                <w:rFonts w:hint="eastAsia" w:ascii="仿宋_GB2312" w:hAnsi="仿宋_GB2312" w:eastAsia="仿宋_GB2312" w:cs="仿宋_GB2312"/>
                <w:color w:val="auto"/>
                <w:sz w:val="22"/>
                <w:szCs w:val="22"/>
              </w:rPr>
              <w:t>等方面产生的效果。</w:t>
            </w:r>
            <w:r>
              <w:rPr>
                <w:rFonts w:hint="eastAsia" w:ascii="仿宋_GB2312" w:hAnsi="仿宋_GB2312" w:eastAsia="仿宋_GB2312" w:cs="仿宋_GB2312"/>
                <w:b w:val="0"/>
                <w:bCs w:val="0"/>
                <w:color w:val="auto"/>
                <w:sz w:val="22"/>
                <w:szCs w:val="22"/>
                <w:lang w:eastAsia="zh-CN"/>
              </w:rPr>
              <w:t>说明项目目标的合理性。</w:t>
            </w:r>
          </w:p>
          <w:p>
            <w:pPr>
              <w:spacing w:line="360" w:lineRule="exact"/>
              <w:jc w:val="left"/>
              <w:rPr>
                <w:rFonts w:hint="eastAsia" w:ascii="仿宋_GB2312" w:hAnsi="仿宋_GB2312" w:eastAsia="仿宋_GB2312" w:cs="仿宋_GB2312"/>
                <w:b/>
                <w:color w:val="auto"/>
                <w:sz w:val="22"/>
                <w:szCs w:val="22"/>
              </w:rPr>
            </w:pPr>
            <w:r>
              <w:rPr>
                <w:rFonts w:hint="eastAsia" w:ascii="仿宋_GB2312" w:hAnsi="仿宋_GB2312" w:eastAsia="仿宋_GB2312" w:cs="仿宋_GB2312"/>
                <w:b/>
                <w:bCs/>
                <w:color w:val="auto"/>
                <w:sz w:val="22"/>
                <w:szCs w:val="22"/>
              </w:rPr>
              <w:t>2.4</w:t>
            </w:r>
            <w:r>
              <w:rPr>
                <w:rFonts w:hint="eastAsia" w:ascii="仿宋_GB2312" w:hAnsi="仿宋_GB2312" w:eastAsia="仿宋_GB2312" w:cs="仿宋_GB2312"/>
                <w:b/>
                <w:color w:val="auto"/>
                <w:sz w:val="22"/>
                <w:szCs w:val="22"/>
              </w:rPr>
              <w:t>已获专利、认证或奖项</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color w:val="auto"/>
                <w:sz w:val="22"/>
                <w:szCs w:val="22"/>
              </w:rPr>
              <w:t>逐条填写试点项目所获得的专利、认证</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rPr>
              <w:t>奖项</w:t>
            </w:r>
            <w:r>
              <w:rPr>
                <w:rFonts w:hint="eastAsia" w:ascii="仿宋_GB2312" w:hAnsi="仿宋_GB2312" w:eastAsia="仿宋_GB2312" w:cs="仿宋_GB2312"/>
                <w:color w:val="auto"/>
                <w:sz w:val="22"/>
                <w:lang w:val="en-US" w:eastAsia="zh-CN"/>
              </w:rPr>
              <w:t>或软件著作权</w:t>
            </w:r>
            <w:r>
              <w:rPr>
                <w:rFonts w:hint="eastAsia" w:ascii="仿宋_GB2312" w:hAnsi="仿宋_GB2312" w:eastAsia="仿宋_GB2312" w:cs="仿宋_GB2312"/>
                <w:color w:val="auto"/>
                <w:sz w:val="22"/>
                <w:szCs w:val="22"/>
              </w:rPr>
              <w:t>的名称、时间及颁发单位等主要信息。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066"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三、合规与风险评估</w:t>
            </w:r>
          </w:p>
        </w:tc>
        <w:tc>
          <w:tcPr>
            <w:tcW w:w="7994" w:type="dxa"/>
            <w:gridSpan w:val="4"/>
            <w:noWrap w:val="0"/>
            <w:vAlign w:val="center"/>
          </w:tcPr>
          <w:p>
            <w:pPr>
              <w:spacing w:line="360" w:lineRule="exact"/>
              <w:jc w:val="left"/>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3.1 合规性评估</w:t>
            </w:r>
          </w:p>
          <w:p>
            <w:pPr>
              <w:spacing w:line="360" w:lineRule="exact"/>
              <w:jc w:val="lef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bCs/>
                <w:color w:val="auto"/>
                <w:sz w:val="22"/>
                <w:szCs w:val="22"/>
              </w:rPr>
              <w:t>描述涉及的业务场景是否需要专业机构牌照以及机构持牌情况；</w:t>
            </w:r>
            <w:r>
              <w:rPr>
                <w:rFonts w:hint="eastAsia" w:ascii="仿宋_GB2312" w:hAnsi="仿宋_GB2312" w:eastAsia="仿宋_GB2312" w:cs="仿宋_GB2312"/>
                <w:color w:val="auto"/>
                <w:sz w:val="22"/>
                <w:szCs w:val="22"/>
              </w:rPr>
              <w:t>评估</w:t>
            </w:r>
            <w:r>
              <w:rPr>
                <w:rFonts w:hint="eastAsia" w:ascii="仿宋_GB2312" w:hAnsi="仿宋_GB2312" w:eastAsia="仿宋_GB2312" w:cs="仿宋_GB2312"/>
                <w:bCs/>
                <w:color w:val="auto"/>
                <w:sz w:val="22"/>
                <w:szCs w:val="22"/>
              </w:rPr>
              <w:t>现行法律法规和监管规定下的可行性与潜在风险</w:t>
            </w:r>
            <w:r>
              <w:rPr>
                <w:rFonts w:hint="eastAsia" w:ascii="仿宋_GB2312" w:hAnsi="仿宋_GB2312" w:eastAsia="仿宋_GB2312" w:cs="仿宋_GB2312"/>
                <w:bCs/>
                <w:color w:val="auto"/>
                <w:sz w:val="22"/>
                <w:szCs w:val="22"/>
                <w:lang w:eastAsia="zh-CN"/>
              </w:rPr>
              <w:t>。</w:t>
            </w:r>
          </w:p>
          <w:p>
            <w:pPr>
              <w:spacing w:line="360" w:lineRule="exact"/>
              <w:jc w:val="left"/>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3.2 业务风险评估</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rPr>
              <w:t>简要描述试点项目的业务风险、及对应的监测机制和控制措施。</w:t>
            </w:r>
          </w:p>
          <w:p>
            <w:pPr>
              <w:spacing w:line="360" w:lineRule="exact"/>
              <w:jc w:val="left"/>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3.3 技术风险评估</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color w:val="auto"/>
                <w:sz w:val="22"/>
                <w:szCs w:val="22"/>
              </w:rPr>
              <w:t>简要描述试点项目的技术风险，及对应的监测机制和控制措施。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四、创新性评估</w:t>
            </w:r>
          </w:p>
        </w:tc>
        <w:tc>
          <w:tcPr>
            <w:tcW w:w="7994" w:type="dxa"/>
            <w:gridSpan w:val="4"/>
            <w:noWrap w:val="0"/>
            <w:vAlign w:val="center"/>
          </w:tcPr>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4.1前沿技术创新</w:t>
            </w:r>
          </w:p>
          <w:p>
            <w:pPr>
              <w:spacing w:line="360" w:lineRule="exact"/>
              <w:jc w:val="left"/>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描述试点项目</w:t>
            </w:r>
            <w:r>
              <w:rPr>
                <w:rFonts w:hint="eastAsia" w:ascii="仿宋_GB2312" w:hAnsi="仿宋_GB2312" w:eastAsia="仿宋_GB2312" w:cs="仿宋_GB2312"/>
                <w:color w:val="auto"/>
                <w:sz w:val="22"/>
                <w:lang w:val="en-US" w:eastAsia="zh-CN"/>
              </w:rPr>
              <w:t>运用</w:t>
            </w:r>
            <w:r>
              <w:rPr>
                <w:rFonts w:hint="eastAsia" w:ascii="仿宋_GB2312" w:hAnsi="仿宋_GB2312" w:eastAsia="仿宋_GB2312" w:cs="仿宋_GB2312"/>
                <w:color w:val="auto"/>
                <w:sz w:val="22"/>
              </w:rPr>
              <w:t>大数据、云计算、人工智能、区块链等新一代信息技术赋能情况</w:t>
            </w:r>
            <w:r>
              <w:rPr>
                <w:rFonts w:hint="eastAsia" w:ascii="仿宋_GB2312" w:hAnsi="仿宋_GB2312" w:eastAsia="仿宋_GB2312" w:cs="仿宋_GB2312"/>
                <w:color w:val="auto"/>
                <w:sz w:val="22"/>
                <w:lang w:eastAsia="zh-CN"/>
              </w:rPr>
              <w:t>，</w:t>
            </w:r>
            <w:r>
              <w:rPr>
                <w:rFonts w:hint="eastAsia" w:ascii="仿宋_GB2312" w:hAnsi="仿宋_GB2312" w:eastAsia="仿宋_GB2312" w:cs="仿宋_GB2312"/>
                <w:color w:val="auto"/>
                <w:sz w:val="22"/>
                <w:lang w:val="en-US" w:eastAsia="zh-CN"/>
              </w:rPr>
              <w:t>并阐述项目的领先优势</w:t>
            </w:r>
            <w:r>
              <w:rPr>
                <w:rFonts w:hint="eastAsia" w:ascii="仿宋_GB2312" w:hAnsi="仿宋_GB2312" w:eastAsia="仿宋_GB2312" w:cs="仿宋_GB2312"/>
                <w:color w:val="auto"/>
                <w:sz w:val="22"/>
              </w:rPr>
              <w:t>。</w:t>
            </w:r>
          </w:p>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4.2 创新价值</w:t>
            </w:r>
          </w:p>
          <w:p>
            <w:pPr>
              <w:spacing w:line="360" w:lineRule="exact"/>
              <w:jc w:val="left"/>
              <w:rPr>
                <w:rFonts w:hint="default" w:ascii="仿宋_GB2312" w:hAnsi="仿宋_GB2312" w:eastAsia="仿宋_GB2312" w:cs="仿宋_GB2312"/>
                <w:color w:val="auto"/>
                <w:sz w:val="22"/>
                <w:lang w:val="en-US"/>
              </w:rPr>
            </w:pPr>
            <w:r>
              <w:rPr>
                <w:rFonts w:hint="eastAsia" w:ascii="仿宋_GB2312" w:hAnsi="仿宋_GB2312" w:eastAsia="仿宋_GB2312" w:cs="仿宋_GB2312"/>
                <w:color w:val="auto"/>
                <w:sz w:val="22"/>
              </w:rPr>
              <w:t>描述项目促进资本市场数字化发展的创新意义</w:t>
            </w:r>
            <w:r>
              <w:rPr>
                <w:rFonts w:hint="eastAsia" w:ascii="仿宋_GB2312" w:hAnsi="仿宋_GB2312" w:eastAsia="仿宋_GB2312" w:cs="仿宋_GB2312"/>
                <w:color w:val="auto"/>
                <w:sz w:val="22"/>
                <w:lang w:val="en-US" w:eastAsia="zh-CN"/>
              </w:rPr>
              <w:t>，</w:t>
            </w:r>
            <w:r>
              <w:rPr>
                <w:rFonts w:hint="eastAsia" w:ascii="仿宋_GB2312" w:hAnsi="仿宋_GB2312" w:eastAsia="仿宋_GB2312" w:cs="仿宋_GB2312"/>
                <w:color w:val="auto"/>
                <w:sz w:val="22"/>
              </w:rPr>
              <w:t>包含但不限于</w:t>
            </w:r>
            <w:r>
              <w:rPr>
                <w:rFonts w:hint="eastAsia" w:ascii="仿宋_GB2312" w:hAnsi="仿宋_GB2312" w:eastAsia="仿宋_GB2312" w:cs="仿宋_GB2312"/>
                <w:color w:val="auto"/>
                <w:sz w:val="22"/>
                <w:lang w:eastAsia="zh-CN"/>
              </w:rPr>
              <w:t>项目在技术应用、业务模式、工作流程等方面的创新点。</w:t>
            </w:r>
          </w:p>
          <w:p>
            <w:pPr>
              <w:spacing w:line="360" w:lineRule="exact"/>
              <w:jc w:val="left"/>
              <w:rPr>
                <w:rFonts w:hint="eastAsia" w:ascii="仿宋_GB2312" w:hAnsi="仿宋_GB2312" w:eastAsia="仿宋_GB2312" w:cs="仿宋_GB2312"/>
                <w:b/>
                <w:bCs/>
                <w:color w:val="auto"/>
                <w:sz w:val="22"/>
              </w:rPr>
            </w:pPr>
            <w:r>
              <w:rPr>
                <w:rFonts w:hint="eastAsia" w:ascii="仿宋_GB2312" w:hAnsi="仿宋_GB2312" w:eastAsia="仿宋_GB2312" w:cs="仿宋_GB2312"/>
                <w:b/>
                <w:bCs/>
                <w:color w:val="auto"/>
                <w:sz w:val="22"/>
              </w:rPr>
              <w:t>4.3 促进粤港澳大湾区发展</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rPr>
              <w:t>如有，描述试点项目</w:t>
            </w:r>
            <w:r>
              <w:rPr>
                <w:rFonts w:hint="eastAsia" w:ascii="仿宋_GB2312" w:hAnsi="仿宋_GB2312" w:eastAsia="仿宋_GB2312" w:cs="仿宋_GB2312"/>
                <w:color w:val="auto"/>
                <w:sz w:val="22"/>
                <w:lang w:val="en-US" w:eastAsia="zh-CN"/>
              </w:rPr>
              <w:t>对推动粤港澳大湾区和地方经济高质量发展的重要意义，以及与广州产业发展导向的契合度。包括但不限于对</w:t>
            </w:r>
            <w:r>
              <w:rPr>
                <w:rFonts w:hint="eastAsia" w:ascii="仿宋_GB2312" w:hAnsi="仿宋_GB2312" w:eastAsia="仿宋_GB2312" w:cs="仿宋_GB2312"/>
                <w:color w:val="auto"/>
                <w:sz w:val="22"/>
              </w:rPr>
              <w:t>港澳大湾区金融建设、科技创新发展的</w:t>
            </w:r>
            <w:r>
              <w:rPr>
                <w:rFonts w:hint="eastAsia" w:ascii="仿宋_GB2312" w:hAnsi="仿宋_GB2312" w:eastAsia="仿宋_GB2312" w:cs="仿宋_GB2312"/>
                <w:color w:val="auto"/>
                <w:sz w:val="22"/>
                <w:lang w:val="en-US" w:eastAsia="zh-CN"/>
              </w:rPr>
              <w:t>重要</w:t>
            </w:r>
            <w:r>
              <w:rPr>
                <w:rFonts w:hint="eastAsia" w:ascii="仿宋_GB2312" w:hAnsi="仿宋_GB2312" w:eastAsia="仿宋_GB2312" w:cs="仿宋_GB2312"/>
                <w:color w:val="auto"/>
                <w:sz w:val="22"/>
              </w:rPr>
              <w:t>价值</w:t>
            </w:r>
            <w:r>
              <w:rPr>
                <w:rFonts w:hint="eastAsia" w:ascii="仿宋_GB2312" w:hAnsi="仿宋_GB2312" w:eastAsia="仿宋_GB2312" w:cs="仿宋_GB2312"/>
                <w:color w:val="auto"/>
                <w:sz w:val="22"/>
                <w:lang w:eastAsia="zh-CN"/>
              </w:rPr>
              <w:t>，对</w:t>
            </w:r>
            <w:r>
              <w:rPr>
                <w:rFonts w:hint="eastAsia" w:ascii="仿宋_GB2312" w:hAnsi="仿宋_GB2312" w:eastAsia="仿宋_GB2312" w:cs="仿宋_GB2312"/>
                <w:color w:val="auto"/>
                <w:sz w:val="22"/>
                <w:lang w:val="en-US" w:eastAsia="zh-CN"/>
              </w:rPr>
              <w:t>广州打造风险管理中心、资产管理中心的重要价值，对广州21个重点产业链、培育战略性支柱产业和新兴产业集群高质量发展的重要价值等。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五、保护与退出机制</w:t>
            </w:r>
          </w:p>
        </w:tc>
        <w:tc>
          <w:tcPr>
            <w:tcW w:w="7994" w:type="dxa"/>
            <w:gridSpan w:val="4"/>
            <w:noWrap w:val="0"/>
            <w:vAlign w:val="center"/>
          </w:tcPr>
          <w:p>
            <w:pPr>
              <w:spacing w:line="360" w:lineRule="exact"/>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5.1 投资者保护机制</w:t>
            </w:r>
          </w:p>
          <w:p>
            <w:pPr>
              <w:spacing w:line="36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bCs/>
                <w:color w:val="auto"/>
                <w:sz w:val="22"/>
                <w:szCs w:val="22"/>
              </w:rPr>
              <w:t>揭示客户投诉渠道与流程机制，包括但不限于通讯地址、电话、电子邮箱，</w:t>
            </w:r>
            <w:r>
              <w:rPr>
                <w:rFonts w:hint="eastAsia" w:ascii="仿宋_GB2312" w:hAnsi="仿宋_GB2312" w:eastAsia="仿宋_GB2312" w:cs="仿宋_GB2312"/>
                <w:color w:val="auto"/>
                <w:sz w:val="22"/>
                <w:szCs w:val="22"/>
              </w:rPr>
              <w:t>受理部门、受理时间、处理流程、处理时限等信息。</w:t>
            </w:r>
          </w:p>
          <w:p>
            <w:pPr>
              <w:spacing w:line="360" w:lineRule="exact"/>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5.2 补偿与赔付机制</w:t>
            </w:r>
          </w:p>
          <w:p>
            <w:pPr>
              <w:spacing w:line="36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揭示就本试点项目对投资者损失风险补偿和赔付机制，对于多个单位联合申报的试点项目，应明确风险补偿责任主体。</w:t>
            </w:r>
          </w:p>
          <w:p>
            <w:pPr>
              <w:spacing w:line="360" w:lineRule="exact"/>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5.3 退出保障机制</w:t>
            </w:r>
          </w:p>
          <w:p>
            <w:pPr>
              <w:spacing w:line="36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明确特殊情况下项目终止或下线时的工作安排，包括但不限于退出触发条件、业务退出安排、技术退出安排等内容。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六、申报单位基本信息</w:t>
            </w:r>
          </w:p>
        </w:tc>
        <w:tc>
          <w:tcPr>
            <w:tcW w:w="7994" w:type="dxa"/>
            <w:gridSpan w:val="4"/>
            <w:noWrap w:val="0"/>
            <w:vAlign w:val="center"/>
          </w:tcPr>
          <w:p>
            <w:pPr>
              <w:spacing w:line="360" w:lineRule="exact"/>
              <w:jc w:val="left"/>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6.1牵头申报单位：</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（1）单位名称：</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（2）单位类型：市场核心机构、证券公司、期货公司、基金管理公司、证券期货服务机构、区域性股权市场运营机构、基金托管机构、科技企业、其他等。</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rPr>
              <w:t>（3）统一社会信用代码：</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rPr>
              <w:t>（4）注册地址（办公地址）：</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bCs/>
                <w:color w:val="auto"/>
                <w:sz w:val="22"/>
                <w:szCs w:val="22"/>
              </w:rPr>
              <w:t>（5）持有金融牌照情况：</w:t>
            </w:r>
            <w:r>
              <w:rPr>
                <w:rFonts w:hint="eastAsia" w:ascii="仿宋_GB2312" w:hAnsi="仿宋_GB2312" w:eastAsia="仿宋_GB2312" w:cs="仿宋_GB2312"/>
                <w:color w:val="auto"/>
                <w:sz w:val="22"/>
                <w:szCs w:val="22"/>
              </w:rPr>
              <w:t>申报单位所取得的全部证券期货相关业务资格情况，市场核心机构与科技企业如不持有金融牌照，可填无。</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color w:val="auto"/>
                <w:sz w:val="22"/>
                <w:szCs w:val="22"/>
              </w:rPr>
              <w:t>（6）</w:t>
            </w:r>
            <w:r>
              <w:rPr>
                <w:rFonts w:hint="eastAsia" w:ascii="仿宋_GB2312" w:hAnsi="仿宋_GB2312" w:eastAsia="仿宋_GB2312" w:cs="仿宋_GB2312"/>
                <w:bCs/>
                <w:color w:val="auto"/>
                <w:sz w:val="22"/>
                <w:szCs w:val="22"/>
              </w:rPr>
              <w:t>试点项目涉及的业务牌照：</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rPr>
              <w:t>（7）证监会备案情况：申报机构是否为中国证监会备案信息技术服务机构</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bCs/>
                <w:color w:val="auto"/>
                <w:sz w:val="22"/>
                <w:szCs w:val="22"/>
              </w:rPr>
              <w:t>（8）单位简介：</w:t>
            </w:r>
            <w:r>
              <w:rPr>
                <w:rFonts w:hint="eastAsia" w:ascii="仿宋_GB2312" w:hAnsi="仿宋_GB2312" w:eastAsia="仿宋_GB2312" w:cs="仿宋_GB2312"/>
                <w:color w:val="auto"/>
                <w:sz w:val="22"/>
                <w:szCs w:val="22"/>
              </w:rPr>
              <w:t>包括但不限于历史沿革、股东情况、资质荣誉、主营业务、主要产品或服务、主要客户等。</w:t>
            </w:r>
          </w:p>
          <w:p>
            <w:pPr>
              <w:spacing w:line="360" w:lineRule="exact"/>
              <w:jc w:val="left"/>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6.2 联合申报单位：（依照实际情况增加/删除）</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（1）单位名称：</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（2）单位类型：市场核心机构、证券公司、期货公司、基金管理公司、证券期货服务机构、区域性股权市场运营机构、基金托管机构、科技企业、其他等。</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rPr>
              <w:t>（3）统一社会信用代码：</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rPr>
              <w:t>（4）注册地址（办公地址）：</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bCs/>
                <w:color w:val="auto"/>
                <w:sz w:val="22"/>
                <w:szCs w:val="22"/>
              </w:rPr>
              <w:t>（5）持有金融牌照情况：</w:t>
            </w:r>
            <w:r>
              <w:rPr>
                <w:rFonts w:hint="eastAsia" w:ascii="仿宋_GB2312" w:hAnsi="仿宋_GB2312" w:eastAsia="仿宋_GB2312" w:cs="仿宋_GB2312"/>
                <w:color w:val="auto"/>
                <w:sz w:val="22"/>
                <w:szCs w:val="22"/>
              </w:rPr>
              <w:t>申报单位所取得的全部证券期货相关业务资格情况，市场核心机构与科技企业如不持有金融牌照，可填无。</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color w:val="auto"/>
                <w:sz w:val="22"/>
                <w:szCs w:val="22"/>
              </w:rPr>
              <w:t>（6）</w:t>
            </w:r>
            <w:r>
              <w:rPr>
                <w:rFonts w:hint="eastAsia" w:ascii="仿宋_GB2312" w:hAnsi="仿宋_GB2312" w:eastAsia="仿宋_GB2312" w:cs="仿宋_GB2312"/>
                <w:bCs/>
                <w:color w:val="auto"/>
                <w:sz w:val="22"/>
                <w:szCs w:val="22"/>
              </w:rPr>
              <w:t>试点项目涉及的业务牌照：</w:t>
            </w:r>
          </w:p>
          <w:p>
            <w:pPr>
              <w:spacing w:line="360" w:lineRule="exact"/>
              <w:jc w:val="left"/>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rPr>
              <w:t>（7）证监会备案情况：申报机构是否为中国证监会备案信息技术服务机构</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bCs/>
                <w:color w:val="auto"/>
                <w:sz w:val="22"/>
                <w:szCs w:val="22"/>
              </w:rPr>
              <w:t>（8）单位简介：</w:t>
            </w:r>
            <w:r>
              <w:rPr>
                <w:rFonts w:hint="eastAsia" w:ascii="仿宋_GB2312" w:hAnsi="仿宋_GB2312" w:eastAsia="仿宋_GB2312" w:cs="仿宋_GB2312"/>
                <w:color w:val="auto"/>
                <w:sz w:val="22"/>
                <w:szCs w:val="22"/>
              </w:rPr>
              <w:t>包括但不限于历史沿革、股东情况、资质荣誉、主营业务、主要产品或服务、主要客户等。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七、其他补充事项</w:t>
            </w:r>
          </w:p>
        </w:tc>
        <w:tc>
          <w:tcPr>
            <w:tcW w:w="7994" w:type="dxa"/>
            <w:gridSpan w:val="4"/>
            <w:noWrap w:val="0"/>
            <w:vAlign w:val="top"/>
          </w:tcPr>
          <w:p>
            <w:pPr>
              <w:spacing w:line="360" w:lineRule="exact"/>
              <w:jc w:val="left"/>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66" w:type="dxa"/>
            <w:vMerge w:val="restart"/>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八、其他申报材料清单</w:t>
            </w:r>
          </w:p>
        </w:tc>
        <w:tc>
          <w:tcPr>
            <w:tcW w:w="4636" w:type="dxa"/>
            <w:gridSpan w:val="2"/>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材料名称</w:t>
            </w:r>
          </w:p>
        </w:tc>
        <w:tc>
          <w:tcPr>
            <w:tcW w:w="1798"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出具单位（部门）</w:t>
            </w:r>
          </w:p>
        </w:tc>
        <w:tc>
          <w:tcPr>
            <w:tcW w:w="1560"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时间（时效）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4636" w:type="dxa"/>
            <w:gridSpan w:val="2"/>
            <w:noWrap w:val="0"/>
            <w:vAlign w:val="top"/>
          </w:tcPr>
          <w:p>
            <w:pPr>
              <w:spacing w:line="360" w:lineRule="exact"/>
              <w:jc w:val="center"/>
              <w:rPr>
                <w:rFonts w:hint="eastAsia" w:ascii="仿宋_GB2312" w:hAnsi="仿宋_GB2312" w:eastAsia="仿宋_GB2312" w:cs="仿宋_GB2312"/>
                <w:b/>
                <w:color w:val="auto"/>
                <w:sz w:val="22"/>
                <w:szCs w:val="22"/>
              </w:rPr>
            </w:pPr>
          </w:p>
        </w:tc>
        <w:tc>
          <w:tcPr>
            <w:tcW w:w="1798" w:type="dxa"/>
            <w:noWrap w:val="0"/>
            <w:vAlign w:val="top"/>
          </w:tcPr>
          <w:p>
            <w:pPr>
              <w:spacing w:line="360" w:lineRule="exact"/>
              <w:jc w:val="center"/>
              <w:rPr>
                <w:rFonts w:hint="eastAsia" w:ascii="仿宋_GB2312" w:hAnsi="仿宋_GB2312" w:eastAsia="仿宋_GB2312" w:cs="仿宋_GB2312"/>
                <w:b/>
                <w:color w:val="auto"/>
                <w:sz w:val="22"/>
                <w:szCs w:val="22"/>
              </w:rPr>
            </w:pPr>
          </w:p>
        </w:tc>
        <w:tc>
          <w:tcPr>
            <w:tcW w:w="1560" w:type="dxa"/>
            <w:noWrap w:val="0"/>
            <w:vAlign w:val="top"/>
          </w:tcPr>
          <w:p>
            <w:pPr>
              <w:spacing w:line="360" w:lineRule="exact"/>
              <w:jc w:val="center"/>
              <w:rPr>
                <w:rFonts w:hint="eastAsia" w:ascii="仿宋_GB2312" w:hAnsi="仿宋_GB2312" w:eastAsia="仿宋_GB2312" w:cs="仿宋_GB2312"/>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4636" w:type="dxa"/>
            <w:gridSpan w:val="2"/>
            <w:noWrap w:val="0"/>
            <w:vAlign w:val="top"/>
          </w:tcPr>
          <w:p>
            <w:pPr>
              <w:spacing w:line="360" w:lineRule="exact"/>
              <w:jc w:val="center"/>
              <w:rPr>
                <w:rFonts w:hint="eastAsia" w:ascii="仿宋_GB2312" w:hAnsi="仿宋_GB2312" w:eastAsia="仿宋_GB2312" w:cs="仿宋_GB2312"/>
                <w:b/>
                <w:color w:val="auto"/>
                <w:sz w:val="22"/>
                <w:szCs w:val="22"/>
              </w:rPr>
            </w:pPr>
          </w:p>
        </w:tc>
        <w:tc>
          <w:tcPr>
            <w:tcW w:w="1798" w:type="dxa"/>
            <w:noWrap w:val="0"/>
            <w:vAlign w:val="top"/>
          </w:tcPr>
          <w:p>
            <w:pPr>
              <w:spacing w:line="360" w:lineRule="exact"/>
              <w:jc w:val="center"/>
              <w:rPr>
                <w:rFonts w:hint="eastAsia" w:ascii="仿宋_GB2312" w:hAnsi="仿宋_GB2312" w:eastAsia="仿宋_GB2312" w:cs="仿宋_GB2312"/>
                <w:b/>
                <w:color w:val="auto"/>
                <w:sz w:val="22"/>
                <w:szCs w:val="22"/>
              </w:rPr>
            </w:pPr>
          </w:p>
        </w:tc>
        <w:tc>
          <w:tcPr>
            <w:tcW w:w="1560" w:type="dxa"/>
            <w:noWrap w:val="0"/>
            <w:vAlign w:val="center"/>
          </w:tcPr>
          <w:p>
            <w:pPr>
              <w:spacing w:line="360" w:lineRule="exact"/>
              <w:jc w:val="center"/>
              <w:rPr>
                <w:rFonts w:hint="eastAsia" w:ascii="仿宋_GB2312" w:hAnsi="仿宋_GB2312" w:eastAsia="仿宋_GB2312" w:cs="仿宋_GB2312"/>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4636" w:type="dxa"/>
            <w:gridSpan w:val="2"/>
            <w:noWrap w:val="0"/>
            <w:vAlign w:val="top"/>
          </w:tcPr>
          <w:p>
            <w:pPr>
              <w:spacing w:line="360" w:lineRule="exact"/>
              <w:jc w:val="center"/>
              <w:rPr>
                <w:rFonts w:hint="eastAsia" w:ascii="仿宋_GB2312" w:hAnsi="仿宋_GB2312" w:eastAsia="仿宋_GB2312" w:cs="仿宋_GB2312"/>
                <w:b/>
                <w:color w:val="auto"/>
                <w:sz w:val="22"/>
                <w:szCs w:val="22"/>
              </w:rPr>
            </w:pPr>
          </w:p>
        </w:tc>
        <w:tc>
          <w:tcPr>
            <w:tcW w:w="1798" w:type="dxa"/>
            <w:noWrap w:val="0"/>
            <w:vAlign w:val="top"/>
          </w:tcPr>
          <w:p>
            <w:pPr>
              <w:spacing w:line="360" w:lineRule="exact"/>
              <w:jc w:val="center"/>
              <w:rPr>
                <w:rFonts w:hint="eastAsia" w:ascii="仿宋_GB2312" w:hAnsi="仿宋_GB2312" w:eastAsia="仿宋_GB2312" w:cs="仿宋_GB2312"/>
                <w:b/>
                <w:color w:val="auto"/>
                <w:sz w:val="22"/>
                <w:szCs w:val="22"/>
              </w:rPr>
            </w:pPr>
          </w:p>
        </w:tc>
        <w:tc>
          <w:tcPr>
            <w:tcW w:w="1560" w:type="dxa"/>
            <w:noWrap w:val="0"/>
            <w:vAlign w:val="center"/>
          </w:tcPr>
          <w:p>
            <w:pPr>
              <w:spacing w:line="360" w:lineRule="exact"/>
              <w:jc w:val="center"/>
              <w:rPr>
                <w:rFonts w:hint="eastAsia" w:ascii="仿宋_GB2312" w:hAnsi="仿宋_GB2312" w:eastAsia="仿宋_GB2312" w:cs="仿宋_GB2312"/>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4636" w:type="dxa"/>
            <w:gridSpan w:val="2"/>
            <w:noWrap w:val="0"/>
            <w:vAlign w:val="top"/>
          </w:tcPr>
          <w:p>
            <w:pPr>
              <w:spacing w:line="360" w:lineRule="exact"/>
              <w:jc w:val="center"/>
              <w:rPr>
                <w:rFonts w:hint="eastAsia" w:ascii="仿宋_GB2312" w:hAnsi="仿宋_GB2312" w:eastAsia="仿宋_GB2312" w:cs="仿宋_GB2312"/>
                <w:b/>
                <w:color w:val="auto"/>
                <w:sz w:val="22"/>
                <w:szCs w:val="22"/>
              </w:rPr>
            </w:pPr>
          </w:p>
        </w:tc>
        <w:tc>
          <w:tcPr>
            <w:tcW w:w="1798" w:type="dxa"/>
            <w:noWrap w:val="0"/>
            <w:vAlign w:val="top"/>
          </w:tcPr>
          <w:p>
            <w:pPr>
              <w:spacing w:line="360" w:lineRule="exact"/>
              <w:jc w:val="center"/>
              <w:rPr>
                <w:rFonts w:hint="eastAsia" w:ascii="仿宋_GB2312" w:hAnsi="仿宋_GB2312" w:eastAsia="仿宋_GB2312" w:cs="仿宋_GB2312"/>
                <w:b/>
                <w:color w:val="auto"/>
                <w:sz w:val="22"/>
                <w:szCs w:val="22"/>
              </w:rPr>
            </w:pPr>
          </w:p>
        </w:tc>
        <w:tc>
          <w:tcPr>
            <w:tcW w:w="1560" w:type="dxa"/>
            <w:noWrap w:val="0"/>
            <w:vAlign w:val="center"/>
          </w:tcPr>
          <w:p>
            <w:pPr>
              <w:spacing w:line="360" w:lineRule="exact"/>
              <w:jc w:val="center"/>
              <w:rPr>
                <w:rFonts w:hint="eastAsia" w:ascii="仿宋_GB2312" w:hAnsi="仿宋_GB2312" w:eastAsia="仿宋_GB2312" w:cs="仿宋_GB2312"/>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4636" w:type="dxa"/>
            <w:gridSpan w:val="2"/>
            <w:noWrap w:val="0"/>
            <w:vAlign w:val="top"/>
          </w:tcPr>
          <w:p>
            <w:pPr>
              <w:spacing w:line="360" w:lineRule="exact"/>
              <w:jc w:val="center"/>
              <w:rPr>
                <w:rFonts w:hint="eastAsia" w:ascii="仿宋_GB2312" w:hAnsi="仿宋_GB2312" w:eastAsia="仿宋_GB2312" w:cs="仿宋_GB2312"/>
                <w:b/>
                <w:color w:val="auto"/>
                <w:sz w:val="22"/>
                <w:szCs w:val="22"/>
              </w:rPr>
            </w:pPr>
          </w:p>
        </w:tc>
        <w:tc>
          <w:tcPr>
            <w:tcW w:w="1798" w:type="dxa"/>
            <w:noWrap w:val="0"/>
            <w:vAlign w:val="top"/>
          </w:tcPr>
          <w:p>
            <w:pPr>
              <w:spacing w:line="360" w:lineRule="exact"/>
              <w:jc w:val="center"/>
              <w:rPr>
                <w:rFonts w:hint="eastAsia" w:ascii="仿宋_GB2312" w:hAnsi="仿宋_GB2312" w:eastAsia="仿宋_GB2312" w:cs="仿宋_GB2312"/>
                <w:b/>
                <w:color w:val="auto"/>
                <w:sz w:val="22"/>
                <w:szCs w:val="22"/>
              </w:rPr>
            </w:pPr>
          </w:p>
        </w:tc>
        <w:tc>
          <w:tcPr>
            <w:tcW w:w="1560" w:type="dxa"/>
            <w:noWrap w:val="0"/>
            <w:vAlign w:val="center"/>
          </w:tcPr>
          <w:p>
            <w:pPr>
              <w:spacing w:line="360" w:lineRule="exact"/>
              <w:jc w:val="center"/>
              <w:rPr>
                <w:rFonts w:hint="eastAsia" w:ascii="仿宋_GB2312" w:hAnsi="仿宋_GB2312" w:eastAsia="仿宋_GB2312" w:cs="仿宋_GB2312"/>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4636" w:type="dxa"/>
            <w:gridSpan w:val="2"/>
            <w:noWrap w:val="0"/>
            <w:vAlign w:val="top"/>
          </w:tcPr>
          <w:p>
            <w:pPr>
              <w:spacing w:line="360" w:lineRule="exact"/>
              <w:jc w:val="center"/>
              <w:rPr>
                <w:rFonts w:hint="eastAsia" w:ascii="仿宋_GB2312" w:hAnsi="仿宋_GB2312" w:eastAsia="仿宋_GB2312" w:cs="仿宋_GB2312"/>
                <w:b/>
                <w:color w:val="auto"/>
                <w:sz w:val="22"/>
                <w:szCs w:val="22"/>
              </w:rPr>
            </w:pPr>
          </w:p>
        </w:tc>
        <w:tc>
          <w:tcPr>
            <w:tcW w:w="1798" w:type="dxa"/>
            <w:noWrap w:val="0"/>
            <w:vAlign w:val="top"/>
          </w:tcPr>
          <w:p>
            <w:pPr>
              <w:spacing w:line="360" w:lineRule="exact"/>
              <w:jc w:val="center"/>
              <w:rPr>
                <w:rFonts w:hint="eastAsia" w:ascii="仿宋_GB2312" w:hAnsi="仿宋_GB2312" w:eastAsia="仿宋_GB2312" w:cs="仿宋_GB2312"/>
                <w:b/>
                <w:color w:val="auto"/>
                <w:sz w:val="22"/>
                <w:szCs w:val="22"/>
              </w:rPr>
            </w:pPr>
          </w:p>
        </w:tc>
        <w:tc>
          <w:tcPr>
            <w:tcW w:w="1560" w:type="dxa"/>
            <w:noWrap w:val="0"/>
            <w:vAlign w:val="center"/>
          </w:tcPr>
          <w:p>
            <w:pPr>
              <w:spacing w:line="360" w:lineRule="exact"/>
              <w:jc w:val="center"/>
              <w:rPr>
                <w:rFonts w:hint="eastAsia" w:ascii="仿宋_GB2312" w:hAnsi="仿宋_GB2312" w:eastAsia="仿宋_GB2312" w:cs="仿宋_GB2312"/>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66" w:type="dxa"/>
            <w:vMerge w:val="continue"/>
            <w:noWrap w:val="0"/>
            <w:vAlign w:val="center"/>
          </w:tcPr>
          <w:p>
            <w:pPr>
              <w:spacing w:line="360" w:lineRule="exact"/>
              <w:jc w:val="center"/>
              <w:rPr>
                <w:rFonts w:hint="eastAsia" w:ascii="仿宋_GB2312" w:hAnsi="仿宋_GB2312" w:eastAsia="仿宋_GB2312" w:cs="仿宋_GB2312"/>
                <w:b/>
                <w:color w:val="auto"/>
                <w:sz w:val="22"/>
                <w:szCs w:val="22"/>
              </w:rPr>
            </w:pPr>
          </w:p>
        </w:tc>
        <w:tc>
          <w:tcPr>
            <w:tcW w:w="4636" w:type="dxa"/>
            <w:gridSpan w:val="2"/>
            <w:noWrap w:val="0"/>
            <w:vAlign w:val="top"/>
          </w:tcPr>
          <w:p>
            <w:pPr>
              <w:spacing w:line="360" w:lineRule="exact"/>
              <w:jc w:val="center"/>
              <w:rPr>
                <w:rFonts w:hint="eastAsia" w:ascii="仿宋_GB2312" w:hAnsi="仿宋_GB2312" w:eastAsia="仿宋_GB2312" w:cs="仿宋_GB2312"/>
                <w:b/>
                <w:color w:val="auto"/>
                <w:sz w:val="22"/>
                <w:szCs w:val="22"/>
              </w:rPr>
            </w:pPr>
          </w:p>
        </w:tc>
        <w:tc>
          <w:tcPr>
            <w:tcW w:w="1798" w:type="dxa"/>
            <w:noWrap w:val="0"/>
            <w:vAlign w:val="top"/>
          </w:tcPr>
          <w:p>
            <w:pPr>
              <w:spacing w:line="360" w:lineRule="exact"/>
              <w:jc w:val="center"/>
              <w:rPr>
                <w:rFonts w:hint="eastAsia" w:ascii="仿宋_GB2312" w:hAnsi="仿宋_GB2312" w:eastAsia="仿宋_GB2312" w:cs="仿宋_GB2312"/>
                <w:b/>
                <w:color w:val="auto"/>
                <w:sz w:val="22"/>
                <w:szCs w:val="22"/>
              </w:rPr>
            </w:pPr>
          </w:p>
        </w:tc>
        <w:tc>
          <w:tcPr>
            <w:tcW w:w="1560" w:type="dxa"/>
            <w:noWrap w:val="0"/>
            <w:vAlign w:val="center"/>
          </w:tcPr>
          <w:p>
            <w:pPr>
              <w:spacing w:line="360" w:lineRule="exact"/>
              <w:jc w:val="center"/>
              <w:rPr>
                <w:rFonts w:hint="eastAsia" w:ascii="仿宋_GB2312" w:hAnsi="仿宋_GB2312" w:eastAsia="仿宋_GB2312" w:cs="仿宋_GB2312"/>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66" w:type="dxa"/>
            <w:noWrap w:val="0"/>
            <w:vAlign w:val="center"/>
          </w:tcPr>
          <w:p>
            <w:pPr>
              <w:spacing w:line="360" w:lineRule="exact"/>
              <w:jc w:val="center"/>
              <w:rPr>
                <w:rFonts w:hint="eastAsia" w:ascii="仿宋_GB2312" w:hAnsi="仿宋_GB2312" w:eastAsia="仿宋_GB2312" w:cs="仿宋_GB2312"/>
                <w:b/>
                <w:color w:val="auto"/>
                <w:sz w:val="22"/>
                <w:szCs w:val="22"/>
              </w:rPr>
            </w:pPr>
            <w:r>
              <w:rPr>
                <w:rFonts w:hint="eastAsia" w:ascii="仿宋_GB2312" w:hAnsi="仿宋_GB2312" w:eastAsia="仿宋_GB2312" w:cs="仿宋_GB2312"/>
                <w:b/>
                <w:color w:val="auto"/>
                <w:sz w:val="22"/>
                <w:szCs w:val="22"/>
              </w:rPr>
              <w:t>九、申报单位承诺</w:t>
            </w:r>
          </w:p>
        </w:tc>
        <w:tc>
          <w:tcPr>
            <w:tcW w:w="7994" w:type="dxa"/>
            <w:gridSpan w:val="4"/>
            <w:noWrap w:val="0"/>
            <w:vAlign w:val="top"/>
          </w:tcPr>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牵头申报单位</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联合申报单位</w:t>
            </w:r>
            <w:r>
              <w:rPr>
                <w:rFonts w:hint="eastAsia" w:ascii="仿宋_GB2312" w:hAnsi="仿宋_GB2312" w:eastAsia="仿宋_GB2312" w:cs="仿宋_GB2312"/>
                <w:color w:val="auto"/>
                <w:sz w:val="22"/>
                <w:szCs w:val="22"/>
              </w:rPr>
              <w:t>郑重承诺：</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1.本单位在申报广州资本市场金融科技创新试点项目过程中，所提供的一切申报材料信息真实、准确和完整，本单位承诺承担与此相应的法律责任。</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2.申报项目符合依法合规、有序创新、风险可控的申报原则。</w:t>
            </w:r>
          </w:p>
          <w:p>
            <w:pPr>
              <w:spacing w:line="360" w:lineRule="exact"/>
              <w:jc w:val="lef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3.申报项目不存在违法法律和行政法规情况，不包含国家秘密信息。</w:t>
            </w:r>
          </w:p>
          <w:p>
            <w:pPr>
              <w:spacing w:line="360" w:lineRule="exact"/>
              <w:jc w:val="both"/>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4.本单位将配合监管部门完成后续评审公示、监督检查或风险处置等工作。</w:t>
            </w:r>
          </w:p>
        </w:tc>
      </w:tr>
    </w:tbl>
    <w:p>
      <w:pPr>
        <w:rPr>
          <w:rFonts w:hint="eastAsia"/>
        </w:rPr>
      </w:pPr>
    </w:p>
    <w:p/>
    <w:sectPr>
      <w:headerReference r:id="rId4" w:type="first"/>
      <w:footerReference r:id="rId6" w:type="first"/>
      <w:headerReference r:id="rId3" w:type="default"/>
      <w:footerReference r:id="rId5" w:type="default"/>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Bdr>
                              <w:top w:val="none" w:color="auto" w:sz="0" w:space="0"/>
                              <w:left w:val="none" w:color="auto" w:sz="0" w:space="0"/>
                              <w:bottom w:val="none" w:color="auto" w:sz="0" w:space="0"/>
                              <w:right w:val="none" w:color="auto" w:sz="0" w:space="0"/>
                              <w:between w:val="none" w:color="auto" w:sz="0" w:space="0"/>
                            </w:pBdr>
                            <w:snapToGrid w:val="0"/>
                            <w:spacing w:afterLines="0"/>
                            <w:jc w:val="left"/>
                          </w:pPr>
                          <w:r>
                            <w:rPr>
                              <w:rFonts w:hint="eastAsia" w:ascii="宋体" w:hAnsi="宋体" w:eastAsia="宋体"/>
                              <w:sz w:val="28"/>
                            </w:rPr>
                            <w:fldChar w:fldCharType="begin"/>
                          </w:r>
                          <w:r>
                            <w:rPr>
                              <w:rStyle w:val="18"/>
                              <w:rFonts w:hint="eastAsia" w:ascii="宋体" w:hAnsi="宋体" w:eastAsia="宋体"/>
                              <w:sz w:val="28"/>
                            </w:rPr>
                            <w:instrText xml:space="preserve"> PAGE  </w:instrText>
                          </w:r>
                          <w:r>
                            <w:rPr>
                              <w:rFonts w:hint="eastAsia" w:ascii="宋体" w:hAnsi="宋体" w:eastAsia="宋体"/>
                              <w:sz w:val="28"/>
                            </w:rPr>
                            <w:fldChar w:fldCharType="separate"/>
                          </w:r>
                          <w:r>
                            <w:rPr>
                              <w:rStyle w:val="18"/>
                              <w:rFonts w:hint="eastAsia" w:ascii="宋体" w:hAnsi="宋体" w:eastAsia="宋体"/>
                              <w:sz w:val="28"/>
                            </w:rPr>
                            <w:t>- 1 -</w:t>
                          </w:r>
                          <w:r>
                            <w:rPr>
                              <w:rFonts w:hint="eastAsia" w:ascii="宋体" w:hAnsi="宋体" w:eastAsia="宋体"/>
                              <w:sz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pBdr>
                        <w:top w:val="none" w:color="auto" w:sz="0" w:space="0"/>
                        <w:left w:val="none" w:color="auto" w:sz="0" w:space="0"/>
                        <w:bottom w:val="none" w:color="auto" w:sz="0" w:space="0"/>
                        <w:right w:val="none" w:color="auto" w:sz="0" w:space="0"/>
                        <w:between w:val="none" w:color="auto" w:sz="0" w:space="0"/>
                      </w:pBdr>
                      <w:snapToGrid w:val="0"/>
                      <w:spacing w:afterLines="0"/>
                      <w:jc w:val="left"/>
                    </w:pPr>
                    <w:r>
                      <w:rPr>
                        <w:rFonts w:hint="eastAsia" w:ascii="宋体" w:hAnsi="宋体" w:eastAsia="宋体"/>
                        <w:sz w:val="28"/>
                      </w:rPr>
                      <w:fldChar w:fldCharType="begin"/>
                    </w:r>
                    <w:r>
                      <w:rPr>
                        <w:rStyle w:val="18"/>
                        <w:rFonts w:hint="eastAsia" w:ascii="宋体" w:hAnsi="宋体" w:eastAsia="宋体"/>
                        <w:sz w:val="28"/>
                      </w:rPr>
                      <w:instrText xml:space="preserve"> PAGE  </w:instrText>
                    </w:r>
                    <w:r>
                      <w:rPr>
                        <w:rFonts w:hint="eastAsia" w:ascii="宋体" w:hAnsi="宋体" w:eastAsia="宋体"/>
                        <w:sz w:val="28"/>
                      </w:rPr>
                      <w:fldChar w:fldCharType="separate"/>
                    </w:r>
                    <w:r>
                      <w:rPr>
                        <w:rStyle w:val="18"/>
                        <w:rFonts w:hint="eastAsia" w:ascii="宋体" w:hAnsi="宋体" w:eastAsia="宋体"/>
                        <w:sz w:val="28"/>
                      </w:rPr>
                      <w:t>- 1 -</w:t>
                    </w:r>
                    <w:r>
                      <w:rPr>
                        <w:rFonts w:hint="eastAsia" w:ascii="宋体" w:hAnsi="宋体" w:eastAsia="宋体"/>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val="0"/>
      <w:pBdr>
        <w:top w:val="none" w:color="auto" w:sz="0" w:space="1"/>
        <w:left w:val="none" w:color="auto" w:sz="0" w:space="4"/>
        <w:bottom w:val="none" w:color="auto" w:sz="0" w:space="1"/>
        <w:right w:val="none" w:color="auto" w:sz="0" w:space="4"/>
      </w:pBdr>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val="0"/>
      <w:pBdr>
        <w:top w:val="none" w:color="auto" w:sz="0" w:space="1"/>
        <w:left w:val="none" w:color="auto" w:sz="0" w:space="4"/>
        <w:bottom w:val="none" w:color="auto" w:sz="0" w:space="1"/>
        <w:right w:val="none" w:color="auto" w:sz="0" w:space="4"/>
      </w:pBdr>
      <w:snapToGrid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372DEB"/>
    <w:rsid w:val="015F67AB"/>
    <w:rsid w:val="01CE463B"/>
    <w:rsid w:val="02180A42"/>
    <w:rsid w:val="02730C11"/>
    <w:rsid w:val="029605F3"/>
    <w:rsid w:val="02C564A2"/>
    <w:rsid w:val="02FA2E7F"/>
    <w:rsid w:val="032D746E"/>
    <w:rsid w:val="03677D5C"/>
    <w:rsid w:val="03F423FE"/>
    <w:rsid w:val="03FD590B"/>
    <w:rsid w:val="047C227E"/>
    <w:rsid w:val="04FE402F"/>
    <w:rsid w:val="05A9204D"/>
    <w:rsid w:val="061C3F1E"/>
    <w:rsid w:val="06362437"/>
    <w:rsid w:val="06F7384B"/>
    <w:rsid w:val="087626B0"/>
    <w:rsid w:val="0914162B"/>
    <w:rsid w:val="09BF354F"/>
    <w:rsid w:val="09F91A42"/>
    <w:rsid w:val="0A0B694C"/>
    <w:rsid w:val="0BDF0354"/>
    <w:rsid w:val="0C215420"/>
    <w:rsid w:val="0D461F1B"/>
    <w:rsid w:val="0D4E03C6"/>
    <w:rsid w:val="0D747E76"/>
    <w:rsid w:val="0DED2233"/>
    <w:rsid w:val="0E487D4B"/>
    <w:rsid w:val="0EAB437C"/>
    <w:rsid w:val="0EAE5FD7"/>
    <w:rsid w:val="0EDFF911"/>
    <w:rsid w:val="0F27650B"/>
    <w:rsid w:val="0F624B52"/>
    <w:rsid w:val="0F744AAA"/>
    <w:rsid w:val="104D6117"/>
    <w:rsid w:val="122D4E4C"/>
    <w:rsid w:val="12612F80"/>
    <w:rsid w:val="12932A9D"/>
    <w:rsid w:val="12C24FAF"/>
    <w:rsid w:val="138804B8"/>
    <w:rsid w:val="13C423FE"/>
    <w:rsid w:val="14116DDD"/>
    <w:rsid w:val="147F623B"/>
    <w:rsid w:val="150E1BE1"/>
    <w:rsid w:val="15B83CCA"/>
    <w:rsid w:val="15EE75A3"/>
    <w:rsid w:val="180247DB"/>
    <w:rsid w:val="183D344B"/>
    <w:rsid w:val="1A526FA8"/>
    <w:rsid w:val="1ABC3D08"/>
    <w:rsid w:val="1C881E71"/>
    <w:rsid w:val="1CC23B6F"/>
    <w:rsid w:val="1DD94299"/>
    <w:rsid w:val="1DDB7F04"/>
    <w:rsid w:val="1DE72CDB"/>
    <w:rsid w:val="1E120618"/>
    <w:rsid w:val="1E474528"/>
    <w:rsid w:val="1E6127D9"/>
    <w:rsid w:val="1EA435A5"/>
    <w:rsid w:val="1EDC59DF"/>
    <w:rsid w:val="1EED77BD"/>
    <w:rsid w:val="1EFA2511"/>
    <w:rsid w:val="1F2C4C5A"/>
    <w:rsid w:val="1FA1438C"/>
    <w:rsid w:val="1FB274CB"/>
    <w:rsid w:val="1FD558F5"/>
    <w:rsid w:val="1FF45D69"/>
    <w:rsid w:val="1FF53222"/>
    <w:rsid w:val="20080340"/>
    <w:rsid w:val="20216437"/>
    <w:rsid w:val="22122CFF"/>
    <w:rsid w:val="228B2276"/>
    <w:rsid w:val="22CF3825"/>
    <w:rsid w:val="22F17F25"/>
    <w:rsid w:val="23607416"/>
    <w:rsid w:val="23F20886"/>
    <w:rsid w:val="24690B04"/>
    <w:rsid w:val="24A31C89"/>
    <w:rsid w:val="2594209A"/>
    <w:rsid w:val="25B91838"/>
    <w:rsid w:val="260B2142"/>
    <w:rsid w:val="26B16727"/>
    <w:rsid w:val="26E12159"/>
    <w:rsid w:val="26E23A9A"/>
    <w:rsid w:val="26F15FCE"/>
    <w:rsid w:val="286D4313"/>
    <w:rsid w:val="28A93F22"/>
    <w:rsid w:val="296D0030"/>
    <w:rsid w:val="29762218"/>
    <w:rsid w:val="29807CAB"/>
    <w:rsid w:val="29932758"/>
    <w:rsid w:val="2A2243D0"/>
    <w:rsid w:val="2ADF1073"/>
    <w:rsid w:val="2BEA02A8"/>
    <w:rsid w:val="2C1E747C"/>
    <w:rsid w:val="2C2D794C"/>
    <w:rsid w:val="2C2F48A7"/>
    <w:rsid w:val="2C58531A"/>
    <w:rsid w:val="2C6634E6"/>
    <w:rsid w:val="2D5548FB"/>
    <w:rsid w:val="2D67391C"/>
    <w:rsid w:val="2D686191"/>
    <w:rsid w:val="2E027ECE"/>
    <w:rsid w:val="2E436AD0"/>
    <w:rsid w:val="2E9E7B61"/>
    <w:rsid w:val="2EBC3AF3"/>
    <w:rsid w:val="2EFD1A17"/>
    <w:rsid w:val="2F3F293A"/>
    <w:rsid w:val="2FF522A3"/>
    <w:rsid w:val="2FFD55E6"/>
    <w:rsid w:val="30832693"/>
    <w:rsid w:val="31890C82"/>
    <w:rsid w:val="31DE3AE7"/>
    <w:rsid w:val="31ED1789"/>
    <w:rsid w:val="32047B2F"/>
    <w:rsid w:val="32821F33"/>
    <w:rsid w:val="328B46AA"/>
    <w:rsid w:val="329E78EE"/>
    <w:rsid w:val="33581A9E"/>
    <w:rsid w:val="339B04CE"/>
    <w:rsid w:val="33D86318"/>
    <w:rsid w:val="35F6354D"/>
    <w:rsid w:val="36537779"/>
    <w:rsid w:val="36794CCB"/>
    <w:rsid w:val="38056875"/>
    <w:rsid w:val="38320B34"/>
    <w:rsid w:val="3861681F"/>
    <w:rsid w:val="38631F75"/>
    <w:rsid w:val="38931DD0"/>
    <w:rsid w:val="38C47576"/>
    <w:rsid w:val="38F31FD9"/>
    <w:rsid w:val="3B201364"/>
    <w:rsid w:val="3CAD59F5"/>
    <w:rsid w:val="3D253376"/>
    <w:rsid w:val="3D2C5D68"/>
    <w:rsid w:val="3DDA2350"/>
    <w:rsid w:val="3DDA55AB"/>
    <w:rsid w:val="3EE83C54"/>
    <w:rsid w:val="3FF9442F"/>
    <w:rsid w:val="40AC43AD"/>
    <w:rsid w:val="41091B74"/>
    <w:rsid w:val="410B008F"/>
    <w:rsid w:val="4118750A"/>
    <w:rsid w:val="418B34BF"/>
    <w:rsid w:val="4262770F"/>
    <w:rsid w:val="42676CDC"/>
    <w:rsid w:val="426C40A6"/>
    <w:rsid w:val="42D9692D"/>
    <w:rsid w:val="42E95ED9"/>
    <w:rsid w:val="431D00F9"/>
    <w:rsid w:val="435A4636"/>
    <w:rsid w:val="44B9708B"/>
    <w:rsid w:val="44CE06E5"/>
    <w:rsid w:val="45464255"/>
    <w:rsid w:val="45515CE4"/>
    <w:rsid w:val="45907997"/>
    <w:rsid w:val="4668266D"/>
    <w:rsid w:val="467D58FC"/>
    <w:rsid w:val="47263C39"/>
    <w:rsid w:val="4737779C"/>
    <w:rsid w:val="47476D80"/>
    <w:rsid w:val="476659EF"/>
    <w:rsid w:val="476F0A1B"/>
    <w:rsid w:val="47D60CF9"/>
    <w:rsid w:val="48A86974"/>
    <w:rsid w:val="48E35832"/>
    <w:rsid w:val="4917241E"/>
    <w:rsid w:val="49901361"/>
    <w:rsid w:val="49E80694"/>
    <w:rsid w:val="4A7E504F"/>
    <w:rsid w:val="4A824BF2"/>
    <w:rsid w:val="4BF1474F"/>
    <w:rsid w:val="4C720FF5"/>
    <w:rsid w:val="4D1D1029"/>
    <w:rsid w:val="4D464B04"/>
    <w:rsid w:val="4DB61A99"/>
    <w:rsid w:val="4DC37651"/>
    <w:rsid w:val="4DE71526"/>
    <w:rsid w:val="4E3915AB"/>
    <w:rsid w:val="4EB31570"/>
    <w:rsid w:val="4EC7262E"/>
    <w:rsid w:val="4FF72B11"/>
    <w:rsid w:val="4FFB0E94"/>
    <w:rsid w:val="50B008CB"/>
    <w:rsid w:val="510E0ED8"/>
    <w:rsid w:val="515D1AB6"/>
    <w:rsid w:val="516E054E"/>
    <w:rsid w:val="51980980"/>
    <w:rsid w:val="520B3AE2"/>
    <w:rsid w:val="52927D99"/>
    <w:rsid w:val="53121A18"/>
    <w:rsid w:val="5364737B"/>
    <w:rsid w:val="53F80A99"/>
    <w:rsid w:val="551129A7"/>
    <w:rsid w:val="552F48C3"/>
    <w:rsid w:val="55E92CB8"/>
    <w:rsid w:val="55EF7347"/>
    <w:rsid w:val="563A641E"/>
    <w:rsid w:val="566627FA"/>
    <w:rsid w:val="56717DA4"/>
    <w:rsid w:val="56A75421"/>
    <w:rsid w:val="57AC68F3"/>
    <w:rsid w:val="585B182F"/>
    <w:rsid w:val="59065FAD"/>
    <w:rsid w:val="59204E1E"/>
    <w:rsid w:val="594929A7"/>
    <w:rsid w:val="59722651"/>
    <w:rsid w:val="59AF2006"/>
    <w:rsid w:val="59B36EE4"/>
    <w:rsid w:val="59F272A6"/>
    <w:rsid w:val="5AFD3168"/>
    <w:rsid w:val="5B166700"/>
    <w:rsid w:val="5B871C94"/>
    <w:rsid w:val="5C0C2FAA"/>
    <w:rsid w:val="5C116D6F"/>
    <w:rsid w:val="5D7B3299"/>
    <w:rsid w:val="5D920C70"/>
    <w:rsid w:val="5DA47E3F"/>
    <w:rsid w:val="5DB0265C"/>
    <w:rsid w:val="5DDE24BF"/>
    <w:rsid w:val="5E7575A1"/>
    <w:rsid w:val="5F4167BE"/>
    <w:rsid w:val="5FEDB81F"/>
    <w:rsid w:val="60191804"/>
    <w:rsid w:val="604D0C61"/>
    <w:rsid w:val="60603F32"/>
    <w:rsid w:val="607337CA"/>
    <w:rsid w:val="608D7BC9"/>
    <w:rsid w:val="612133E3"/>
    <w:rsid w:val="61DA2BAA"/>
    <w:rsid w:val="61EF6520"/>
    <w:rsid w:val="626214AE"/>
    <w:rsid w:val="62693A0C"/>
    <w:rsid w:val="62D24DE0"/>
    <w:rsid w:val="637B02A6"/>
    <w:rsid w:val="63BE3B90"/>
    <w:rsid w:val="64700335"/>
    <w:rsid w:val="649D207E"/>
    <w:rsid w:val="64E903CB"/>
    <w:rsid w:val="64F004D8"/>
    <w:rsid w:val="65004F40"/>
    <w:rsid w:val="65074DE4"/>
    <w:rsid w:val="65C04D80"/>
    <w:rsid w:val="660721E2"/>
    <w:rsid w:val="66BA39F6"/>
    <w:rsid w:val="66CA32C7"/>
    <w:rsid w:val="6761524D"/>
    <w:rsid w:val="67E37D26"/>
    <w:rsid w:val="67EA3E29"/>
    <w:rsid w:val="684D5C8B"/>
    <w:rsid w:val="68A45415"/>
    <w:rsid w:val="69DF7284"/>
    <w:rsid w:val="6A1D1A06"/>
    <w:rsid w:val="6ADE45D8"/>
    <w:rsid w:val="6B332372"/>
    <w:rsid w:val="6B3E2614"/>
    <w:rsid w:val="6B6B4C7B"/>
    <w:rsid w:val="6BC8413E"/>
    <w:rsid w:val="6C407867"/>
    <w:rsid w:val="6C5F4071"/>
    <w:rsid w:val="6CF9152F"/>
    <w:rsid w:val="6D45664E"/>
    <w:rsid w:val="6D6600AC"/>
    <w:rsid w:val="6DBC52D1"/>
    <w:rsid w:val="6E0A367C"/>
    <w:rsid w:val="6E623B07"/>
    <w:rsid w:val="6EEC5C46"/>
    <w:rsid w:val="6F0F2CFF"/>
    <w:rsid w:val="6F190C99"/>
    <w:rsid w:val="6F3F5B2F"/>
    <w:rsid w:val="702E27B7"/>
    <w:rsid w:val="708922AD"/>
    <w:rsid w:val="70962B35"/>
    <w:rsid w:val="70E743AF"/>
    <w:rsid w:val="71573B1B"/>
    <w:rsid w:val="71A0384E"/>
    <w:rsid w:val="71BB64B5"/>
    <w:rsid w:val="720D1B15"/>
    <w:rsid w:val="720E2323"/>
    <w:rsid w:val="723F38C9"/>
    <w:rsid w:val="726415C8"/>
    <w:rsid w:val="727710ED"/>
    <w:rsid w:val="740172BD"/>
    <w:rsid w:val="7568660C"/>
    <w:rsid w:val="75BD01D3"/>
    <w:rsid w:val="769E44BA"/>
    <w:rsid w:val="76A47548"/>
    <w:rsid w:val="7795593C"/>
    <w:rsid w:val="782560C4"/>
    <w:rsid w:val="782F56F8"/>
    <w:rsid w:val="78A23967"/>
    <w:rsid w:val="790415DD"/>
    <w:rsid w:val="79281782"/>
    <w:rsid w:val="7A49079F"/>
    <w:rsid w:val="7AA87E6D"/>
    <w:rsid w:val="7AF35F6D"/>
    <w:rsid w:val="7AF9226D"/>
    <w:rsid w:val="7B52120B"/>
    <w:rsid w:val="7C8E487B"/>
    <w:rsid w:val="7CB73546"/>
    <w:rsid w:val="7D4365B7"/>
    <w:rsid w:val="7D5C3BCB"/>
    <w:rsid w:val="7D623226"/>
    <w:rsid w:val="7D6718B8"/>
    <w:rsid w:val="7DBE7389"/>
    <w:rsid w:val="7DEB319E"/>
    <w:rsid w:val="7DFBBBB7"/>
    <w:rsid w:val="7E5A62DB"/>
    <w:rsid w:val="7EC74F7C"/>
    <w:rsid w:val="7EDC7429"/>
    <w:rsid w:val="7F1E61F8"/>
    <w:rsid w:val="7F697785"/>
    <w:rsid w:val="7FF8FB09"/>
    <w:rsid w:val="92EF738A"/>
    <w:rsid w:val="9FB7643B"/>
    <w:rsid w:val="BB6F8FD9"/>
    <w:rsid w:val="BEFF3C13"/>
    <w:rsid w:val="DF7E0793"/>
    <w:rsid w:val="DFEFCFB5"/>
    <w:rsid w:val="EBFF97CC"/>
    <w:rsid w:val="EF3289DB"/>
    <w:rsid w:val="EFC5AC06"/>
    <w:rsid w:val="FAFFCB28"/>
    <w:rsid w:val="FBEF91C3"/>
    <w:rsid w:val="FD775E7D"/>
    <w:rsid w:val="FFEFEC55"/>
    <w:rsid w:val="FFFE5C22"/>
    <w:rsid w:val="FFFF0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9"/>
    <w:pPr>
      <w:keepNext/>
      <w:keepLines/>
      <w:spacing w:line="413" w:lineRule="auto"/>
      <w:outlineLvl w:val="2"/>
    </w:pPr>
    <w:rPr>
      <w:b/>
      <w:sz w:val="32"/>
    </w:rPr>
  </w:style>
  <w:style w:type="paragraph" w:styleId="5">
    <w:name w:val="heading 4"/>
    <w:basedOn w:val="1"/>
    <w:next w:val="1"/>
    <w:unhideWhenUsed/>
    <w:qFormat/>
    <w:uiPriority w:val="9"/>
    <w:pPr>
      <w:spacing w:before="100" w:beforeAutospacing="1" w:after="100" w:afterAutospacing="1"/>
      <w:jc w:val="left"/>
    </w:pPr>
    <w:rPr>
      <w:rFonts w:hint="eastAsia" w:ascii="宋体" w:hAnsi="宋体" w:eastAsia="宋体" w:cs="宋体"/>
      <w:b/>
      <w:kern w:val="0"/>
      <w:sz w:val="24"/>
      <w:szCs w:val="24"/>
      <w:lang w:val="en-US" w:eastAsia="zh-CN" w:bidi="ar-SA"/>
    </w:rPr>
  </w:style>
  <w:style w:type="character" w:default="1" w:styleId="16">
    <w:name w:val="Default Paragraph Font"/>
    <w:qFormat/>
    <w:uiPriority w:val="0"/>
  </w:style>
  <w:style w:type="table" w:default="1" w:styleId="15">
    <w:name w:val="Normal Table"/>
    <w:unhideWhenUsed/>
    <w:qFormat/>
    <w:uiPriority w:val="99"/>
    <w:tblPr>
      <w:tblCellMar>
        <w:top w:w="0" w:type="dxa"/>
        <w:left w:w="108" w:type="dxa"/>
        <w:bottom w:w="0" w:type="dxa"/>
        <w:right w:w="108" w:type="dxa"/>
      </w:tblCellMar>
    </w:tblPr>
  </w:style>
  <w:style w:type="paragraph" w:customStyle="1" w:styleId="2">
    <w:name w:val="NormalIndent"/>
    <w:basedOn w:val="1"/>
    <w:next w:val="1"/>
    <w:qFormat/>
    <w:uiPriority w:val="0"/>
    <w:pPr>
      <w:spacing w:line="240" w:lineRule="auto"/>
      <w:ind w:firstLine="420"/>
      <w:jc w:val="both"/>
      <w:textAlignment w:val="baseline"/>
    </w:pPr>
    <w:rPr>
      <w:rFonts w:ascii="宋体" w:hAnsi="Calibri"/>
      <w:kern w:val="0"/>
      <w:sz w:val="21"/>
      <w:szCs w:val="24"/>
      <w:lang w:val="en-US" w:eastAsia="zh-CN" w:bidi="ar-SA"/>
    </w:rPr>
  </w:style>
  <w:style w:type="paragraph" w:styleId="6">
    <w:name w:val="annotation text"/>
    <w:basedOn w:val="1"/>
    <w:unhideWhenUsed/>
    <w:qFormat/>
    <w:uiPriority w:val="99"/>
    <w:pPr>
      <w:jc w:val="left"/>
    </w:pPr>
  </w:style>
  <w:style w:type="paragraph" w:styleId="7">
    <w:name w:val="Body Text"/>
    <w:basedOn w:val="1"/>
    <w:qFormat/>
    <w:uiPriority w:val="0"/>
    <w:pPr>
      <w:spacing w:line="320" w:lineRule="exact"/>
      <w:jc w:val="center"/>
    </w:pPr>
    <w:rPr>
      <w:rFonts w:hint="eastAsia" w:ascii="Times New Roman" w:hAnsi="Times New Roman" w:eastAsia="宋体" w:cs="Times New Roman"/>
      <w:sz w:val="21"/>
      <w:szCs w:val="24"/>
      <w:lang w:bidi="ar-SA"/>
    </w:rPr>
  </w:style>
  <w:style w:type="paragraph" w:styleId="8">
    <w:name w:val="Body Text Indent"/>
    <w:basedOn w:val="1"/>
    <w:qFormat/>
    <w:uiPriority w:val="0"/>
    <w:pPr>
      <w:adjustRightInd w:val="0"/>
      <w:snapToGrid w:val="0"/>
      <w:spacing w:line="360" w:lineRule="auto"/>
      <w:ind w:firstLine="632" w:firstLineChars="200"/>
    </w:pPr>
    <w:rPr>
      <w:rFonts w:eastAsia="仿宋_GB2312"/>
      <w:spacing w:val="8"/>
      <w:kern w:val="2"/>
      <w:sz w:val="3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1">
    <w:name w:val="toc 1"/>
    <w:basedOn w:val="1"/>
    <w:next w:val="1"/>
    <w:qFormat/>
    <w:uiPriority w:val="0"/>
  </w:style>
  <w:style w:type="paragraph" w:styleId="12">
    <w:name w:val="footnote text"/>
    <w:basedOn w:val="1"/>
    <w:unhideWhenUsed/>
    <w:qFormat/>
    <w:uiPriority w:val="99"/>
    <w:pPr>
      <w:snapToGrid w:val="0"/>
      <w:jc w:val="left"/>
    </w:pPr>
    <w:rPr>
      <w:sz w:val="18"/>
    </w:rPr>
  </w:style>
  <w:style w:type="paragraph" w:styleId="13">
    <w:name w:val="Body Text 2"/>
    <w:basedOn w:val="1"/>
    <w:qFormat/>
    <w:uiPriority w:val="0"/>
    <w:pPr>
      <w:tabs>
        <w:tab w:val="right" w:pos="9360"/>
      </w:tabs>
    </w:pPr>
    <w:rPr>
      <w:sz w:val="24"/>
      <w:szCs w:val="20"/>
    </w:rPr>
  </w:style>
  <w:style w:type="paragraph" w:styleId="14">
    <w:name w:val="Normal (Web)"/>
    <w:basedOn w:val="1"/>
    <w:qFormat/>
    <w:uiPriority w:val="0"/>
    <w:rPr>
      <w:sz w:val="24"/>
    </w:rPr>
  </w:style>
  <w:style w:type="character" w:styleId="17">
    <w:name w:val="Strong"/>
    <w:basedOn w:val="16"/>
    <w:qFormat/>
    <w:uiPriority w:val="0"/>
    <w:rPr>
      <w:rFonts w:hint="default" w:ascii="Times New Roman" w:hAnsi="Times New Roman" w:eastAsia="宋体" w:cs="Times New Roman"/>
      <w:b/>
    </w:rPr>
  </w:style>
  <w:style w:type="character" w:styleId="18">
    <w:name w:val="page number"/>
    <w:basedOn w:val="16"/>
    <w:qFormat/>
    <w:uiPriority w:val="0"/>
    <w:rPr>
      <w:rFonts w:ascii="Times New Roman" w:hAnsi="Times New Roman" w:eastAsia="宋体" w:cs="Times New Roman"/>
    </w:rPr>
  </w:style>
  <w:style w:type="character" w:styleId="19">
    <w:name w:val="Hyperlink"/>
    <w:basedOn w:val="16"/>
    <w:qFormat/>
    <w:uiPriority w:val="0"/>
    <w:rPr>
      <w:rFonts w:ascii="Times New Roman" w:hAnsi="Times New Roman" w:eastAsia="宋体" w:cs="Times New Roman"/>
      <w:color w:val="000000"/>
      <w:u w:val="none"/>
    </w:rPr>
  </w:style>
  <w:style w:type="character" w:styleId="20">
    <w:name w:val="footnote reference"/>
    <w:basedOn w:val="16"/>
    <w:unhideWhenUsed/>
    <w:qFormat/>
    <w:uiPriority w:val="99"/>
    <w:rPr>
      <w:rFonts w:ascii="Times New Roman" w:hAnsi="Times New Roman" w:eastAsia="宋体" w:cs="Times New Roman"/>
      <w:vertAlign w:val="superscript"/>
    </w:rPr>
  </w:style>
  <w:style w:type="paragraph" w:customStyle="1" w:styleId="21">
    <w:name w:val=" Char"/>
    <w:basedOn w:val="1"/>
    <w:qFormat/>
    <w:uiPriority w:val="0"/>
  </w:style>
  <w:style w:type="character" w:customStyle="1" w:styleId="22">
    <w:name w:val="page number"/>
    <w:basedOn w:val="16"/>
    <w:qFormat/>
    <w:uiPriority w:val="0"/>
    <w:rPr>
      <w:rFonts w:ascii="Times New Roman" w:hAnsi="Times New Roman" w:eastAsia="宋体" w:cs="Times New Roman"/>
    </w:rPr>
  </w:style>
  <w:style w:type="character" w:customStyle="1" w:styleId="23">
    <w:name w:val="NormalCharacter"/>
    <w:qFormat/>
    <w:uiPriority w:val="0"/>
    <w:rPr>
      <w:rFonts w:ascii="Times New Roman" w:hAnsi="Times New Roman" w:eastAsia="宋体" w:cs="Times New Roman"/>
    </w:rPr>
  </w:style>
  <w:style w:type="character" w:customStyle="1" w:styleId="24">
    <w:name w:val="bjh-p"/>
    <w:basedOn w:val="16"/>
    <w:qFormat/>
    <w:uiPriority w:val="99"/>
    <w:rPr>
      <w:rFonts w:ascii="Times New Roman" w:hAnsi="Times New Roman" w:eastAsia="宋体" w:cs="Times New Roman"/>
    </w:rPr>
  </w:style>
  <w:style w:type="paragraph" w:customStyle="1" w:styleId="25">
    <w:name w:val=" Char Char Char Char"/>
    <w:basedOn w:val="1"/>
    <w:qFormat/>
    <w:uiPriority w:val="0"/>
    <w:pPr>
      <w:tabs>
        <w:tab w:val="left" w:pos="360"/>
      </w:tabs>
    </w:pPr>
  </w:style>
  <w:style w:type="paragraph" w:customStyle="1" w:styleId="26">
    <w:name w:val="p0"/>
    <w:basedOn w:val="1"/>
    <w:qFormat/>
    <w:uiPriority w:val="0"/>
    <w:pPr>
      <w:widowControl/>
    </w:pPr>
    <w:rPr>
      <w:rFonts w:hint="eastAsia"/>
    </w:rPr>
  </w:style>
  <w:style w:type="paragraph" w:customStyle="1" w:styleId="27">
    <w:name w:val=" Char Char Char Char Char Char1 Char Char Char"/>
    <w:basedOn w:val="1"/>
    <w:qFormat/>
    <w:uiPriority w:val="0"/>
    <w:pPr>
      <w:autoSpaceDE w:val="0"/>
      <w:autoSpaceDN w:val="0"/>
      <w:adjustRightInd w:val="0"/>
      <w:jc w:val="left"/>
      <w:textAlignment w:val="baseline"/>
    </w:pPr>
  </w:style>
  <w:style w:type="paragraph" w:customStyle="1" w:styleId="28">
    <w:name w:val="Char Char Char Char"/>
    <w:basedOn w:val="1"/>
    <w:qFormat/>
    <w:uiPriority w:val="0"/>
    <w:pPr>
      <w:tabs>
        <w:tab w:val="left" w:pos="360"/>
      </w:tabs>
    </w:pPr>
  </w:style>
  <w:style w:type="paragraph" w:customStyle="1" w:styleId="29">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30">
    <w:name w:val="p15"/>
    <w:basedOn w:val="1"/>
    <w:qFormat/>
    <w:uiPriority w:val="0"/>
    <w:pPr>
      <w:widowControl/>
    </w:pPr>
    <w:rPr>
      <w:rFonts w:ascii="宋体" w:hAnsi="宋体"/>
    </w:rPr>
  </w:style>
  <w:style w:type="paragraph" w:styleId="31">
    <w:name w:val="List Paragraph"/>
    <w:basedOn w:val="1"/>
    <w:qFormat/>
    <w:uiPriority w:val="34"/>
    <w:pPr>
      <w:ind w:firstLine="420" w:firstLineChars="200"/>
    </w:pPr>
  </w:style>
  <w:style w:type="paragraph" w:customStyle="1" w:styleId="32">
    <w:name w:val=" Char Char Char"/>
    <w:basedOn w:val="1"/>
    <w:qFormat/>
    <w:uiPriority w:val="0"/>
  </w:style>
  <w:style w:type="paragraph" w:customStyle="1" w:styleId="33">
    <w:name w:val="p18"/>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2022-03-13T07:38:00Z</dcterms:created>
  <dc:creator>谢晓强</dc:creator>
  <cp:lastModifiedBy>谢晓强：主办人校对</cp:lastModifiedBy>
  <cp:lastPrinted>2022-03-18T22:57:00Z</cp:lastPrinted>
  <dcterms:modified xsi:type="dcterms:W3CDTF">2022-03-18T17:03:37Z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