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240" w:lineRule="auto"/>
        <w:jc w:val="both"/>
        <w:rPr>
          <w:rFonts w:hint="eastAsia" w:ascii="FangSong_GB2312" w:hAnsi="FangSong_GB2312" w:eastAsia="FangSong_GB2312" w:cs="FangSong_GB2312"/>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附件2</w:t>
      </w:r>
    </w:p>
    <w:p>
      <w:pPr>
        <w:wordWrap w:val="0"/>
        <w:snapToGrid w:val="0"/>
        <w:spacing w:line="240" w:lineRule="auto"/>
        <w:jc w:val="both"/>
        <w:rPr>
          <w:rFonts w:hint="eastAsia" w:ascii="方正小标宋简体" w:hAnsi="方正小标宋简体" w:eastAsia="方正小标宋简体" w:cs="方正小标宋简体"/>
          <w:color w:val="auto"/>
          <w:sz w:val="32"/>
          <w:szCs w:val="32"/>
          <w:lang w:val="en-US" w:eastAsia="zh-CN"/>
        </w:rPr>
      </w:pPr>
    </w:p>
    <w:p>
      <w:pPr>
        <w:widowControl w:val="0"/>
        <w:snapToGrid w:val="0"/>
        <w:spacing w:line="240" w:lineRule="auto"/>
        <w:jc w:val="center"/>
        <w:rPr>
          <w:rFonts w:hint="eastAsia" w:ascii="方正小标宋简体" w:hAnsi="方正小标宋简体" w:eastAsia="方正小标宋简体" w:cs="方正小标宋简体"/>
          <w:color w:val="auto"/>
          <w:sz w:val="42"/>
          <w:szCs w:val="42"/>
        </w:rPr>
      </w:pPr>
      <w:r>
        <w:rPr>
          <w:rFonts w:hint="eastAsia" w:ascii="方正小标宋简体" w:hAnsi="方正小标宋简体" w:eastAsia="方正小标宋简体" w:cs="方正小标宋简体"/>
          <w:color w:val="auto"/>
          <w:sz w:val="42"/>
          <w:szCs w:val="42"/>
        </w:rPr>
        <w:t>广州资本市场金融科技创新试点</w:t>
      </w:r>
    </w:p>
    <w:p>
      <w:pPr>
        <w:widowControl w:val="0"/>
        <w:snapToGrid w:val="0"/>
        <w:spacing w:line="240" w:lineRule="auto"/>
        <w:jc w:val="center"/>
        <w:rPr>
          <w:rFonts w:hint="eastAsia" w:ascii="方正小标宋简体" w:hAnsi="方正小标宋简体" w:eastAsia="方正小标宋简体" w:cs="方正小标宋简体"/>
          <w:color w:val="auto"/>
          <w:sz w:val="42"/>
          <w:szCs w:val="42"/>
        </w:rPr>
      </w:pPr>
      <w:r>
        <w:rPr>
          <w:rFonts w:hint="eastAsia" w:ascii="方正小标宋简体" w:hAnsi="方正小标宋简体" w:eastAsia="方正小标宋简体" w:cs="方正小标宋简体"/>
          <w:color w:val="auto"/>
          <w:sz w:val="42"/>
          <w:szCs w:val="42"/>
        </w:rPr>
        <w:t>项目申报表</w:t>
      </w:r>
    </w:p>
    <w:p>
      <w:pPr>
        <w:wordWrap w:val="0"/>
        <w:snapToGrid w:val="0"/>
        <w:spacing w:line="240" w:lineRule="auto"/>
        <w:jc w:val="both"/>
        <w:rPr>
          <w:rFonts w:hint="eastAsia" w:ascii="方正小标宋简体" w:hAnsi="方正小标宋简体" w:eastAsia="方正小标宋简体" w:cs="方正小标宋简体"/>
          <w:color w:val="auto"/>
          <w:sz w:val="32"/>
          <w:szCs w:val="32"/>
          <w:lang w:val="en-US" w:eastAsia="zh-CN"/>
        </w:rPr>
      </w:pPr>
    </w:p>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 xml:space="preserve">               </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b/>
          <w:bCs/>
          <w:color w:val="auto"/>
          <w:sz w:val="24"/>
          <w:szCs w:val="24"/>
        </w:rPr>
        <w:t xml:space="preserve">            </w:t>
      </w:r>
      <w:r>
        <w:rPr>
          <w:rFonts w:hint="eastAsia" w:ascii="仿宋_GB2312" w:hAnsi="仿宋_GB2312" w:eastAsia="仿宋_GB2312" w:cs="仿宋_GB2312"/>
          <w:color w:val="auto"/>
          <w:sz w:val="22"/>
        </w:rPr>
        <w:t xml:space="preserve">  </w:t>
      </w:r>
      <w:r>
        <w:rPr>
          <w:rFonts w:hint="eastAsia" w:ascii="仿宋_GB2312" w:hAnsi="仿宋_GB2312" w:eastAsia="仿宋_GB2312" w:cs="仿宋_GB2312"/>
          <w:b/>
          <w:bCs/>
          <w:color w:val="auto"/>
          <w:sz w:val="24"/>
          <w:szCs w:val="24"/>
        </w:rPr>
        <w:t xml:space="preserve">           填报时间：     年  月  日</w:t>
      </w:r>
    </w:p>
    <w:p>
      <w:pPr>
        <w:keepNext w:val="0"/>
        <w:keepLines w:val="0"/>
        <w:pageBreakBefore w:val="0"/>
        <w:widowControl w:val="0"/>
        <w:numPr>
          <w:ilvl w:val="0"/>
          <w:numId w:val="0"/>
        </w:numPr>
        <w:kinsoku/>
        <w:wordWrap/>
        <w:overflowPunct/>
        <w:topLinePunct w:val="0"/>
        <w:autoSpaceDE/>
        <w:autoSpaceDN/>
        <w:bidi w:val="0"/>
        <w:adjustRightInd/>
        <w:snapToGrid w:val="0"/>
        <w:spacing w:before="63" w:beforeLines="20" w:after="63" w:afterLines="20"/>
        <w:ind w:left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8"/>
          <w:szCs w:val="28"/>
        </w:rPr>
        <w:sym w:font="Wingdings" w:char="00A8"/>
      </w:r>
      <w:r>
        <w:rPr>
          <w:rFonts w:hint="eastAsia" w:ascii="仿宋_GB2312" w:hAnsi="仿宋_GB2312" w:eastAsia="仿宋_GB2312" w:cs="仿宋_GB2312"/>
          <w:b/>
          <w:color w:val="auto"/>
          <w:sz w:val="28"/>
          <w:szCs w:val="28"/>
          <w:lang w:val="en-US" w:eastAsia="zh-CN"/>
        </w:rPr>
        <w:t xml:space="preserve"> </w:t>
      </w:r>
      <w:r>
        <w:rPr>
          <w:rFonts w:hint="eastAsia" w:ascii="仿宋_GB2312" w:hAnsi="仿宋_GB2312" w:eastAsia="仿宋_GB2312" w:cs="仿宋_GB2312"/>
          <w:b/>
          <w:color w:val="auto"/>
          <w:sz w:val="28"/>
          <w:szCs w:val="28"/>
        </w:rPr>
        <w:t>试点申报</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4"/>
          <w:szCs w:val="24"/>
        </w:rPr>
        <w:t>（适用于纳入试点范围的机构进行项目申报，申报表所有项目均应完</w:t>
      </w:r>
    </w:p>
    <w:p>
      <w:pPr>
        <w:keepNext w:val="0"/>
        <w:keepLines w:val="0"/>
        <w:pageBreakBefore w:val="0"/>
        <w:widowControl w:val="0"/>
        <w:kinsoku/>
        <w:wordWrap/>
        <w:overflowPunct/>
        <w:topLinePunct w:val="0"/>
        <w:autoSpaceDE/>
        <w:autoSpaceDN/>
        <w:bidi w:val="0"/>
        <w:adjustRightInd/>
        <w:snapToGrid w:val="0"/>
        <w:spacing w:before="63" w:beforeLines="20" w:after="63" w:afterLines="20"/>
        <w:ind w:firstLine="1680" w:firstLineChars="7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4"/>
          <w:szCs w:val="24"/>
        </w:rPr>
        <w:t>整填写）</w:t>
      </w:r>
    </w:p>
    <w:p>
      <w:pPr>
        <w:keepNext w:val="0"/>
        <w:keepLines w:val="0"/>
        <w:pageBreakBefore w:val="0"/>
        <w:widowControl w:val="0"/>
        <w:numPr>
          <w:ilvl w:val="0"/>
          <w:numId w:val="0"/>
        </w:numPr>
        <w:kinsoku/>
        <w:wordWrap/>
        <w:overflowPunct/>
        <w:topLinePunct w:val="0"/>
        <w:autoSpaceDE/>
        <w:autoSpaceDN/>
        <w:bidi w:val="0"/>
        <w:adjustRightInd/>
        <w:snapToGrid w:val="0"/>
        <w:spacing w:before="63" w:beforeLines="20" w:after="63" w:afterLines="20"/>
        <w:ind w:leftChars="0"/>
        <w:jc w:val="distribute"/>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8"/>
          <w:szCs w:val="28"/>
        </w:rPr>
        <w:sym w:font="Wingdings" w:char="00A8"/>
      </w:r>
      <w:r>
        <w:rPr>
          <w:rFonts w:hint="eastAsia" w:ascii="仿宋_GB2312" w:hAnsi="仿宋_GB2312" w:eastAsia="仿宋_GB2312" w:cs="仿宋_GB2312"/>
          <w:b/>
          <w:color w:val="auto"/>
          <w:sz w:val="28"/>
          <w:szCs w:val="28"/>
          <w:lang w:val="en-US" w:eastAsia="zh-CN"/>
        </w:rPr>
        <w:t xml:space="preserve"> </w:t>
      </w:r>
      <w:r>
        <w:rPr>
          <w:rFonts w:hint="eastAsia" w:ascii="仿宋_GB2312" w:hAnsi="仿宋_GB2312" w:eastAsia="仿宋_GB2312" w:cs="仿宋_GB2312"/>
          <w:b/>
          <w:color w:val="auto"/>
          <w:sz w:val="28"/>
          <w:szCs w:val="28"/>
        </w:rPr>
        <w:t>辅导申报</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4"/>
          <w:szCs w:val="24"/>
        </w:rPr>
        <w:t>（适用于暂未找到试点机构联合申报的科技企业进行的项目申报，</w:t>
      </w:r>
    </w:p>
    <w:p>
      <w:pPr>
        <w:keepNext w:val="0"/>
        <w:keepLines w:val="0"/>
        <w:pageBreakBefore w:val="0"/>
        <w:widowControl w:val="0"/>
        <w:kinsoku/>
        <w:wordWrap/>
        <w:overflowPunct/>
        <w:topLinePunct w:val="0"/>
        <w:autoSpaceDE/>
        <w:autoSpaceDN/>
        <w:bidi w:val="0"/>
        <w:adjustRightInd/>
        <w:snapToGrid w:val="0"/>
        <w:spacing w:before="63" w:beforeLines="20" w:after="63" w:afterLines="20"/>
        <w:ind w:firstLine="1680" w:firstLineChars="70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标*</w:t>
      </w:r>
      <w:r>
        <w:rPr>
          <w:rFonts w:hint="eastAsia" w:ascii="仿宋_GB2312" w:hAnsi="仿宋_GB2312" w:eastAsia="仿宋_GB2312" w:cs="仿宋_GB2312"/>
          <w:color w:val="auto"/>
          <w:sz w:val="24"/>
          <w:szCs w:val="24"/>
          <w:lang w:val="en-US" w:eastAsia="zh-CN"/>
        </w:rPr>
        <w:t>栏目</w:t>
      </w:r>
      <w:r>
        <w:rPr>
          <w:rFonts w:hint="eastAsia" w:ascii="仿宋_GB2312" w:hAnsi="仿宋_GB2312" w:eastAsia="仿宋_GB2312" w:cs="仿宋_GB2312"/>
          <w:color w:val="auto"/>
          <w:sz w:val="24"/>
          <w:szCs w:val="24"/>
        </w:rPr>
        <w:t>可酌情填写，或填“暂无”、“不适用”）</w:t>
      </w:r>
    </w:p>
    <w:p>
      <w:pPr>
        <w:pStyle w:val="2"/>
        <w:rPr>
          <w:rFonts w:hint="eastAsia"/>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61"/>
        <w:gridCol w:w="51"/>
        <w:gridCol w:w="43"/>
        <w:gridCol w:w="1622"/>
        <w:gridCol w:w="1419"/>
        <w:gridCol w:w="1758"/>
        <w:gridCol w:w="1756"/>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61" w:type="dxa"/>
            <w:gridSpan w:val="9"/>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b/>
                <w:color w:val="auto"/>
                <w:sz w:val="22"/>
              </w:rPr>
            </w:pPr>
            <w:r>
              <w:rPr>
                <w:rFonts w:hint="eastAsia" w:ascii="仿宋_GB2312" w:hAnsi="仿宋_GB2312" w:eastAsia="仿宋_GB2312" w:cs="仿宋_GB2312"/>
                <w:b/>
                <w:bCs/>
                <w:color w:val="auto"/>
                <w:sz w:val="22"/>
              </w:rPr>
              <w:t>申报机构联系信息表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70" w:type="dxa"/>
            <w:gridSpan w:val="5"/>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bCs/>
                <w:color w:val="auto"/>
                <w:sz w:val="24"/>
                <w:szCs w:val="24"/>
              </w:rPr>
              <w:t>牵头申报机构名称</w:t>
            </w:r>
          </w:p>
        </w:tc>
        <w:tc>
          <w:tcPr>
            <w:tcW w:w="6691" w:type="dxa"/>
            <w:gridSpan w:val="4"/>
            <w:noWrap w:val="0"/>
            <w:vAlign w:val="top"/>
          </w:tcPr>
          <w:p>
            <w:pPr>
              <w:spacing w:line="360" w:lineRule="exact"/>
              <w:jc w:val="center"/>
              <w:rPr>
                <w:rFonts w:hint="eastAsia" w:ascii="仿宋_GB2312" w:hAnsi="仿宋_GB2312" w:eastAsia="仿宋_GB2312" w:cs="仿宋_GB2312"/>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70" w:type="dxa"/>
            <w:gridSpan w:val="5"/>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指定联系人姓名</w:t>
            </w:r>
          </w:p>
        </w:tc>
        <w:tc>
          <w:tcPr>
            <w:tcW w:w="1419"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部门与职务</w:t>
            </w:r>
          </w:p>
        </w:tc>
        <w:tc>
          <w:tcPr>
            <w:tcW w:w="1758"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办公电话</w:t>
            </w:r>
          </w:p>
        </w:tc>
        <w:tc>
          <w:tcPr>
            <w:tcW w:w="1756"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手机</w:t>
            </w:r>
          </w:p>
        </w:tc>
        <w:tc>
          <w:tcPr>
            <w:tcW w:w="1758"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3" w:type="dxa"/>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w:t>
            </w:r>
          </w:p>
        </w:tc>
        <w:tc>
          <w:tcPr>
            <w:tcW w:w="1777" w:type="dxa"/>
            <w:gridSpan w:val="4"/>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3" w:type="dxa"/>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2</w:t>
            </w:r>
          </w:p>
        </w:tc>
        <w:tc>
          <w:tcPr>
            <w:tcW w:w="1777" w:type="dxa"/>
            <w:gridSpan w:val="4"/>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3" w:type="dxa"/>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3</w:t>
            </w:r>
          </w:p>
        </w:tc>
        <w:tc>
          <w:tcPr>
            <w:tcW w:w="1777" w:type="dxa"/>
            <w:gridSpan w:val="4"/>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3" w:type="dxa"/>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w:t>
            </w:r>
          </w:p>
        </w:tc>
        <w:tc>
          <w:tcPr>
            <w:tcW w:w="1777" w:type="dxa"/>
            <w:gridSpan w:val="4"/>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3" w:type="dxa"/>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5</w:t>
            </w:r>
          </w:p>
        </w:tc>
        <w:tc>
          <w:tcPr>
            <w:tcW w:w="1777" w:type="dxa"/>
            <w:gridSpan w:val="4"/>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70" w:type="dxa"/>
            <w:gridSpan w:val="5"/>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bCs/>
                <w:color w:val="auto"/>
                <w:sz w:val="24"/>
                <w:szCs w:val="24"/>
                <w:lang w:val="en-US" w:eastAsia="zh-CN"/>
              </w:rPr>
              <w:t>*</w:t>
            </w:r>
            <w:r>
              <w:rPr>
                <w:rFonts w:hint="eastAsia" w:ascii="仿宋_GB2312" w:hAnsi="仿宋_GB2312" w:eastAsia="仿宋_GB2312" w:cs="仿宋_GB2312"/>
                <w:b/>
                <w:bCs/>
                <w:color w:val="auto"/>
                <w:sz w:val="24"/>
                <w:szCs w:val="24"/>
              </w:rPr>
              <w:t>联合申报机构名称</w:t>
            </w:r>
          </w:p>
        </w:tc>
        <w:tc>
          <w:tcPr>
            <w:tcW w:w="6691" w:type="dxa"/>
            <w:gridSpan w:val="4"/>
            <w:noWrap w:val="0"/>
            <w:vAlign w:val="top"/>
          </w:tcPr>
          <w:p>
            <w:pPr>
              <w:spacing w:line="36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（依照实际情况增加/删除）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70" w:type="dxa"/>
            <w:gridSpan w:val="5"/>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指定联系人姓名</w:t>
            </w:r>
          </w:p>
        </w:tc>
        <w:tc>
          <w:tcPr>
            <w:tcW w:w="1419"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部门与职务</w:t>
            </w:r>
          </w:p>
        </w:tc>
        <w:tc>
          <w:tcPr>
            <w:tcW w:w="1758"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办公电话</w:t>
            </w:r>
          </w:p>
        </w:tc>
        <w:tc>
          <w:tcPr>
            <w:tcW w:w="1756"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手机</w:t>
            </w:r>
          </w:p>
        </w:tc>
        <w:tc>
          <w:tcPr>
            <w:tcW w:w="1758"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4" w:type="dxa"/>
            <w:gridSpan w:val="2"/>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w:t>
            </w:r>
          </w:p>
        </w:tc>
        <w:tc>
          <w:tcPr>
            <w:tcW w:w="1716" w:type="dxa"/>
            <w:gridSpan w:val="3"/>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4" w:type="dxa"/>
            <w:gridSpan w:val="2"/>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2</w:t>
            </w:r>
          </w:p>
        </w:tc>
        <w:tc>
          <w:tcPr>
            <w:tcW w:w="1716" w:type="dxa"/>
            <w:gridSpan w:val="3"/>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4" w:type="dxa"/>
            <w:gridSpan w:val="2"/>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3</w:t>
            </w:r>
          </w:p>
        </w:tc>
        <w:tc>
          <w:tcPr>
            <w:tcW w:w="1716" w:type="dxa"/>
            <w:gridSpan w:val="3"/>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4" w:type="dxa"/>
            <w:gridSpan w:val="2"/>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w:t>
            </w:r>
          </w:p>
        </w:tc>
        <w:tc>
          <w:tcPr>
            <w:tcW w:w="1716" w:type="dxa"/>
            <w:gridSpan w:val="3"/>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4" w:type="dxa"/>
            <w:gridSpan w:val="2"/>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5</w:t>
            </w:r>
          </w:p>
        </w:tc>
        <w:tc>
          <w:tcPr>
            <w:tcW w:w="1716" w:type="dxa"/>
            <w:gridSpan w:val="3"/>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70" w:type="dxa"/>
            <w:gridSpan w:val="5"/>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bCs/>
                <w:color w:val="auto"/>
                <w:sz w:val="24"/>
                <w:szCs w:val="24"/>
                <w:lang w:val="en-US" w:eastAsia="zh-CN"/>
              </w:rPr>
              <w:t>*</w:t>
            </w:r>
            <w:r>
              <w:rPr>
                <w:rFonts w:hint="eastAsia" w:ascii="仿宋_GB2312" w:hAnsi="仿宋_GB2312" w:eastAsia="仿宋_GB2312" w:cs="仿宋_GB2312"/>
                <w:b/>
                <w:bCs/>
                <w:color w:val="auto"/>
                <w:sz w:val="24"/>
                <w:szCs w:val="24"/>
              </w:rPr>
              <w:t>联合申报机构名称</w:t>
            </w:r>
          </w:p>
        </w:tc>
        <w:tc>
          <w:tcPr>
            <w:tcW w:w="6691" w:type="dxa"/>
            <w:gridSpan w:val="4"/>
            <w:noWrap w:val="0"/>
            <w:vAlign w:val="top"/>
          </w:tcPr>
          <w:p>
            <w:pPr>
              <w:spacing w:line="36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（依照实际情况增加/删除）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70" w:type="dxa"/>
            <w:gridSpan w:val="5"/>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指定联系人姓名</w:t>
            </w:r>
          </w:p>
        </w:tc>
        <w:tc>
          <w:tcPr>
            <w:tcW w:w="1419"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部门与职务</w:t>
            </w:r>
          </w:p>
        </w:tc>
        <w:tc>
          <w:tcPr>
            <w:tcW w:w="1758"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办公电话</w:t>
            </w:r>
          </w:p>
        </w:tc>
        <w:tc>
          <w:tcPr>
            <w:tcW w:w="1756"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手机</w:t>
            </w:r>
          </w:p>
        </w:tc>
        <w:tc>
          <w:tcPr>
            <w:tcW w:w="1758"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gridSpan w:val="3"/>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w:t>
            </w:r>
          </w:p>
        </w:tc>
        <w:tc>
          <w:tcPr>
            <w:tcW w:w="1665" w:type="dxa"/>
            <w:gridSpan w:val="2"/>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gridSpan w:val="3"/>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2</w:t>
            </w:r>
          </w:p>
        </w:tc>
        <w:tc>
          <w:tcPr>
            <w:tcW w:w="1665" w:type="dxa"/>
            <w:gridSpan w:val="2"/>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gridSpan w:val="3"/>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3</w:t>
            </w:r>
          </w:p>
        </w:tc>
        <w:tc>
          <w:tcPr>
            <w:tcW w:w="1665" w:type="dxa"/>
            <w:gridSpan w:val="2"/>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gridSpan w:val="3"/>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w:t>
            </w:r>
          </w:p>
        </w:tc>
        <w:tc>
          <w:tcPr>
            <w:tcW w:w="1665" w:type="dxa"/>
            <w:gridSpan w:val="2"/>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gridSpan w:val="3"/>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5</w:t>
            </w:r>
          </w:p>
        </w:tc>
        <w:tc>
          <w:tcPr>
            <w:tcW w:w="1665" w:type="dxa"/>
            <w:gridSpan w:val="2"/>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70" w:type="dxa"/>
            <w:gridSpan w:val="5"/>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bCs/>
                <w:color w:val="auto"/>
                <w:sz w:val="24"/>
                <w:szCs w:val="24"/>
                <w:lang w:val="en-US" w:eastAsia="zh-CN"/>
              </w:rPr>
              <w:t>*</w:t>
            </w:r>
            <w:r>
              <w:rPr>
                <w:rFonts w:hint="eastAsia" w:ascii="仿宋_GB2312" w:hAnsi="仿宋_GB2312" w:eastAsia="仿宋_GB2312" w:cs="仿宋_GB2312"/>
                <w:b/>
                <w:bCs/>
                <w:color w:val="auto"/>
                <w:sz w:val="24"/>
                <w:szCs w:val="24"/>
              </w:rPr>
              <w:t>联合申报机构名称</w:t>
            </w:r>
          </w:p>
        </w:tc>
        <w:tc>
          <w:tcPr>
            <w:tcW w:w="6691" w:type="dxa"/>
            <w:gridSpan w:val="4"/>
            <w:noWrap w:val="0"/>
            <w:vAlign w:val="top"/>
          </w:tcPr>
          <w:p>
            <w:pPr>
              <w:spacing w:line="36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（依照实际情况增加/删除）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70" w:type="dxa"/>
            <w:gridSpan w:val="5"/>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指定联系人姓名</w:t>
            </w:r>
          </w:p>
        </w:tc>
        <w:tc>
          <w:tcPr>
            <w:tcW w:w="1419"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部门与职务</w:t>
            </w:r>
          </w:p>
        </w:tc>
        <w:tc>
          <w:tcPr>
            <w:tcW w:w="1758"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办公电话</w:t>
            </w:r>
          </w:p>
        </w:tc>
        <w:tc>
          <w:tcPr>
            <w:tcW w:w="1756"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手机</w:t>
            </w:r>
          </w:p>
        </w:tc>
        <w:tc>
          <w:tcPr>
            <w:tcW w:w="1758" w:type="dxa"/>
            <w:noWrap w:val="0"/>
            <w:vAlign w:val="top"/>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gridSpan w:val="4"/>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w:t>
            </w:r>
          </w:p>
        </w:tc>
        <w:tc>
          <w:tcPr>
            <w:tcW w:w="1622" w:type="dxa"/>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gridSpan w:val="4"/>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2</w:t>
            </w:r>
          </w:p>
        </w:tc>
        <w:tc>
          <w:tcPr>
            <w:tcW w:w="1622" w:type="dxa"/>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gridSpan w:val="4"/>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3</w:t>
            </w:r>
          </w:p>
        </w:tc>
        <w:tc>
          <w:tcPr>
            <w:tcW w:w="1622" w:type="dxa"/>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gridSpan w:val="4"/>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w:t>
            </w:r>
          </w:p>
        </w:tc>
        <w:tc>
          <w:tcPr>
            <w:tcW w:w="1622" w:type="dxa"/>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gridSpan w:val="4"/>
            <w:noWrap w:val="0"/>
            <w:vAlign w:val="top"/>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5</w:t>
            </w:r>
          </w:p>
        </w:tc>
        <w:tc>
          <w:tcPr>
            <w:tcW w:w="1622" w:type="dxa"/>
            <w:noWrap w:val="0"/>
            <w:vAlign w:val="top"/>
          </w:tcPr>
          <w:p>
            <w:pPr>
              <w:spacing w:line="360" w:lineRule="exact"/>
              <w:jc w:val="center"/>
              <w:rPr>
                <w:rFonts w:hint="eastAsia" w:ascii="仿宋_GB2312" w:hAnsi="仿宋_GB2312" w:eastAsia="仿宋_GB2312" w:cs="仿宋_GB2312"/>
                <w:bCs/>
                <w:color w:val="auto"/>
                <w:sz w:val="22"/>
              </w:rPr>
            </w:pPr>
          </w:p>
        </w:tc>
        <w:tc>
          <w:tcPr>
            <w:tcW w:w="1419"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c>
          <w:tcPr>
            <w:tcW w:w="1756" w:type="dxa"/>
            <w:noWrap w:val="0"/>
            <w:vAlign w:val="top"/>
          </w:tcPr>
          <w:p>
            <w:pPr>
              <w:spacing w:line="360" w:lineRule="exact"/>
              <w:jc w:val="center"/>
              <w:rPr>
                <w:rFonts w:hint="eastAsia" w:ascii="仿宋_GB2312" w:hAnsi="仿宋_GB2312" w:eastAsia="仿宋_GB2312" w:cs="仿宋_GB2312"/>
                <w:bCs/>
                <w:color w:val="auto"/>
                <w:sz w:val="22"/>
              </w:rPr>
            </w:pPr>
          </w:p>
        </w:tc>
        <w:tc>
          <w:tcPr>
            <w:tcW w:w="1758" w:type="dxa"/>
            <w:noWrap w:val="0"/>
            <w:vAlign w:val="top"/>
          </w:tcPr>
          <w:p>
            <w:pPr>
              <w:spacing w:line="360" w:lineRule="exact"/>
              <w:jc w:val="center"/>
              <w:rPr>
                <w:rFonts w:hint="eastAsia" w:ascii="仿宋_GB2312" w:hAnsi="仿宋_GB2312" w:eastAsia="仿宋_GB2312" w:cs="仿宋_GB2312"/>
                <w:bCs/>
                <w:color w:val="auto"/>
                <w:sz w:val="22"/>
              </w:rPr>
            </w:pPr>
          </w:p>
        </w:tc>
      </w:tr>
    </w:tbl>
    <w:p>
      <w:pPr>
        <w:rPr>
          <w:rFonts w:hint="eastAsia" w:ascii="仿宋_GB2312" w:hAnsi="仿宋_GB2312" w:eastAsia="仿宋_GB2312" w:cs="仿宋_GB2312"/>
          <w:color w:val="auto"/>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0" w:firstLineChars="0"/>
        <w:outlineLvl w:val="9"/>
        <w:rPr>
          <w:rFonts w:hint="eastAsia" w:ascii="宋体" w:hAnsi="宋体" w:eastAsia="宋体" w:cs="宋体"/>
          <w:color w:val="auto"/>
          <w:sz w:val="32"/>
          <w:szCs w:val="32"/>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635"/>
        <w:gridCol w:w="3614"/>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8" w:type="dxa"/>
            <w:gridSpan w:val="4"/>
            <w:noWrap w:val="0"/>
            <w:vAlign w:val="center"/>
          </w:tcPr>
          <w:p>
            <w:pPr>
              <w:spacing w:line="360" w:lineRule="exact"/>
              <w:jc w:val="center"/>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项目信息表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vMerge w:val="restart"/>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一、项目</w:t>
            </w:r>
            <w:r>
              <w:rPr>
                <w:rFonts w:hint="eastAsia" w:ascii="仿宋_GB2312" w:hAnsi="仿宋_GB2312" w:eastAsia="仿宋_GB2312" w:cs="仿宋_GB2312"/>
                <w:b/>
                <w:color w:val="auto"/>
                <w:sz w:val="22"/>
                <w:lang w:val="en-US" w:eastAsia="zh-CN"/>
              </w:rPr>
              <w:t>概况</w:t>
            </w:r>
          </w:p>
        </w:tc>
        <w:tc>
          <w:tcPr>
            <w:tcW w:w="1635"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1.1项目编号</w:t>
            </w:r>
          </w:p>
        </w:tc>
        <w:tc>
          <w:tcPr>
            <w:tcW w:w="6210" w:type="dxa"/>
            <w:gridSpan w:val="2"/>
            <w:noWrap w:val="0"/>
            <w:vAlign w:val="center"/>
          </w:tcPr>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此处留</w:t>
            </w:r>
            <w:r>
              <w:rPr>
                <w:rFonts w:hint="eastAsia" w:ascii="仿宋_GB2312" w:hAnsi="仿宋_GB2312" w:eastAsia="仿宋_GB2312" w:cs="仿宋_GB2312"/>
                <w:color w:val="auto"/>
                <w:sz w:val="22"/>
                <w:szCs w:val="22"/>
                <w:lang w:val="en-US" w:eastAsia="zh-CN"/>
              </w:rPr>
              <w:t>空</w:t>
            </w:r>
            <w:r>
              <w:rPr>
                <w:rFonts w:hint="eastAsia" w:ascii="仿宋_GB2312" w:hAnsi="仿宋_GB2312" w:eastAsia="仿宋_GB2312" w:cs="仿宋_GB2312"/>
                <w:color w:val="auto"/>
                <w:sz w:val="22"/>
              </w:rPr>
              <w:t>白，由遴选部门统一编号。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1.2项目名称</w:t>
            </w:r>
          </w:p>
        </w:tc>
        <w:tc>
          <w:tcPr>
            <w:tcW w:w="6210" w:type="dxa"/>
            <w:gridSpan w:val="2"/>
            <w:noWrap w:val="0"/>
            <w:vAlign w:val="center"/>
          </w:tcPr>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名称中不应包含品牌信息。项目名称原则上不超过20字。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1.3项目类型</w:t>
            </w:r>
          </w:p>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（可多选）</w:t>
            </w:r>
          </w:p>
        </w:tc>
        <w:tc>
          <w:tcPr>
            <w:tcW w:w="6210" w:type="dxa"/>
            <w:gridSpan w:val="2"/>
            <w:noWrap w:val="0"/>
            <w:vAlign w:val="center"/>
          </w:tcPr>
          <w:p>
            <w:pPr>
              <w:spacing w:line="360" w:lineRule="exact"/>
              <w:jc w:val="left"/>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金融服务</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业务辅助</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合规</w:t>
            </w:r>
            <w:r>
              <w:rPr>
                <w:rFonts w:hint="eastAsia" w:ascii="仿宋_GB2312" w:hAnsi="仿宋_GB2312" w:eastAsia="仿宋_GB2312" w:cs="仿宋_GB2312"/>
                <w:color w:val="auto"/>
                <w:sz w:val="22"/>
                <w:szCs w:val="22"/>
                <w:lang w:eastAsia="zh-CN"/>
              </w:rPr>
              <w:t>风控</w:t>
            </w:r>
            <w:r>
              <w:rPr>
                <w:rFonts w:hint="eastAsia" w:ascii="仿宋_GB2312" w:hAnsi="仿宋_GB2312" w:eastAsia="仿宋_GB2312" w:cs="仿宋_GB2312"/>
                <w:color w:val="auto"/>
                <w:sz w:val="22"/>
                <w:szCs w:val="22"/>
                <w:lang w:val="en-US" w:eastAsia="zh-CN"/>
              </w:rPr>
              <w:t xml:space="preserve"> </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监管科技</w:t>
            </w:r>
            <w:r>
              <w:rPr>
                <w:rFonts w:hint="eastAsia" w:ascii="仿宋_GB2312" w:hAnsi="仿宋_GB2312" w:eastAsia="仿宋_GB2312" w:cs="仿宋_GB2312"/>
                <w:color w:val="auto"/>
                <w:sz w:val="22"/>
                <w:szCs w:val="22"/>
                <w:lang w:eastAsia="zh-CN"/>
              </w:rPr>
              <w:t xml:space="preserve"> </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行业平台</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行业基础设施</w:t>
            </w:r>
          </w:p>
          <w:p>
            <w:pPr>
              <w:spacing w:line="360" w:lineRule="exact"/>
              <w:jc w:val="left"/>
              <w:rPr>
                <w:rFonts w:hint="eastAsia" w:ascii="仿宋_GB2312" w:hAnsi="仿宋_GB2312" w:eastAsia="仿宋_GB2312" w:cs="仿宋_GB2312"/>
                <w:color w:val="auto"/>
                <w:sz w:val="22"/>
                <w:szCs w:val="22"/>
                <w:u w:val="single"/>
              </w:rPr>
            </w:pP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其他(需补充说明):</w:t>
            </w:r>
            <w:r>
              <w:rPr>
                <w:rFonts w:hint="eastAsia" w:ascii="仿宋_GB2312" w:hAnsi="仿宋_GB2312" w:eastAsia="仿宋_GB2312" w:cs="仿宋_GB2312"/>
                <w:color w:val="auto"/>
                <w:sz w:val="22"/>
                <w:szCs w:val="22"/>
                <w:u w:val="single"/>
              </w:rPr>
              <w:t xml:space="preserve">                               </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u w:val="none"/>
                <w:lang w:eastAsia="zh-CN"/>
              </w:rPr>
              <w:t>金融服务</w:t>
            </w:r>
            <w:r>
              <w:rPr>
                <w:rFonts w:hint="eastAsia" w:ascii="仿宋_GB2312" w:hAnsi="仿宋_GB2312" w:eastAsia="仿宋_GB2312" w:cs="仿宋_GB2312"/>
                <w:color w:val="auto"/>
                <w:sz w:val="22"/>
                <w:szCs w:val="22"/>
                <w:u w:val="none"/>
                <w:lang w:val="en-US" w:eastAsia="zh-CN"/>
              </w:rPr>
              <w:t>类</w:t>
            </w:r>
            <w:r>
              <w:rPr>
                <w:rFonts w:hint="eastAsia" w:ascii="仿宋_GB2312" w:hAnsi="仿宋_GB2312" w:eastAsia="仿宋_GB2312" w:cs="仿宋_GB2312"/>
                <w:color w:val="auto"/>
                <w:sz w:val="22"/>
                <w:szCs w:val="22"/>
                <w:u w:val="none"/>
                <w:lang w:eastAsia="zh-CN"/>
              </w:rPr>
              <w:t>指</w:t>
            </w:r>
            <w:r>
              <w:rPr>
                <w:rFonts w:hint="eastAsia" w:ascii="仿宋_GB2312" w:hAnsi="仿宋_GB2312" w:eastAsia="仿宋_GB2312" w:cs="仿宋_GB2312"/>
                <w:color w:val="auto"/>
                <w:sz w:val="22"/>
                <w:szCs w:val="22"/>
                <w:lang w:eastAsia="zh-CN"/>
              </w:rPr>
              <w:t>利用金融科技为客户提供的现代金融服务，如智能开户、智能推荐、智能客服、智能投顾、交易服务等。</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业务辅助</w:t>
            </w:r>
            <w:r>
              <w:rPr>
                <w:rFonts w:hint="eastAsia" w:ascii="仿宋_GB2312" w:hAnsi="仿宋_GB2312" w:eastAsia="仿宋_GB2312" w:cs="仿宋_GB2312"/>
                <w:color w:val="auto"/>
                <w:sz w:val="22"/>
                <w:szCs w:val="22"/>
                <w:u w:val="none"/>
                <w:lang w:val="en-US" w:eastAsia="zh-CN"/>
              </w:rPr>
              <w:t>类</w:t>
            </w:r>
            <w:r>
              <w:rPr>
                <w:rFonts w:hint="eastAsia" w:ascii="仿宋_GB2312" w:hAnsi="仿宋_GB2312" w:eastAsia="仿宋_GB2312" w:cs="仿宋_GB2312"/>
                <w:color w:val="auto"/>
                <w:sz w:val="22"/>
                <w:szCs w:val="22"/>
                <w:lang w:eastAsia="zh-CN"/>
              </w:rPr>
              <w:t>指在金融服务业务中为机构内部服务、管理人员提供的服务，如智能营销、智能运营、智能投研、智能投资、智能运维等。</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val="en-US" w:eastAsia="zh-CN"/>
              </w:rPr>
              <w:t>合规风控</w:t>
            </w:r>
            <w:r>
              <w:rPr>
                <w:rFonts w:hint="eastAsia" w:ascii="仿宋_GB2312" w:hAnsi="仿宋_GB2312" w:eastAsia="仿宋_GB2312" w:cs="仿宋_GB2312"/>
                <w:color w:val="auto"/>
                <w:sz w:val="22"/>
                <w:szCs w:val="22"/>
                <w:u w:val="none"/>
                <w:lang w:val="en-US" w:eastAsia="zh-CN"/>
              </w:rPr>
              <w:t>类</w:t>
            </w:r>
            <w:r>
              <w:rPr>
                <w:rFonts w:hint="eastAsia" w:ascii="仿宋_GB2312" w:hAnsi="仿宋_GB2312" w:eastAsia="仿宋_GB2312" w:cs="仿宋_GB2312"/>
                <w:color w:val="auto"/>
                <w:sz w:val="22"/>
                <w:szCs w:val="22"/>
                <w:lang w:val="en-US" w:eastAsia="zh-CN"/>
              </w:rPr>
              <w:t>指运用金融科技</w:t>
            </w:r>
            <w:r>
              <w:rPr>
                <w:rFonts w:hint="eastAsia" w:ascii="仿宋_GB2312" w:hAnsi="仿宋_GB2312" w:eastAsia="仿宋_GB2312" w:cs="仿宋_GB2312"/>
                <w:color w:val="auto"/>
                <w:sz w:val="22"/>
                <w:szCs w:val="22"/>
                <w:lang w:eastAsia="zh-CN"/>
              </w:rPr>
              <w:t>提升</w:t>
            </w:r>
            <w:r>
              <w:rPr>
                <w:rFonts w:hint="eastAsia" w:ascii="仿宋_GB2312" w:hAnsi="仿宋_GB2312" w:eastAsia="仿宋_GB2312" w:cs="仿宋_GB2312"/>
                <w:color w:val="auto"/>
                <w:sz w:val="22"/>
                <w:szCs w:val="22"/>
                <w:lang w:val="en-US" w:eastAsia="zh-CN"/>
              </w:rPr>
              <w:t>内部</w:t>
            </w:r>
            <w:r>
              <w:rPr>
                <w:rFonts w:hint="eastAsia" w:ascii="仿宋_GB2312" w:hAnsi="仿宋_GB2312" w:eastAsia="仿宋_GB2312" w:cs="仿宋_GB2312"/>
                <w:color w:val="auto"/>
                <w:sz w:val="22"/>
                <w:szCs w:val="22"/>
                <w:lang w:eastAsia="zh-CN"/>
              </w:rPr>
              <w:t>合规风控效率、降低合规风控成本的项目，如合规管理、风险控制、权限核查、信用审查等。</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监管科技</w:t>
            </w:r>
            <w:r>
              <w:rPr>
                <w:rFonts w:hint="eastAsia" w:ascii="仿宋_GB2312" w:hAnsi="仿宋_GB2312" w:eastAsia="仿宋_GB2312" w:cs="仿宋_GB2312"/>
                <w:color w:val="auto"/>
                <w:sz w:val="22"/>
                <w:szCs w:val="22"/>
                <w:u w:val="none"/>
                <w:lang w:val="en-US" w:eastAsia="zh-CN"/>
              </w:rPr>
              <w:t>类</w:t>
            </w:r>
            <w:r>
              <w:rPr>
                <w:rFonts w:hint="eastAsia" w:ascii="仿宋_GB2312" w:hAnsi="仿宋_GB2312" w:eastAsia="仿宋_GB2312" w:cs="仿宋_GB2312"/>
                <w:color w:val="auto"/>
                <w:sz w:val="22"/>
                <w:szCs w:val="22"/>
                <w:lang w:eastAsia="zh-CN"/>
              </w:rPr>
              <w:t>指为监管提供智能化应用和服务，</w:t>
            </w:r>
            <w:r>
              <w:rPr>
                <w:rFonts w:hint="eastAsia" w:ascii="仿宋_GB2312" w:hAnsi="仿宋_GB2312" w:eastAsia="仿宋_GB2312" w:cs="仿宋_GB2312"/>
                <w:color w:val="auto"/>
                <w:sz w:val="22"/>
                <w:szCs w:val="22"/>
                <w:lang w:val="en-US" w:eastAsia="zh-CN"/>
              </w:rPr>
              <w:t>主要用于</w:t>
            </w:r>
            <w:r>
              <w:rPr>
                <w:rFonts w:hint="eastAsia" w:ascii="仿宋_GB2312" w:hAnsi="仿宋_GB2312" w:eastAsia="仿宋_GB2312" w:cs="仿宋_GB2312"/>
                <w:color w:val="auto"/>
                <w:sz w:val="22"/>
                <w:szCs w:val="22"/>
                <w:lang w:eastAsia="zh-CN"/>
              </w:rPr>
              <w:t>强化市场风险的监测和异常交易行为的识别能力，</w:t>
            </w:r>
            <w:r>
              <w:rPr>
                <w:rFonts w:hint="eastAsia" w:ascii="仿宋_GB2312" w:hAnsi="仿宋_GB2312" w:eastAsia="仿宋_GB2312" w:cs="仿宋_GB2312"/>
                <w:color w:val="auto"/>
                <w:sz w:val="22"/>
                <w:szCs w:val="22"/>
                <w:lang w:val="en-US" w:eastAsia="zh-CN"/>
              </w:rPr>
              <w:t>帮助发现各类证券期货违法违规行为。</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行业平台</w:t>
            </w:r>
            <w:r>
              <w:rPr>
                <w:rFonts w:hint="eastAsia" w:ascii="仿宋_GB2312" w:hAnsi="仿宋_GB2312" w:eastAsia="仿宋_GB2312" w:cs="仿宋_GB2312"/>
                <w:color w:val="auto"/>
                <w:sz w:val="22"/>
                <w:szCs w:val="22"/>
                <w:u w:val="none"/>
                <w:lang w:val="en-US" w:eastAsia="zh-CN"/>
              </w:rPr>
              <w:t>类</w:t>
            </w:r>
            <w:r>
              <w:rPr>
                <w:rFonts w:hint="eastAsia" w:ascii="仿宋_GB2312" w:hAnsi="仿宋_GB2312" w:eastAsia="仿宋_GB2312" w:cs="仿宋_GB2312"/>
                <w:color w:val="auto"/>
                <w:sz w:val="22"/>
                <w:szCs w:val="22"/>
                <w:lang w:eastAsia="zh-CN"/>
              </w:rPr>
              <w:t>指</w:t>
            </w:r>
            <w:r>
              <w:rPr>
                <w:rFonts w:hint="eastAsia" w:ascii="仿宋_GB2312" w:hAnsi="仿宋_GB2312" w:eastAsia="仿宋_GB2312" w:cs="仿宋_GB2312"/>
                <w:color w:val="auto"/>
                <w:sz w:val="22"/>
                <w:szCs w:val="22"/>
                <w:lang w:val="en-US" w:eastAsia="zh-CN"/>
              </w:rPr>
              <w:t>行业共建、共享、共用或具有普遍业务价值的科技应用及服务。</w:t>
            </w:r>
          </w:p>
          <w:p>
            <w:pPr>
              <w:spacing w:line="360" w:lineRule="exact"/>
              <w:jc w:val="left"/>
              <w:rPr>
                <w:rFonts w:hint="eastAsia" w:ascii="仿宋_GB2312" w:hAnsi="仿宋_GB2312" w:eastAsia="仿宋_GB2312" w:cs="仿宋_GB2312"/>
                <w:color w:val="auto"/>
                <w:sz w:val="22"/>
                <w:szCs w:val="22"/>
                <w:u w:val="single"/>
              </w:rPr>
            </w:pPr>
            <w:r>
              <w:rPr>
                <w:rFonts w:hint="eastAsia" w:ascii="仿宋_GB2312" w:hAnsi="仿宋_GB2312" w:eastAsia="仿宋_GB2312" w:cs="仿宋_GB2312"/>
                <w:color w:val="auto"/>
                <w:sz w:val="22"/>
                <w:szCs w:val="22"/>
                <w:lang w:val="en-US" w:eastAsia="zh-CN"/>
              </w:rPr>
              <w:t>行业基础设施类指为行业提供公共服务支撑的重要网络设施、信息系统等。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1.4项目简介</w:t>
            </w:r>
          </w:p>
        </w:tc>
        <w:tc>
          <w:tcPr>
            <w:tcW w:w="6210" w:type="dxa"/>
            <w:gridSpan w:val="2"/>
            <w:noWrap w:val="0"/>
            <w:vAlign w:val="center"/>
          </w:tcPr>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简明扼要写明项目的应用场景与业务功能、技术应用、数据应用、服务对象、预期效果、创新性、应用价值、试点目的以及其他重要信息。详细可参考二、项目基本信息中相关指引。项目简介原则上不超过800字。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1.5牵头申报单位</w:t>
            </w:r>
          </w:p>
        </w:tc>
        <w:tc>
          <w:tcPr>
            <w:tcW w:w="6210" w:type="dxa"/>
            <w:gridSpan w:val="2"/>
            <w:noWrap w:val="0"/>
            <w:vAlign w:val="center"/>
          </w:tcPr>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应填写申报单位营业执照上的名称，同时注明单位类型。单位类型包括：市场核心机构</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rPr>
              <w:t>证券公司、期货公司、基金管理公司、证券期货服务机构、区域性股权市场运营机构、基金托管机构、科技企业、其他等。例如，“xx证券有限公司，证券公司”。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lang w:val="en-US" w:eastAsia="zh-CN"/>
              </w:rPr>
              <w:t>*</w:t>
            </w:r>
            <w:r>
              <w:rPr>
                <w:rFonts w:hint="eastAsia" w:ascii="仿宋_GB2312" w:hAnsi="仿宋_GB2312" w:eastAsia="仿宋_GB2312" w:cs="仿宋_GB2312"/>
                <w:b/>
                <w:color w:val="auto"/>
                <w:sz w:val="22"/>
              </w:rPr>
              <w:t>1.6联合申报单位</w:t>
            </w:r>
          </w:p>
        </w:tc>
        <w:tc>
          <w:tcPr>
            <w:tcW w:w="6210" w:type="dxa"/>
            <w:gridSpan w:val="2"/>
            <w:noWrap w:val="0"/>
            <w:vAlign w:val="center"/>
          </w:tcPr>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填报要求同上，联合申报单位数量超过一家的，应逐行列明，并以在该项目中所承担工作的重要性为序。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lang w:val="en-US" w:eastAsia="zh-CN"/>
              </w:rPr>
              <w:t>*</w:t>
            </w:r>
            <w:r>
              <w:rPr>
                <w:rFonts w:hint="eastAsia" w:ascii="仿宋_GB2312" w:hAnsi="仿宋_GB2312" w:eastAsia="仿宋_GB2312" w:cs="仿宋_GB2312"/>
                <w:b/>
                <w:color w:val="auto"/>
                <w:sz w:val="22"/>
              </w:rPr>
              <w:t>1.7 责任与分工</w:t>
            </w:r>
          </w:p>
        </w:tc>
        <w:tc>
          <w:tcPr>
            <w:tcW w:w="6210" w:type="dxa"/>
            <w:gridSpan w:val="2"/>
            <w:noWrap w:val="0"/>
            <w:vAlign w:val="center"/>
          </w:tcPr>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填写各申报单位在项目中所承担的具体工作职责和职能分工以及贡献成果，由牵头单位开始按各单位</w:t>
            </w:r>
            <w:r>
              <w:rPr>
                <w:rFonts w:hint="eastAsia" w:ascii="仿宋_GB2312" w:hAnsi="仿宋_GB2312" w:eastAsia="仿宋_GB2312" w:cs="仿宋_GB2312"/>
                <w:color w:val="auto"/>
                <w:sz w:val="22"/>
                <w:lang w:val="en-US" w:eastAsia="zh-CN"/>
              </w:rPr>
              <w:t>在</w:t>
            </w:r>
            <w:r>
              <w:rPr>
                <w:rFonts w:hint="eastAsia" w:ascii="仿宋_GB2312" w:hAnsi="仿宋_GB2312" w:eastAsia="仿宋_GB2312" w:cs="仿宋_GB2312"/>
                <w:color w:val="auto"/>
                <w:sz w:val="22"/>
              </w:rPr>
              <w:t>项目中贡献程度逐一填写。</w:t>
            </w:r>
            <w:r>
              <w:rPr>
                <w:rFonts w:hint="eastAsia" w:ascii="仿宋_GB2312" w:hAnsi="仿宋_GB2312" w:eastAsia="仿宋_GB2312" w:cs="仿宋_GB2312"/>
                <w:b w:val="0"/>
                <w:bCs w:val="0"/>
                <w:color w:val="auto"/>
                <w:sz w:val="22"/>
              </w:rPr>
              <w:t>填写</w:t>
            </w:r>
            <w:r>
              <w:rPr>
                <w:rFonts w:hint="eastAsia" w:ascii="仿宋_GB2312" w:hAnsi="仿宋_GB2312" w:eastAsia="仿宋_GB2312" w:cs="仿宋_GB2312"/>
                <w:b w:val="0"/>
                <w:bCs w:val="0"/>
                <w:color w:val="auto"/>
                <w:sz w:val="22"/>
                <w:lang w:eastAsia="zh-CN"/>
              </w:rPr>
              <w:t>试点项目主要参与人员</w:t>
            </w:r>
            <w:r>
              <w:rPr>
                <w:rFonts w:hint="eastAsia" w:ascii="仿宋_GB2312" w:hAnsi="仿宋_GB2312" w:eastAsia="仿宋_GB2312" w:cs="仿宋_GB2312"/>
                <w:b w:val="0"/>
                <w:bCs w:val="0"/>
                <w:color w:val="auto"/>
                <w:sz w:val="22"/>
                <w:lang w:val="en-US" w:eastAsia="zh-CN"/>
              </w:rPr>
              <w:t>的</w:t>
            </w:r>
            <w:r>
              <w:rPr>
                <w:rFonts w:hint="eastAsia" w:ascii="仿宋_GB2312" w:hAnsi="仿宋_GB2312" w:eastAsia="仿宋_GB2312" w:cs="仿宋_GB2312"/>
                <w:b w:val="0"/>
                <w:bCs w:val="0"/>
                <w:color w:val="auto"/>
                <w:sz w:val="22"/>
                <w:lang w:eastAsia="zh-CN"/>
              </w:rPr>
              <w:t>单位及姓名。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二、项目基本信息</w:t>
            </w:r>
          </w:p>
        </w:tc>
        <w:tc>
          <w:tcPr>
            <w:tcW w:w="7845" w:type="dxa"/>
            <w:gridSpan w:val="3"/>
            <w:noWrap w:val="0"/>
            <w:vAlign w:val="center"/>
          </w:tcPr>
          <w:p>
            <w:pPr>
              <w:spacing w:line="360" w:lineRule="exact"/>
              <w:jc w:val="left"/>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2.1业务功能与服务</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bCs/>
                <w:color w:val="auto"/>
                <w:sz w:val="22"/>
              </w:rPr>
              <w:t>（1）</w:t>
            </w:r>
            <w:r>
              <w:rPr>
                <w:rFonts w:hint="eastAsia" w:ascii="仿宋_GB2312" w:hAnsi="仿宋_GB2312" w:eastAsia="仿宋_GB2312" w:cs="仿宋_GB2312"/>
                <w:color w:val="auto"/>
                <w:sz w:val="22"/>
              </w:rPr>
              <w:t>描述试点项目的主要应用场景，提供的主要功能、服务；可从服务主体与用户等多角度展开描述；涉及多项功能服务的，可逐条列明。</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（2）试点项目上线后的预期服务对象，区分内/外部，区分机构/个人；涉及个人投资者的，应详细描述获客渠道、服务方式、适当性要求等。</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（3）试点项目上线后的预期用户数量、资产数额、交易数额等反映业务规模的主要量化指标。</w:t>
            </w:r>
          </w:p>
          <w:p>
            <w:pPr>
              <w:spacing w:line="360" w:lineRule="exact"/>
              <w:jc w:val="left"/>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2.2数据与技术</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（1）描述试点项目使用的数据来源（内/外部数据，公开/私有数据，明确数据主体）、采集方式、使用方法等。</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（2）描述试点项目所使用的新兴技术，详细描述该技术为业务赋能的基本原理，与传统技术方案相比的价值体现。</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2.3 预期效果</w:t>
            </w:r>
            <w:r>
              <w:rPr>
                <w:rFonts w:hint="eastAsia" w:ascii="仿宋_GB2312" w:hAnsi="仿宋_GB2312" w:eastAsia="仿宋_GB2312" w:cs="仿宋_GB2312"/>
                <w:b/>
                <w:bCs/>
                <w:color w:val="auto"/>
                <w:sz w:val="22"/>
                <w:lang w:eastAsia="zh-CN"/>
              </w:rPr>
              <w:t>与应用价值</w:t>
            </w:r>
          </w:p>
          <w:p>
            <w:pPr>
              <w:spacing w:line="360" w:lineRule="exact"/>
              <w:jc w:val="left"/>
              <w:rPr>
                <w:rFonts w:hint="eastAsia" w:ascii="仿宋_GB2312" w:hAnsi="仿宋_GB2312" w:eastAsia="仿宋_GB2312" w:cs="仿宋_GB2312"/>
                <w:color w:val="auto"/>
                <w:sz w:val="22"/>
                <w:lang w:eastAsia="zh-CN"/>
              </w:rPr>
            </w:pPr>
            <w:r>
              <w:rPr>
                <w:rFonts w:hint="eastAsia" w:ascii="仿宋_GB2312" w:hAnsi="仿宋_GB2312" w:eastAsia="仿宋_GB2312" w:cs="仿宋_GB2312"/>
                <w:color w:val="auto"/>
                <w:sz w:val="22"/>
              </w:rPr>
              <w:t>描述试点项目上线后预期在服务实体经济、提升市场效能、强化监管科技</w:t>
            </w:r>
            <w:r>
              <w:rPr>
                <w:rFonts w:hint="eastAsia" w:ascii="仿宋_GB2312" w:hAnsi="仿宋_GB2312" w:eastAsia="仿宋_GB2312" w:cs="仿宋_GB2312"/>
                <w:color w:val="auto"/>
                <w:sz w:val="22"/>
                <w:lang w:eastAsia="zh-CN"/>
              </w:rPr>
              <w:t>、保障金融安全</w:t>
            </w:r>
            <w:r>
              <w:rPr>
                <w:rFonts w:hint="eastAsia" w:ascii="仿宋_GB2312" w:hAnsi="仿宋_GB2312" w:eastAsia="仿宋_GB2312" w:cs="仿宋_GB2312"/>
                <w:color w:val="auto"/>
                <w:sz w:val="22"/>
              </w:rPr>
              <w:t>等方面产生的效果</w:t>
            </w:r>
            <w:r>
              <w:rPr>
                <w:rFonts w:hint="eastAsia" w:ascii="仿宋_GB2312" w:hAnsi="仿宋_GB2312" w:eastAsia="仿宋_GB2312" w:cs="仿宋_GB2312"/>
                <w:color w:val="auto"/>
                <w:sz w:val="22"/>
                <w:lang w:eastAsia="zh-CN"/>
              </w:rPr>
              <w:t>，可重点介绍有效解决的痛点难点问题。</w:t>
            </w:r>
            <w:r>
              <w:rPr>
                <w:rFonts w:hint="eastAsia" w:ascii="仿宋_GB2312" w:hAnsi="仿宋_GB2312" w:eastAsia="仿宋_GB2312" w:cs="仿宋_GB2312"/>
                <w:b w:val="0"/>
                <w:bCs w:val="0"/>
                <w:color w:val="auto"/>
                <w:sz w:val="22"/>
                <w:szCs w:val="22"/>
                <w:lang w:eastAsia="zh-CN"/>
              </w:rPr>
              <w:t>说明项目目标的合理性。</w:t>
            </w:r>
            <w:r>
              <w:rPr>
                <w:rFonts w:hint="eastAsia" w:ascii="仿宋_GB2312" w:hAnsi="仿宋_GB2312" w:eastAsia="仿宋_GB2312" w:cs="仿宋_GB2312"/>
                <w:color w:val="auto"/>
                <w:sz w:val="22"/>
                <w:lang w:eastAsia="zh-CN"/>
              </w:rPr>
              <w:t>鼓励通过实证分析或量化指标进行说明。</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2.</w:t>
            </w:r>
            <w:r>
              <w:rPr>
                <w:rFonts w:hint="eastAsia" w:ascii="仿宋_GB2312" w:hAnsi="仿宋_GB2312" w:eastAsia="仿宋_GB2312" w:cs="仿宋_GB2312"/>
                <w:b/>
                <w:bCs/>
                <w:color w:val="auto"/>
                <w:sz w:val="22"/>
                <w:lang w:val="en-US" w:eastAsia="zh-CN"/>
              </w:rPr>
              <w:t>4</w:t>
            </w:r>
            <w:r>
              <w:rPr>
                <w:rFonts w:hint="eastAsia" w:ascii="仿宋_GB2312" w:hAnsi="仿宋_GB2312" w:eastAsia="仿宋_GB2312" w:cs="仿宋_GB2312"/>
                <w:b/>
                <w:bCs/>
                <w:color w:val="auto"/>
                <w:sz w:val="22"/>
              </w:rPr>
              <w:t>潜在困难与解决思路</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描述试点项目研发过程中可能或已经面临的各类困难，包括但不限于技术、业务、人力、资金、合规、风控等方面，以及后续解决的方向和思路。</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lang w:val="en-US" w:eastAsia="zh-CN"/>
              </w:rPr>
              <w:t>*</w:t>
            </w:r>
            <w:r>
              <w:rPr>
                <w:rFonts w:hint="eastAsia" w:ascii="仿宋_GB2312" w:hAnsi="仿宋_GB2312" w:eastAsia="仿宋_GB2312" w:cs="仿宋_GB2312"/>
                <w:b/>
                <w:bCs/>
                <w:color w:val="auto"/>
                <w:sz w:val="22"/>
              </w:rPr>
              <w:t>2.5 项目安排</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（1）简要描述或预测试点项目研发、测试、上线等各主要阶段时间节点及进展安排。申报项目原则上应已完成研发、测试等主要工作，已经在生产环境实际运行或具备短期内上线运行条件。</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（2）试点项目开发、运营的资金和人力投入，</w:t>
            </w:r>
            <w:r>
              <w:rPr>
                <w:rFonts w:hint="eastAsia" w:ascii="仿宋_GB2312" w:hAnsi="仿宋_GB2312" w:eastAsia="仿宋_GB2312" w:cs="仿宋_GB2312"/>
                <w:color w:val="auto"/>
                <w:sz w:val="22"/>
                <w:lang w:eastAsia="zh-CN"/>
              </w:rPr>
              <w:t>自研比例，</w:t>
            </w:r>
            <w:r>
              <w:rPr>
                <w:rFonts w:hint="eastAsia" w:ascii="仿宋_GB2312" w:hAnsi="仿宋_GB2312" w:eastAsia="仿宋_GB2312" w:cs="仿宋_GB2312"/>
                <w:color w:val="auto"/>
                <w:sz w:val="22"/>
              </w:rPr>
              <w:t>预计年度以及总资金和人力投入。联合申报的，各申报单位应分别注明投入情况。</w:t>
            </w:r>
          </w:p>
          <w:p>
            <w:pPr>
              <w:spacing w:line="360" w:lineRule="exact"/>
              <w:jc w:val="left"/>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2.6已获专利、认证或奖项</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color w:val="auto"/>
                <w:sz w:val="22"/>
              </w:rPr>
              <w:t>逐条填写试点项目所获得的专利、认证</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rPr>
              <w:t>奖项</w:t>
            </w:r>
            <w:r>
              <w:rPr>
                <w:rFonts w:hint="eastAsia" w:ascii="仿宋_GB2312" w:hAnsi="仿宋_GB2312" w:eastAsia="仿宋_GB2312" w:cs="仿宋_GB2312"/>
                <w:color w:val="auto"/>
                <w:sz w:val="22"/>
                <w:lang w:val="en-US" w:eastAsia="zh-CN"/>
              </w:rPr>
              <w:t>或软件著作权</w:t>
            </w:r>
            <w:r>
              <w:rPr>
                <w:rFonts w:hint="eastAsia" w:ascii="仿宋_GB2312" w:hAnsi="仿宋_GB2312" w:eastAsia="仿宋_GB2312" w:cs="仿宋_GB2312"/>
                <w:color w:val="auto"/>
                <w:sz w:val="22"/>
              </w:rPr>
              <w:t>的名称、时间及颁发单位等主要信息。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21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三、合规与风险评估</w:t>
            </w:r>
          </w:p>
        </w:tc>
        <w:tc>
          <w:tcPr>
            <w:tcW w:w="7845" w:type="dxa"/>
            <w:gridSpan w:val="3"/>
            <w:noWrap w:val="0"/>
            <w:vAlign w:val="center"/>
          </w:tcPr>
          <w:p>
            <w:pPr>
              <w:spacing w:line="360" w:lineRule="exact"/>
              <w:jc w:val="left"/>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3.1 合规性评估</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lang w:val="en-US" w:eastAsia="zh-CN"/>
              </w:rPr>
              <w:t>描述出具项目合规评估报告的部门、评估时间及评估结论（*）；</w:t>
            </w:r>
            <w:r>
              <w:rPr>
                <w:rFonts w:hint="eastAsia" w:ascii="仿宋_GB2312" w:hAnsi="仿宋_GB2312" w:eastAsia="仿宋_GB2312" w:cs="仿宋_GB2312"/>
                <w:bCs/>
                <w:color w:val="auto"/>
                <w:sz w:val="22"/>
              </w:rPr>
              <w:t>描述涉及的业务场景是否需要专业机构牌照以及机构持牌情况，列明业务涉及的监管部门与自律组织；列明</w:t>
            </w:r>
            <w:r>
              <w:rPr>
                <w:rFonts w:hint="eastAsia" w:ascii="仿宋_GB2312" w:hAnsi="仿宋_GB2312" w:eastAsia="仿宋_GB2312" w:cs="仿宋_GB2312"/>
                <w:color w:val="auto"/>
                <w:sz w:val="22"/>
              </w:rPr>
              <w:t>试点项目所涉及到的所有具有实际约束力的法律法规、部门规章、规范性文件</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lang w:val="en-US" w:eastAsia="zh-CN"/>
              </w:rPr>
              <w:t>自律规则、技术标准</w:t>
            </w:r>
            <w:r>
              <w:rPr>
                <w:rFonts w:hint="eastAsia" w:ascii="仿宋_GB2312" w:hAnsi="仿宋_GB2312" w:eastAsia="仿宋_GB2312" w:cs="仿宋_GB2312"/>
                <w:color w:val="auto"/>
                <w:sz w:val="22"/>
              </w:rPr>
              <w:t>等文件</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lang w:val="en-US" w:eastAsia="zh-CN"/>
              </w:rPr>
              <w:t>相关条款需逐条列明</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rPr>
              <w:t>，评估</w:t>
            </w:r>
            <w:r>
              <w:rPr>
                <w:rFonts w:hint="eastAsia" w:ascii="仿宋_GB2312" w:hAnsi="仿宋_GB2312" w:eastAsia="仿宋_GB2312" w:cs="仿宋_GB2312"/>
                <w:bCs/>
                <w:color w:val="auto"/>
                <w:sz w:val="22"/>
              </w:rPr>
              <w:t>现行法律法规和监管规定下的可行性与潜在风险；</w:t>
            </w:r>
            <w:r>
              <w:rPr>
                <w:rFonts w:hint="eastAsia" w:ascii="仿宋_GB2312" w:hAnsi="仿宋_GB2312" w:eastAsia="仿宋_GB2312" w:cs="仿宋_GB2312"/>
                <w:bCs/>
                <w:color w:val="auto"/>
                <w:sz w:val="22"/>
                <w:lang w:eastAsia="zh-CN"/>
              </w:rPr>
              <w:t>定期或不定期报告试点项目运行情况的机制；</w:t>
            </w:r>
            <w:r>
              <w:rPr>
                <w:rFonts w:hint="eastAsia" w:ascii="仿宋_GB2312" w:hAnsi="仿宋_GB2312" w:eastAsia="仿宋_GB2312" w:cs="仿宋_GB2312"/>
                <w:bCs/>
                <w:color w:val="auto"/>
                <w:sz w:val="22"/>
              </w:rPr>
              <w:t>与</w:t>
            </w:r>
            <w:r>
              <w:rPr>
                <w:rFonts w:hint="eastAsia" w:ascii="仿宋_GB2312" w:hAnsi="仿宋_GB2312" w:eastAsia="仿宋_GB2312" w:cs="仿宋_GB2312"/>
                <w:color w:val="auto"/>
                <w:sz w:val="22"/>
              </w:rPr>
              <w:t>相关监管部门沟通汇报试点过程中问题、难点；试点项目向监管部门提供终端或接口的相关具体安排。</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3.2 业务风险评估</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color w:val="auto"/>
                <w:sz w:val="22"/>
                <w:lang w:val="en-US" w:eastAsia="zh-CN"/>
              </w:rPr>
              <w:t>描述出具项目业务风险评估报告的部门、评估时间及评估结论（*）；</w:t>
            </w:r>
            <w:r>
              <w:rPr>
                <w:rFonts w:hint="eastAsia" w:ascii="仿宋_GB2312" w:hAnsi="仿宋_GB2312" w:eastAsia="仿宋_GB2312" w:cs="仿宋_GB2312"/>
                <w:bCs/>
                <w:color w:val="auto"/>
                <w:sz w:val="22"/>
              </w:rPr>
              <w:t>描述</w:t>
            </w:r>
            <w:r>
              <w:rPr>
                <w:rFonts w:hint="eastAsia" w:ascii="仿宋_GB2312" w:hAnsi="仿宋_GB2312" w:eastAsia="仿宋_GB2312" w:cs="仿宋_GB2312"/>
                <w:color w:val="auto"/>
                <w:sz w:val="22"/>
              </w:rPr>
              <w:t>试点项目上线后可能存在的业务风险，包括但不限于市场风险、信用风险、流动性风险、法律合规风险等；</w:t>
            </w:r>
            <w:r>
              <w:rPr>
                <w:rFonts w:hint="eastAsia" w:ascii="仿宋_GB2312" w:hAnsi="仿宋_GB2312" w:eastAsia="仿宋_GB2312" w:cs="仿宋_GB2312"/>
                <w:bCs/>
                <w:color w:val="auto"/>
                <w:sz w:val="22"/>
              </w:rPr>
              <w:t>极端事件触发下的重大风险隐患、风险预案以及补偿安排；引发系统性金融风险隐患的评估。</w:t>
            </w:r>
          </w:p>
          <w:p>
            <w:pPr>
              <w:spacing w:line="360" w:lineRule="exact"/>
              <w:jc w:val="left"/>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3.3 技术风险评估</w:t>
            </w:r>
          </w:p>
          <w:p>
            <w:pPr>
              <w:spacing w:line="360" w:lineRule="exact"/>
              <w:jc w:val="left"/>
              <w:rPr>
                <w:rFonts w:hint="default" w:ascii="仿宋_GB2312" w:hAnsi="仿宋_GB2312" w:eastAsia="仿宋_GB2312" w:cs="仿宋_GB2312"/>
                <w:bCs/>
                <w:color w:val="auto"/>
                <w:sz w:val="22"/>
                <w:lang w:val="en-US" w:eastAsia="zh-CN"/>
              </w:rPr>
            </w:pPr>
            <w:r>
              <w:rPr>
                <w:rFonts w:hint="eastAsia" w:ascii="仿宋_GB2312" w:hAnsi="仿宋_GB2312" w:eastAsia="仿宋_GB2312" w:cs="仿宋_GB2312"/>
                <w:color w:val="auto"/>
                <w:sz w:val="22"/>
                <w:lang w:val="en-US" w:eastAsia="zh-CN"/>
              </w:rPr>
              <w:t>描述出具项目技术风险评估报告的部门、评估时间及评估结论（*）；</w:t>
            </w:r>
            <w:r>
              <w:rPr>
                <w:rFonts w:hint="eastAsia" w:ascii="仿宋_GB2312" w:hAnsi="仿宋_GB2312" w:eastAsia="仿宋_GB2312" w:cs="仿宋_GB2312"/>
                <w:color w:val="auto"/>
                <w:sz w:val="22"/>
              </w:rPr>
              <w:t>试点项目涉及技术的自主可控性评估以及上线后可能存在的技术风险，包括但不限于网络安全、</w:t>
            </w:r>
            <w:r>
              <w:rPr>
                <w:rFonts w:hint="eastAsia" w:ascii="仿宋_GB2312" w:hAnsi="仿宋_GB2312" w:eastAsia="仿宋_GB2312" w:cs="仿宋_GB2312"/>
                <w:color w:val="auto"/>
                <w:sz w:val="22"/>
                <w:lang w:val="en-US" w:eastAsia="zh-CN"/>
              </w:rPr>
              <w:t>系统安全、</w:t>
            </w:r>
            <w:r>
              <w:rPr>
                <w:rFonts w:hint="eastAsia" w:ascii="仿宋_GB2312" w:hAnsi="仿宋_GB2312" w:eastAsia="仿宋_GB2312" w:cs="仿宋_GB2312"/>
                <w:color w:val="auto"/>
                <w:sz w:val="22"/>
              </w:rPr>
              <w:t>数据安全风险等；针对以上技术风险的事前防控措施</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lang w:val="en-US" w:eastAsia="zh-CN"/>
              </w:rPr>
              <w:t>事中监测手段</w:t>
            </w:r>
            <w:r>
              <w:rPr>
                <w:rFonts w:hint="eastAsia" w:ascii="仿宋_GB2312" w:hAnsi="仿宋_GB2312" w:eastAsia="仿宋_GB2312" w:cs="仿宋_GB2312"/>
                <w:color w:val="auto"/>
                <w:sz w:val="22"/>
              </w:rPr>
              <w:t>与事后应急预案</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lang w:val="en-US" w:eastAsia="zh-CN"/>
              </w:rPr>
              <w:t>定期或不定期向监管部门报告风险情况的措施。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四、创新性评估</w:t>
            </w:r>
          </w:p>
        </w:tc>
        <w:tc>
          <w:tcPr>
            <w:tcW w:w="7845" w:type="dxa"/>
            <w:gridSpan w:val="3"/>
            <w:noWrap w:val="0"/>
            <w:vAlign w:val="center"/>
          </w:tcPr>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4.1前沿技术创新</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描述试点项目</w:t>
            </w:r>
            <w:r>
              <w:rPr>
                <w:rFonts w:hint="eastAsia" w:ascii="仿宋_GB2312" w:hAnsi="仿宋_GB2312" w:eastAsia="仿宋_GB2312" w:cs="仿宋_GB2312"/>
                <w:color w:val="auto"/>
                <w:sz w:val="22"/>
                <w:lang w:val="en-US" w:eastAsia="zh-CN"/>
              </w:rPr>
              <w:t>运用</w:t>
            </w:r>
            <w:r>
              <w:rPr>
                <w:rFonts w:hint="eastAsia" w:ascii="仿宋_GB2312" w:hAnsi="仿宋_GB2312" w:eastAsia="仿宋_GB2312" w:cs="仿宋_GB2312"/>
                <w:color w:val="auto"/>
                <w:sz w:val="22"/>
              </w:rPr>
              <w:t>大数据、云计算、人工智能、区块链等新一代信息技术赋能情况</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lang w:val="en-US" w:eastAsia="zh-CN"/>
              </w:rPr>
              <w:t>并阐述项目的领先优势</w:t>
            </w:r>
            <w:r>
              <w:rPr>
                <w:rFonts w:hint="eastAsia" w:ascii="仿宋_GB2312" w:hAnsi="仿宋_GB2312" w:eastAsia="仿宋_GB2312" w:cs="仿宋_GB2312"/>
                <w:color w:val="auto"/>
                <w:sz w:val="22"/>
              </w:rPr>
              <w:t>。</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4.2 创新价值</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描述项目促进资本市场数字化发展的创新意义，包含但不限于</w:t>
            </w:r>
            <w:r>
              <w:rPr>
                <w:rFonts w:hint="eastAsia" w:ascii="仿宋_GB2312" w:hAnsi="仿宋_GB2312" w:eastAsia="仿宋_GB2312" w:cs="仿宋_GB2312"/>
                <w:color w:val="auto"/>
                <w:sz w:val="22"/>
                <w:lang w:eastAsia="zh-CN"/>
              </w:rPr>
              <w:t>项目在技术应用、业务模式、工作流程等方面的创新点，阐述与传统做法、同业做法的区别，明确是否为首创原创、</w:t>
            </w:r>
            <w:r>
              <w:rPr>
                <w:rFonts w:hint="eastAsia" w:ascii="仿宋_GB2312" w:hAnsi="仿宋_GB2312" w:eastAsia="仿宋_GB2312" w:cs="仿宋_GB2312"/>
                <w:color w:val="auto"/>
                <w:sz w:val="22"/>
                <w:lang w:val="en-US" w:eastAsia="zh-CN"/>
              </w:rPr>
              <w:t>是否具备在行业内推广使用的价值及可复制性</w:t>
            </w:r>
            <w:r>
              <w:rPr>
                <w:rFonts w:hint="eastAsia" w:ascii="仿宋_GB2312" w:hAnsi="仿宋_GB2312" w:eastAsia="仿宋_GB2312" w:cs="仿宋_GB2312"/>
                <w:color w:val="auto"/>
                <w:sz w:val="22"/>
                <w:lang w:eastAsia="zh-CN"/>
              </w:rPr>
              <w:t>等。如非首创，请说明在其他城市落地的情况介绍并与在本地落地的优劣势分析。</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4.3 促进粤港澳大湾区</w:t>
            </w:r>
            <w:r>
              <w:rPr>
                <w:rFonts w:hint="eastAsia" w:ascii="仿宋_GB2312" w:hAnsi="仿宋_GB2312" w:eastAsia="仿宋_GB2312" w:cs="仿宋_GB2312"/>
                <w:b/>
                <w:bCs/>
                <w:color w:val="auto"/>
                <w:sz w:val="22"/>
                <w:lang w:eastAsia="zh-CN"/>
              </w:rPr>
              <w:t>和地方经济高质量</w:t>
            </w:r>
            <w:r>
              <w:rPr>
                <w:rFonts w:hint="eastAsia" w:ascii="仿宋_GB2312" w:hAnsi="仿宋_GB2312" w:eastAsia="仿宋_GB2312" w:cs="仿宋_GB2312"/>
                <w:b/>
                <w:bCs/>
                <w:color w:val="auto"/>
                <w:sz w:val="22"/>
              </w:rPr>
              <w:t>发展</w:t>
            </w:r>
          </w:p>
          <w:p>
            <w:pPr>
              <w:spacing w:line="360" w:lineRule="exact"/>
              <w:jc w:val="left"/>
              <w:rPr>
                <w:rFonts w:hint="eastAsia" w:ascii="仿宋_GB2312" w:hAnsi="仿宋_GB2312" w:eastAsia="仿宋_GB2312" w:cs="仿宋_GB2312"/>
                <w:color w:val="auto"/>
                <w:sz w:val="22"/>
                <w:lang w:val="en-US" w:eastAsia="zh-CN"/>
              </w:rPr>
            </w:pPr>
            <w:r>
              <w:rPr>
                <w:rFonts w:hint="eastAsia" w:ascii="仿宋_GB2312" w:hAnsi="仿宋_GB2312" w:eastAsia="仿宋_GB2312" w:cs="仿宋_GB2312"/>
                <w:color w:val="auto"/>
                <w:sz w:val="22"/>
              </w:rPr>
              <w:t>如有，描述试点项目</w:t>
            </w:r>
            <w:r>
              <w:rPr>
                <w:rFonts w:hint="eastAsia" w:ascii="仿宋_GB2312" w:hAnsi="仿宋_GB2312" w:eastAsia="仿宋_GB2312" w:cs="仿宋_GB2312"/>
                <w:color w:val="auto"/>
                <w:sz w:val="22"/>
                <w:lang w:val="en-US" w:eastAsia="zh-CN"/>
              </w:rPr>
              <w:t>对推动粤港澳大湾区和地方经济高质量发展的重要意义，以及与广州产业发展导向的契合度。包括但不限于对</w:t>
            </w:r>
            <w:r>
              <w:rPr>
                <w:rFonts w:hint="eastAsia" w:ascii="仿宋_GB2312" w:hAnsi="仿宋_GB2312" w:eastAsia="仿宋_GB2312" w:cs="仿宋_GB2312"/>
                <w:color w:val="auto"/>
                <w:sz w:val="22"/>
              </w:rPr>
              <w:t>港澳大湾区金融建设、科技创新发展的</w:t>
            </w:r>
            <w:r>
              <w:rPr>
                <w:rFonts w:hint="eastAsia" w:ascii="仿宋_GB2312" w:hAnsi="仿宋_GB2312" w:eastAsia="仿宋_GB2312" w:cs="仿宋_GB2312"/>
                <w:color w:val="auto"/>
                <w:sz w:val="22"/>
                <w:lang w:val="en-US" w:eastAsia="zh-CN"/>
              </w:rPr>
              <w:t>重要</w:t>
            </w:r>
            <w:r>
              <w:rPr>
                <w:rFonts w:hint="eastAsia" w:ascii="仿宋_GB2312" w:hAnsi="仿宋_GB2312" w:eastAsia="仿宋_GB2312" w:cs="仿宋_GB2312"/>
                <w:color w:val="auto"/>
                <w:sz w:val="22"/>
              </w:rPr>
              <w:t>价值</w:t>
            </w:r>
            <w:r>
              <w:rPr>
                <w:rFonts w:hint="eastAsia" w:ascii="仿宋_GB2312" w:hAnsi="仿宋_GB2312" w:eastAsia="仿宋_GB2312" w:cs="仿宋_GB2312"/>
                <w:color w:val="auto"/>
                <w:sz w:val="22"/>
                <w:lang w:eastAsia="zh-CN"/>
              </w:rPr>
              <w:t>，对</w:t>
            </w:r>
            <w:r>
              <w:rPr>
                <w:rFonts w:hint="eastAsia" w:ascii="仿宋_GB2312" w:hAnsi="仿宋_GB2312" w:eastAsia="仿宋_GB2312" w:cs="仿宋_GB2312"/>
                <w:color w:val="auto"/>
                <w:sz w:val="22"/>
                <w:lang w:val="en-US" w:eastAsia="zh-CN"/>
              </w:rPr>
              <w:t>广州打造风险管理中心、资产管理中心的重要价值，对广州21个重点产业链、培育战略性支柱产业和新兴产业集群高质量发展的重要价值等。</w:t>
            </w:r>
            <w:r>
              <w:rPr>
                <w:rFonts w:hint="eastAsia" w:ascii="仿宋_GB2312" w:hAnsi="仿宋_GB2312" w:eastAsia="仿宋_GB2312" w:cs="仿宋_GB2312"/>
                <w:color w:val="auto"/>
                <w:sz w:val="22"/>
              </w:rPr>
              <w:t>鼓励试点项目与港澳金融、</w:t>
            </w:r>
            <w:r>
              <w:rPr>
                <w:rFonts w:hint="eastAsia" w:ascii="仿宋_GB2312" w:hAnsi="仿宋_GB2312" w:eastAsia="仿宋_GB2312" w:cs="仿宋_GB2312"/>
                <w:color w:val="auto"/>
                <w:sz w:val="22"/>
                <w:lang w:val="en-US" w:eastAsia="zh-CN"/>
              </w:rPr>
              <w:t>科技研究机构或</w:t>
            </w:r>
            <w:r>
              <w:rPr>
                <w:rFonts w:hint="eastAsia" w:ascii="仿宋_GB2312" w:hAnsi="仿宋_GB2312" w:eastAsia="仿宋_GB2312" w:cs="仿宋_GB2312"/>
                <w:color w:val="auto"/>
                <w:sz w:val="22"/>
              </w:rPr>
              <w:t>企业</w:t>
            </w:r>
            <w:r>
              <w:rPr>
                <w:rFonts w:hint="eastAsia" w:ascii="仿宋_GB2312" w:hAnsi="仿宋_GB2312" w:eastAsia="仿宋_GB2312" w:cs="仿宋_GB2312"/>
                <w:color w:val="auto"/>
                <w:sz w:val="22"/>
                <w:lang w:val="en-US" w:eastAsia="zh-CN"/>
              </w:rPr>
              <w:t>联动</w:t>
            </w:r>
            <w:r>
              <w:rPr>
                <w:rFonts w:hint="eastAsia" w:ascii="仿宋_GB2312" w:hAnsi="仿宋_GB2312" w:eastAsia="仿宋_GB2312" w:cs="仿宋_GB2312"/>
                <w:color w:val="auto"/>
                <w:sz w:val="22"/>
              </w:rPr>
              <w:t>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lang w:val="en-US" w:eastAsia="zh-CN"/>
              </w:rPr>
              <w:t>*</w:t>
            </w:r>
            <w:r>
              <w:rPr>
                <w:rFonts w:hint="eastAsia" w:ascii="仿宋_GB2312" w:hAnsi="仿宋_GB2312" w:eastAsia="仿宋_GB2312" w:cs="仿宋_GB2312"/>
                <w:b/>
                <w:color w:val="auto"/>
                <w:sz w:val="22"/>
              </w:rPr>
              <w:t>五、保护与退出机制</w:t>
            </w:r>
          </w:p>
        </w:tc>
        <w:tc>
          <w:tcPr>
            <w:tcW w:w="7845" w:type="dxa"/>
            <w:gridSpan w:val="3"/>
            <w:noWrap w:val="0"/>
            <w:vAlign w:val="center"/>
          </w:tcPr>
          <w:p>
            <w:pPr>
              <w:spacing w:line="360" w:lineRule="exact"/>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5.1 投资者保护机制</w:t>
            </w:r>
          </w:p>
          <w:p>
            <w:pPr>
              <w:spacing w:line="360" w:lineRule="exact"/>
              <w:rPr>
                <w:rFonts w:hint="eastAsia" w:ascii="仿宋_GB2312" w:hAnsi="仿宋_GB2312" w:eastAsia="仿宋_GB2312" w:cs="仿宋_GB2312"/>
                <w:color w:val="auto"/>
                <w:sz w:val="22"/>
              </w:rPr>
            </w:pPr>
            <w:r>
              <w:rPr>
                <w:rFonts w:hint="eastAsia" w:ascii="仿宋_GB2312" w:hAnsi="仿宋_GB2312" w:eastAsia="仿宋_GB2312" w:cs="仿宋_GB2312"/>
                <w:bCs/>
                <w:color w:val="auto"/>
                <w:sz w:val="22"/>
                <w:lang w:val="en-US" w:eastAsia="zh-CN"/>
              </w:rPr>
              <w:t>描述</w:t>
            </w:r>
            <w:r>
              <w:rPr>
                <w:rFonts w:hint="eastAsia" w:ascii="仿宋_GB2312" w:hAnsi="仿宋_GB2312" w:eastAsia="仿宋_GB2312" w:cs="仿宋_GB2312"/>
                <w:bCs/>
                <w:color w:val="auto"/>
                <w:sz w:val="22"/>
              </w:rPr>
              <w:t>客户投诉渠道与流程机制，包括但不限于通讯地址、电话、电子邮箱，</w:t>
            </w:r>
            <w:r>
              <w:rPr>
                <w:rFonts w:hint="eastAsia" w:ascii="仿宋_GB2312" w:hAnsi="仿宋_GB2312" w:eastAsia="仿宋_GB2312" w:cs="仿宋_GB2312"/>
                <w:color w:val="auto"/>
                <w:sz w:val="22"/>
              </w:rPr>
              <w:t>受理部门、受理时间、处理流程、处理时限等信息。</w:t>
            </w:r>
          </w:p>
          <w:p>
            <w:pPr>
              <w:spacing w:line="360" w:lineRule="exac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5.2 补偿与赔付机制</w:t>
            </w:r>
          </w:p>
          <w:p>
            <w:pPr>
              <w:spacing w:line="360" w:lineRule="exac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lang w:val="en-US" w:eastAsia="zh-CN"/>
              </w:rPr>
              <w:t>描述</w:t>
            </w:r>
            <w:r>
              <w:rPr>
                <w:rFonts w:hint="eastAsia" w:ascii="仿宋_GB2312" w:hAnsi="仿宋_GB2312" w:eastAsia="仿宋_GB2312" w:cs="仿宋_GB2312"/>
                <w:color w:val="auto"/>
                <w:sz w:val="22"/>
              </w:rPr>
              <w:t>就本试点项目对投资者损失风险补偿和赔付机制，对于多个单位联合申报的试点项目，应明确风险补偿责任主体。</w:t>
            </w:r>
          </w:p>
          <w:p>
            <w:pPr>
              <w:spacing w:line="360" w:lineRule="exac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5.3 退出保障机制</w:t>
            </w:r>
          </w:p>
          <w:p>
            <w:pPr>
              <w:spacing w:line="360" w:lineRule="exac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明确特殊情况下项目终止或下线时的工作安排，包括但不限于退出触发条件、业务退出、技术退出</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lang w:val="en-US" w:eastAsia="zh-CN"/>
              </w:rPr>
              <w:t>投资者和客户保护</w:t>
            </w:r>
            <w:r>
              <w:rPr>
                <w:rFonts w:hint="eastAsia" w:ascii="仿宋_GB2312" w:hAnsi="仿宋_GB2312" w:eastAsia="仿宋_GB2312" w:cs="仿宋_GB2312"/>
                <w:color w:val="auto"/>
                <w:sz w:val="22"/>
              </w:rPr>
              <w:t>安排等内容。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六、申报单位基本信息</w:t>
            </w:r>
          </w:p>
        </w:tc>
        <w:tc>
          <w:tcPr>
            <w:tcW w:w="7845" w:type="dxa"/>
            <w:gridSpan w:val="3"/>
            <w:noWrap w:val="0"/>
            <w:vAlign w:val="center"/>
          </w:tcPr>
          <w:p>
            <w:pPr>
              <w:spacing w:line="360" w:lineRule="exact"/>
              <w:jc w:val="left"/>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6.1牵头申报单位：</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（1）单位名称：</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（2）单位类型：市场核心机构、证券公司、期货公司、基金管理公司、证券期货服务机构、区域性股权市场运营机构、基金托管机构、科技企业、其他等。</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bCs/>
                <w:color w:val="auto"/>
                <w:sz w:val="22"/>
              </w:rPr>
              <w:t>（3）统一社会信用代码：</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bCs/>
                <w:color w:val="auto"/>
                <w:sz w:val="22"/>
              </w:rPr>
              <w:t>（4）注册地址（办公地址）：</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bCs/>
                <w:color w:val="auto"/>
                <w:sz w:val="22"/>
              </w:rPr>
              <w:t>（5）持有金融牌照情况：</w:t>
            </w:r>
            <w:r>
              <w:rPr>
                <w:rFonts w:hint="eastAsia" w:ascii="仿宋_GB2312" w:hAnsi="仿宋_GB2312" w:eastAsia="仿宋_GB2312" w:cs="仿宋_GB2312"/>
                <w:color w:val="auto"/>
                <w:sz w:val="22"/>
              </w:rPr>
              <w:t>申报单位所取得的全部证券期货相关业务资格情况，市场核心机构与科技企业如不持有金融牌照，可填无。</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color w:val="auto"/>
                <w:sz w:val="22"/>
              </w:rPr>
              <w:t>（6）</w:t>
            </w:r>
            <w:r>
              <w:rPr>
                <w:rFonts w:hint="eastAsia" w:ascii="仿宋_GB2312" w:hAnsi="仿宋_GB2312" w:eastAsia="仿宋_GB2312" w:cs="仿宋_GB2312"/>
                <w:bCs/>
                <w:color w:val="auto"/>
                <w:sz w:val="22"/>
              </w:rPr>
              <w:t>试点项目涉及的业务牌照：</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bCs/>
                <w:color w:val="auto"/>
                <w:sz w:val="22"/>
              </w:rPr>
              <w:t>（7）证监会备案情况：申报机构是否为中国证监会备案信息技术服务机构</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bCs/>
                <w:color w:val="auto"/>
                <w:sz w:val="22"/>
              </w:rPr>
              <w:t>（8）单位简介：</w:t>
            </w:r>
            <w:r>
              <w:rPr>
                <w:rFonts w:hint="eastAsia" w:ascii="仿宋_GB2312" w:hAnsi="仿宋_GB2312" w:eastAsia="仿宋_GB2312" w:cs="仿宋_GB2312"/>
                <w:color w:val="auto"/>
                <w:sz w:val="22"/>
              </w:rPr>
              <w:t>包括但不限于历史沿革、股东情况、资质荣誉、主营业务、主要产品或服务、主要客户等。</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lang w:val="en-US" w:eastAsia="zh-CN"/>
              </w:rPr>
              <w:t>*</w:t>
            </w:r>
            <w:r>
              <w:rPr>
                <w:rFonts w:hint="eastAsia" w:ascii="仿宋_GB2312" w:hAnsi="仿宋_GB2312" w:eastAsia="仿宋_GB2312" w:cs="仿宋_GB2312"/>
                <w:b/>
                <w:bCs/>
                <w:color w:val="auto"/>
                <w:sz w:val="22"/>
              </w:rPr>
              <w:t>6.2 联合申报单位：（依照实际情况增加/删除）</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（1）单位名称：</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（2）单位类型：市场核心机构、证券公司、期货公司、基金管理公司、证券期货服务机构、区域性股权市场运营机构、基金托管机构、科技企业、其他等。</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bCs/>
                <w:color w:val="auto"/>
                <w:sz w:val="22"/>
              </w:rPr>
              <w:t>（3）统一社会信用代码：</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bCs/>
                <w:color w:val="auto"/>
                <w:sz w:val="22"/>
              </w:rPr>
              <w:t>（4）注册地址（办公地址）：</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bCs/>
                <w:color w:val="auto"/>
                <w:sz w:val="22"/>
              </w:rPr>
              <w:t>（5）持有金融牌照情况：</w:t>
            </w:r>
            <w:r>
              <w:rPr>
                <w:rFonts w:hint="eastAsia" w:ascii="仿宋_GB2312" w:hAnsi="仿宋_GB2312" w:eastAsia="仿宋_GB2312" w:cs="仿宋_GB2312"/>
                <w:color w:val="auto"/>
                <w:sz w:val="22"/>
              </w:rPr>
              <w:t>申报单位所取得的全部证券期货相关业务资格情况，市场核心机构与科技企业如不持有金融牌照，可填无。</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color w:val="auto"/>
                <w:sz w:val="22"/>
              </w:rPr>
              <w:t>（6）</w:t>
            </w:r>
            <w:r>
              <w:rPr>
                <w:rFonts w:hint="eastAsia" w:ascii="仿宋_GB2312" w:hAnsi="仿宋_GB2312" w:eastAsia="仿宋_GB2312" w:cs="仿宋_GB2312"/>
                <w:bCs/>
                <w:color w:val="auto"/>
                <w:sz w:val="22"/>
              </w:rPr>
              <w:t>试点项目涉及的业务牌照：</w:t>
            </w:r>
          </w:p>
          <w:p>
            <w:pPr>
              <w:spacing w:line="360" w:lineRule="exact"/>
              <w:jc w:val="left"/>
              <w:rPr>
                <w:rFonts w:hint="eastAsia" w:ascii="仿宋_GB2312" w:hAnsi="仿宋_GB2312" w:eastAsia="仿宋_GB2312" w:cs="仿宋_GB2312"/>
                <w:bCs/>
                <w:color w:val="auto"/>
                <w:sz w:val="22"/>
              </w:rPr>
            </w:pPr>
            <w:r>
              <w:rPr>
                <w:rFonts w:hint="eastAsia" w:ascii="仿宋_GB2312" w:hAnsi="仿宋_GB2312" w:eastAsia="仿宋_GB2312" w:cs="仿宋_GB2312"/>
                <w:bCs/>
                <w:color w:val="auto"/>
                <w:sz w:val="22"/>
              </w:rPr>
              <w:t>（7）证监会备案情况：申报机构是否为中国证监会备案信息技术服务机构</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bCs/>
                <w:color w:val="auto"/>
                <w:sz w:val="22"/>
              </w:rPr>
              <w:t>（8）单位简介：</w:t>
            </w:r>
            <w:r>
              <w:rPr>
                <w:rFonts w:hint="eastAsia" w:ascii="仿宋_GB2312" w:hAnsi="仿宋_GB2312" w:eastAsia="仿宋_GB2312" w:cs="仿宋_GB2312"/>
                <w:color w:val="auto"/>
                <w:sz w:val="22"/>
              </w:rPr>
              <w:t>包括但不限于历史沿革、股东情况、资质荣誉、主营业务、主要产品或服务、主要客户等。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七、其他补充事项</w:t>
            </w:r>
          </w:p>
        </w:tc>
        <w:tc>
          <w:tcPr>
            <w:tcW w:w="7845" w:type="dxa"/>
            <w:gridSpan w:val="3"/>
            <w:noWrap w:val="0"/>
            <w:vAlign w:val="top"/>
          </w:tcPr>
          <w:p>
            <w:pPr>
              <w:spacing w:line="360" w:lineRule="exact"/>
              <w:jc w:val="left"/>
              <w:rPr>
                <w:rFonts w:hint="eastAsia"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3" w:type="dxa"/>
            <w:vMerge w:val="restart"/>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八、其他申报材料清单</w:t>
            </w:r>
          </w:p>
        </w:tc>
        <w:tc>
          <w:tcPr>
            <w:tcW w:w="1635"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材料名称</w:t>
            </w:r>
          </w:p>
        </w:tc>
        <w:tc>
          <w:tcPr>
            <w:tcW w:w="3614"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出具单位（部门）</w:t>
            </w:r>
          </w:p>
        </w:tc>
        <w:tc>
          <w:tcPr>
            <w:tcW w:w="2596"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时间（时效）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top"/>
          </w:tcPr>
          <w:p>
            <w:pPr>
              <w:spacing w:line="360" w:lineRule="exact"/>
              <w:jc w:val="center"/>
              <w:rPr>
                <w:rFonts w:hint="eastAsia" w:ascii="仿宋_GB2312" w:hAnsi="仿宋_GB2312" w:eastAsia="仿宋_GB2312" w:cs="仿宋_GB2312"/>
                <w:b/>
                <w:color w:val="auto"/>
                <w:sz w:val="22"/>
              </w:rPr>
            </w:pPr>
          </w:p>
        </w:tc>
        <w:tc>
          <w:tcPr>
            <w:tcW w:w="3614" w:type="dxa"/>
            <w:noWrap w:val="0"/>
            <w:vAlign w:val="top"/>
          </w:tcPr>
          <w:p>
            <w:pPr>
              <w:spacing w:line="360" w:lineRule="exact"/>
              <w:jc w:val="center"/>
              <w:rPr>
                <w:rFonts w:hint="eastAsia" w:ascii="仿宋_GB2312" w:hAnsi="仿宋_GB2312" w:eastAsia="仿宋_GB2312" w:cs="仿宋_GB2312"/>
                <w:b/>
                <w:color w:val="auto"/>
                <w:sz w:val="22"/>
              </w:rPr>
            </w:pPr>
          </w:p>
        </w:tc>
        <w:tc>
          <w:tcPr>
            <w:tcW w:w="2596" w:type="dxa"/>
            <w:noWrap w:val="0"/>
            <w:vAlign w:val="top"/>
          </w:tcPr>
          <w:p>
            <w:pPr>
              <w:spacing w:line="360" w:lineRule="exact"/>
              <w:jc w:val="center"/>
              <w:rPr>
                <w:rFonts w:hint="eastAsia" w:ascii="仿宋_GB2312" w:hAnsi="仿宋_GB2312" w:eastAsia="仿宋_GB2312" w:cs="仿宋_GB2312"/>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top"/>
          </w:tcPr>
          <w:p>
            <w:pPr>
              <w:spacing w:line="360" w:lineRule="exact"/>
              <w:jc w:val="center"/>
              <w:rPr>
                <w:rFonts w:hint="eastAsia" w:ascii="仿宋_GB2312" w:hAnsi="仿宋_GB2312" w:eastAsia="仿宋_GB2312" w:cs="仿宋_GB2312"/>
                <w:b/>
                <w:color w:val="auto"/>
                <w:sz w:val="22"/>
              </w:rPr>
            </w:pPr>
          </w:p>
        </w:tc>
        <w:tc>
          <w:tcPr>
            <w:tcW w:w="3614" w:type="dxa"/>
            <w:noWrap w:val="0"/>
            <w:vAlign w:val="top"/>
          </w:tcPr>
          <w:p>
            <w:pPr>
              <w:spacing w:line="360" w:lineRule="exact"/>
              <w:jc w:val="center"/>
              <w:rPr>
                <w:rFonts w:hint="eastAsia" w:ascii="仿宋_GB2312" w:hAnsi="仿宋_GB2312" w:eastAsia="仿宋_GB2312" w:cs="仿宋_GB2312"/>
                <w:b/>
                <w:color w:val="auto"/>
                <w:sz w:val="22"/>
              </w:rPr>
            </w:pPr>
          </w:p>
        </w:tc>
        <w:tc>
          <w:tcPr>
            <w:tcW w:w="2596" w:type="dxa"/>
            <w:noWrap w:val="0"/>
            <w:vAlign w:val="center"/>
          </w:tcPr>
          <w:p>
            <w:pPr>
              <w:spacing w:line="360" w:lineRule="exact"/>
              <w:jc w:val="center"/>
              <w:rPr>
                <w:rFonts w:hint="eastAsia" w:ascii="仿宋_GB2312" w:hAnsi="仿宋_GB2312" w:eastAsia="仿宋_GB2312" w:cs="仿宋_GB2312"/>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top"/>
          </w:tcPr>
          <w:p>
            <w:pPr>
              <w:spacing w:line="360" w:lineRule="exact"/>
              <w:jc w:val="center"/>
              <w:rPr>
                <w:rFonts w:hint="eastAsia" w:ascii="仿宋_GB2312" w:hAnsi="仿宋_GB2312" w:eastAsia="仿宋_GB2312" w:cs="仿宋_GB2312"/>
                <w:b/>
                <w:color w:val="auto"/>
                <w:sz w:val="22"/>
              </w:rPr>
            </w:pPr>
          </w:p>
        </w:tc>
        <w:tc>
          <w:tcPr>
            <w:tcW w:w="3614" w:type="dxa"/>
            <w:noWrap w:val="0"/>
            <w:vAlign w:val="top"/>
          </w:tcPr>
          <w:p>
            <w:pPr>
              <w:spacing w:line="360" w:lineRule="exact"/>
              <w:jc w:val="center"/>
              <w:rPr>
                <w:rFonts w:hint="eastAsia" w:ascii="仿宋_GB2312" w:hAnsi="仿宋_GB2312" w:eastAsia="仿宋_GB2312" w:cs="仿宋_GB2312"/>
                <w:b/>
                <w:color w:val="auto"/>
                <w:sz w:val="22"/>
              </w:rPr>
            </w:pPr>
          </w:p>
        </w:tc>
        <w:tc>
          <w:tcPr>
            <w:tcW w:w="2596" w:type="dxa"/>
            <w:noWrap w:val="0"/>
            <w:vAlign w:val="center"/>
          </w:tcPr>
          <w:p>
            <w:pPr>
              <w:spacing w:line="360" w:lineRule="exact"/>
              <w:jc w:val="center"/>
              <w:rPr>
                <w:rFonts w:hint="eastAsia" w:ascii="仿宋_GB2312" w:hAnsi="仿宋_GB2312" w:eastAsia="仿宋_GB2312" w:cs="仿宋_GB2312"/>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top"/>
          </w:tcPr>
          <w:p>
            <w:pPr>
              <w:spacing w:line="360" w:lineRule="exact"/>
              <w:jc w:val="center"/>
              <w:rPr>
                <w:rFonts w:hint="eastAsia" w:ascii="仿宋_GB2312" w:hAnsi="仿宋_GB2312" w:eastAsia="仿宋_GB2312" w:cs="仿宋_GB2312"/>
                <w:b/>
                <w:color w:val="auto"/>
                <w:sz w:val="22"/>
              </w:rPr>
            </w:pPr>
          </w:p>
        </w:tc>
        <w:tc>
          <w:tcPr>
            <w:tcW w:w="3614" w:type="dxa"/>
            <w:noWrap w:val="0"/>
            <w:vAlign w:val="top"/>
          </w:tcPr>
          <w:p>
            <w:pPr>
              <w:spacing w:line="360" w:lineRule="exact"/>
              <w:jc w:val="center"/>
              <w:rPr>
                <w:rFonts w:hint="eastAsia" w:ascii="仿宋_GB2312" w:hAnsi="仿宋_GB2312" w:eastAsia="仿宋_GB2312" w:cs="仿宋_GB2312"/>
                <w:b/>
                <w:color w:val="auto"/>
                <w:sz w:val="22"/>
              </w:rPr>
            </w:pPr>
          </w:p>
        </w:tc>
        <w:tc>
          <w:tcPr>
            <w:tcW w:w="2596" w:type="dxa"/>
            <w:noWrap w:val="0"/>
            <w:vAlign w:val="center"/>
          </w:tcPr>
          <w:p>
            <w:pPr>
              <w:spacing w:line="360" w:lineRule="exact"/>
              <w:jc w:val="center"/>
              <w:rPr>
                <w:rFonts w:hint="eastAsia" w:ascii="仿宋_GB2312" w:hAnsi="仿宋_GB2312" w:eastAsia="仿宋_GB2312" w:cs="仿宋_GB2312"/>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top"/>
          </w:tcPr>
          <w:p>
            <w:pPr>
              <w:spacing w:line="360" w:lineRule="exact"/>
              <w:jc w:val="center"/>
              <w:rPr>
                <w:rFonts w:hint="eastAsia" w:ascii="仿宋_GB2312" w:hAnsi="仿宋_GB2312" w:eastAsia="仿宋_GB2312" w:cs="仿宋_GB2312"/>
                <w:b/>
                <w:color w:val="auto"/>
                <w:sz w:val="22"/>
              </w:rPr>
            </w:pPr>
          </w:p>
        </w:tc>
        <w:tc>
          <w:tcPr>
            <w:tcW w:w="3614" w:type="dxa"/>
            <w:noWrap w:val="0"/>
            <w:vAlign w:val="top"/>
          </w:tcPr>
          <w:p>
            <w:pPr>
              <w:spacing w:line="360" w:lineRule="exact"/>
              <w:jc w:val="center"/>
              <w:rPr>
                <w:rFonts w:hint="eastAsia" w:ascii="仿宋_GB2312" w:hAnsi="仿宋_GB2312" w:eastAsia="仿宋_GB2312" w:cs="仿宋_GB2312"/>
                <w:b/>
                <w:color w:val="auto"/>
                <w:sz w:val="22"/>
              </w:rPr>
            </w:pPr>
          </w:p>
        </w:tc>
        <w:tc>
          <w:tcPr>
            <w:tcW w:w="2596" w:type="dxa"/>
            <w:noWrap w:val="0"/>
            <w:vAlign w:val="center"/>
          </w:tcPr>
          <w:p>
            <w:pPr>
              <w:spacing w:line="360" w:lineRule="exact"/>
              <w:jc w:val="center"/>
              <w:rPr>
                <w:rFonts w:hint="eastAsia" w:ascii="仿宋_GB2312" w:hAnsi="仿宋_GB2312" w:eastAsia="仿宋_GB2312" w:cs="仿宋_GB2312"/>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top"/>
          </w:tcPr>
          <w:p>
            <w:pPr>
              <w:spacing w:line="360" w:lineRule="exact"/>
              <w:jc w:val="center"/>
              <w:rPr>
                <w:rFonts w:hint="eastAsia" w:ascii="仿宋_GB2312" w:hAnsi="仿宋_GB2312" w:eastAsia="仿宋_GB2312" w:cs="仿宋_GB2312"/>
                <w:b/>
                <w:color w:val="auto"/>
                <w:sz w:val="22"/>
              </w:rPr>
            </w:pPr>
          </w:p>
        </w:tc>
        <w:tc>
          <w:tcPr>
            <w:tcW w:w="3614" w:type="dxa"/>
            <w:noWrap w:val="0"/>
            <w:vAlign w:val="top"/>
          </w:tcPr>
          <w:p>
            <w:pPr>
              <w:spacing w:line="360" w:lineRule="exact"/>
              <w:jc w:val="center"/>
              <w:rPr>
                <w:rFonts w:hint="eastAsia" w:ascii="仿宋_GB2312" w:hAnsi="仿宋_GB2312" w:eastAsia="仿宋_GB2312" w:cs="仿宋_GB2312"/>
                <w:b/>
                <w:color w:val="auto"/>
                <w:sz w:val="22"/>
              </w:rPr>
            </w:pPr>
          </w:p>
        </w:tc>
        <w:tc>
          <w:tcPr>
            <w:tcW w:w="2596" w:type="dxa"/>
            <w:noWrap w:val="0"/>
            <w:vAlign w:val="center"/>
          </w:tcPr>
          <w:p>
            <w:pPr>
              <w:spacing w:line="360" w:lineRule="exact"/>
              <w:jc w:val="center"/>
              <w:rPr>
                <w:rFonts w:hint="eastAsia" w:ascii="仿宋_GB2312" w:hAnsi="仿宋_GB2312" w:eastAsia="仿宋_GB2312" w:cs="仿宋_GB2312"/>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3" w:type="dxa"/>
            <w:vMerge w:val="continue"/>
            <w:noWrap w:val="0"/>
            <w:vAlign w:val="center"/>
          </w:tcPr>
          <w:p>
            <w:pPr>
              <w:spacing w:line="360" w:lineRule="exact"/>
              <w:jc w:val="center"/>
              <w:rPr>
                <w:rFonts w:hint="eastAsia" w:ascii="仿宋_GB2312" w:hAnsi="仿宋_GB2312" w:eastAsia="仿宋_GB2312" w:cs="仿宋_GB2312"/>
                <w:b/>
                <w:color w:val="auto"/>
                <w:sz w:val="22"/>
              </w:rPr>
            </w:pPr>
          </w:p>
        </w:tc>
        <w:tc>
          <w:tcPr>
            <w:tcW w:w="1635" w:type="dxa"/>
            <w:noWrap w:val="0"/>
            <w:vAlign w:val="top"/>
          </w:tcPr>
          <w:p>
            <w:pPr>
              <w:spacing w:line="360" w:lineRule="exact"/>
              <w:jc w:val="center"/>
              <w:rPr>
                <w:rFonts w:hint="eastAsia" w:ascii="仿宋_GB2312" w:hAnsi="仿宋_GB2312" w:eastAsia="仿宋_GB2312" w:cs="仿宋_GB2312"/>
                <w:b/>
                <w:color w:val="auto"/>
                <w:sz w:val="22"/>
              </w:rPr>
            </w:pPr>
          </w:p>
        </w:tc>
        <w:tc>
          <w:tcPr>
            <w:tcW w:w="3614" w:type="dxa"/>
            <w:noWrap w:val="0"/>
            <w:vAlign w:val="top"/>
          </w:tcPr>
          <w:p>
            <w:pPr>
              <w:spacing w:line="360" w:lineRule="exact"/>
              <w:jc w:val="center"/>
              <w:rPr>
                <w:rFonts w:hint="eastAsia" w:ascii="仿宋_GB2312" w:hAnsi="仿宋_GB2312" w:eastAsia="仿宋_GB2312" w:cs="仿宋_GB2312"/>
                <w:b/>
                <w:color w:val="auto"/>
                <w:sz w:val="22"/>
              </w:rPr>
            </w:pPr>
          </w:p>
        </w:tc>
        <w:tc>
          <w:tcPr>
            <w:tcW w:w="2596" w:type="dxa"/>
            <w:noWrap w:val="0"/>
            <w:vAlign w:val="center"/>
          </w:tcPr>
          <w:p>
            <w:pPr>
              <w:spacing w:line="360" w:lineRule="exact"/>
              <w:jc w:val="center"/>
              <w:rPr>
                <w:rFonts w:hint="eastAsia" w:ascii="仿宋_GB2312" w:hAnsi="仿宋_GB2312" w:eastAsia="仿宋_GB2312" w:cs="仿宋_GB2312"/>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1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九、牵头申报单位承诺</w:t>
            </w:r>
          </w:p>
        </w:tc>
        <w:tc>
          <w:tcPr>
            <w:tcW w:w="7845" w:type="dxa"/>
            <w:gridSpan w:val="3"/>
            <w:noWrap w:val="0"/>
            <w:vAlign w:val="top"/>
          </w:tcPr>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本单位郑重承诺：</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1.本单位在申报广州资本市场金融科技创新试点项目过程中，所提供的一切申报材料信息真实、准确和完整，本单位承诺承担与此相应的法律责任。</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2.申报项目符合依法合规、有序创新、风险可控的申报原则。</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3.申报项目不存在违法法律和行政法规情况，不包含国家秘密信息。</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4.本单位将配合监管部门完成后续评审公示、监督检查或风险处置等工作。</w:t>
            </w:r>
          </w:p>
          <w:p>
            <w:pPr>
              <w:spacing w:line="360" w:lineRule="exact"/>
              <w:rPr>
                <w:rFonts w:hint="eastAsia" w:ascii="仿宋_GB2312" w:hAnsi="仿宋_GB2312" w:eastAsia="仿宋_GB2312" w:cs="仿宋_GB2312"/>
                <w:color w:val="auto"/>
                <w:sz w:val="22"/>
              </w:rPr>
            </w:pPr>
          </w:p>
          <w:p>
            <w:pPr>
              <w:spacing w:line="360" w:lineRule="exact"/>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单位（公章）</w:t>
            </w:r>
          </w:p>
          <w:p>
            <w:pPr>
              <w:spacing w:line="360" w:lineRule="exact"/>
              <w:jc w:val="center"/>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法定代表人（签字）：  </w:t>
            </w:r>
          </w:p>
          <w:p>
            <w:pPr>
              <w:spacing w:line="360" w:lineRule="exact"/>
              <w:jc w:val="center"/>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p>
          <w:p>
            <w:pPr>
              <w:spacing w:line="360" w:lineRule="exact"/>
              <w:jc w:val="righ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年     月     日</w:t>
            </w:r>
          </w:p>
        </w:tc>
      </w:tr>
    </w:tbl>
    <w:p>
      <w:pPr>
        <w:rPr>
          <w:rFonts w:hint="eastAsia" w:ascii="仿宋_GB2312" w:hAnsi="仿宋_GB2312" w:eastAsia="仿宋_GB2312" w:cs="仿宋_GB2312"/>
          <w:b/>
          <w:color w:val="auto"/>
          <w:sz w:val="22"/>
        </w:rPr>
      </w:pPr>
      <w:r>
        <w:rPr>
          <w:rFonts w:hint="eastAsia" w:ascii="仿宋_GB2312" w:hAnsi="仿宋_GB2312" w:eastAsia="仿宋_GB2312" w:cs="仿宋_GB2312"/>
          <w:color w:val="auto"/>
          <w:sz w:val="42"/>
          <w:szCs w:val="42"/>
        </w:rPr>
        <w:br w:type="page"/>
      </w:r>
      <w:r>
        <w:rPr>
          <w:rFonts w:hint="eastAsia" w:ascii="仿宋_GB2312" w:hAnsi="仿宋_GB2312" w:eastAsia="仿宋_GB2312" w:cs="仿宋_GB2312"/>
          <w:b/>
          <w:color w:val="auto"/>
          <w:sz w:val="22"/>
        </w:rPr>
        <w:t>附页：联合申报单位承诺</w:t>
      </w:r>
    </w:p>
    <w:p>
      <w:pPr>
        <w:rPr>
          <w:rFonts w:hint="eastAsia" w:ascii="仿宋_GB2312" w:hAnsi="仿宋_GB2312" w:eastAsia="仿宋_GB2312" w:cs="仿宋_GB2312"/>
          <w:b/>
          <w:color w:val="auto"/>
          <w:sz w:val="22"/>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7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4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rPr>
              <w:t>项目名称</w:t>
            </w:r>
          </w:p>
        </w:tc>
        <w:tc>
          <w:tcPr>
            <w:tcW w:w="7717" w:type="dxa"/>
            <w:noWrap w:val="0"/>
            <w:vAlign w:val="top"/>
          </w:tcPr>
          <w:p>
            <w:pPr>
              <w:spacing w:line="360" w:lineRule="exact"/>
              <w:jc w:val="right"/>
              <w:rPr>
                <w:rFonts w:hint="eastAsia"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43" w:type="dxa"/>
            <w:noWrap w:val="0"/>
            <w:vAlign w:val="center"/>
          </w:tcPr>
          <w:p>
            <w:pPr>
              <w:spacing w:line="360" w:lineRule="exact"/>
              <w:jc w:val="center"/>
              <w:rPr>
                <w:rFonts w:hint="eastAsia" w:ascii="仿宋_GB2312" w:hAnsi="仿宋_GB2312" w:eastAsia="仿宋_GB2312" w:cs="仿宋_GB2312"/>
                <w:b/>
                <w:color w:val="auto"/>
                <w:sz w:val="22"/>
              </w:rPr>
            </w:pPr>
            <w:r>
              <w:rPr>
                <w:rFonts w:hint="eastAsia" w:ascii="仿宋_GB2312" w:hAnsi="仿宋_GB2312" w:eastAsia="仿宋_GB2312" w:cs="仿宋_GB2312"/>
                <w:b/>
                <w:color w:val="auto"/>
                <w:sz w:val="22"/>
                <w:lang w:val="en-US" w:eastAsia="zh-CN"/>
              </w:rPr>
              <w:t>*</w:t>
            </w:r>
            <w:r>
              <w:rPr>
                <w:rFonts w:hint="eastAsia" w:ascii="仿宋_GB2312" w:hAnsi="仿宋_GB2312" w:eastAsia="仿宋_GB2312" w:cs="仿宋_GB2312"/>
                <w:b/>
                <w:color w:val="auto"/>
                <w:sz w:val="22"/>
              </w:rPr>
              <w:t>联合申报单位承诺1</w:t>
            </w:r>
          </w:p>
        </w:tc>
        <w:tc>
          <w:tcPr>
            <w:tcW w:w="7717" w:type="dxa"/>
            <w:noWrap w:val="0"/>
            <w:vAlign w:val="top"/>
          </w:tcPr>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本单位郑重承诺：</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1.本单位在申报</w:t>
            </w:r>
            <w:r>
              <w:rPr>
                <w:rFonts w:hint="eastAsia" w:ascii="仿宋_GB2312" w:hAnsi="仿宋_GB2312" w:eastAsia="仿宋_GB2312" w:cs="仿宋_GB2312"/>
                <w:color w:val="auto"/>
                <w:sz w:val="22"/>
                <w:lang w:val="en-US" w:eastAsia="zh-CN"/>
              </w:rPr>
              <w:t>广州</w:t>
            </w:r>
            <w:r>
              <w:rPr>
                <w:rFonts w:hint="eastAsia" w:ascii="仿宋_GB2312" w:hAnsi="仿宋_GB2312" w:eastAsia="仿宋_GB2312" w:cs="仿宋_GB2312"/>
                <w:color w:val="auto"/>
                <w:sz w:val="22"/>
              </w:rPr>
              <w:t>资本市场金融科技创新试点项目过程中，所提供的一切申报材料信息真实、准确和完整，本单位承诺承担与此相应的法律责任。</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2.申报项目符合依法合规、有序创新、风险可控的申报原则。</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3.申报项目不存在违法法律和行政法规情况，不包含国家秘密信息。</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4.本单位将配合监管部门完成后续评审公示、监督检查或风险处置等工作。</w:t>
            </w:r>
          </w:p>
          <w:p>
            <w:pPr>
              <w:spacing w:line="360" w:lineRule="exact"/>
              <w:rPr>
                <w:rFonts w:hint="eastAsia" w:ascii="仿宋_GB2312" w:hAnsi="仿宋_GB2312" w:eastAsia="仿宋_GB2312" w:cs="仿宋_GB2312"/>
                <w:color w:val="auto"/>
                <w:sz w:val="22"/>
              </w:rPr>
            </w:pPr>
          </w:p>
          <w:p>
            <w:pPr>
              <w:spacing w:line="360" w:lineRule="exact"/>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单位（公章）</w:t>
            </w:r>
          </w:p>
          <w:p>
            <w:pPr>
              <w:spacing w:line="360" w:lineRule="exact"/>
              <w:jc w:val="center"/>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法定代表人（签字）：  </w:t>
            </w:r>
          </w:p>
          <w:p>
            <w:pPr>
              <w:spacing w:line="360" w:lineRule="exact"/>
              <w:jc w:val="center"/>
              <w:rPr>
                <w:rFonts w:hint="eastAsia" w:ascii="仿宋_GB2312" w:hAnsi="仿宋_GB2312" w:eastAsia="仿宋_GB2312" w:cs="仿宋_GB2312"/>
                <w:color w:val="auto"/>
                <w:sz w:val="22"/>
              </w:rPr>
            </w:pPr>
          </w:p>
          <w:p>
            <w:pPr>
              <w:spacing w:line="360" w:lineRule="exact"/>
              <w:jc w:val="center"/>
              <w:rPr>
                <w:rFonts w:hint="eastAsia" w:ascii="仿宋_GB2312" w:hAnsi="仿宋_GB2312" w:eastAsia="仿宋_GB2312" w:cs="仿宋_GB2312"/>
                <w:color w:val="auto"/>
                <w:sz w:val="22"/>
              </w:rPr>
            </w:pPr>
          </w:p>
          <w:p>
            <w:pPr>
              <w:spacing w:line="360" w:lineRule="exact"/>
              <w:jc w:val="righ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年      月     日</w:t>
            </w:r>
          </w:p>
        </w:tc>
      </w:tr>
    </w:tbl>
    <w:p>
      <w:pPr>
        <w:spacing w:line="560" w:lineRule="exact"/>
        <w:rPr>
          <w:rFonts w:hint="eastAsia" w:ascii="仿宋_GB2312" w:hAnsi="仿宋_GB2312" w:eastAsia="仿宋_GB2312" w:cs="仿宋_GB2312"/>
          <w:color w:val="auto"/>
          <w:sz w:val="42"/>
          <w:szCs w:val="42"/>
        </w:rPr>
      </w:pPr>
    </w:p>
    <w:p/>
    <w:sectPr>
      <w:headerReference r:id="rId4" w:type="first"/>
      <w:footerReference r:id="rId6" w:type="first"/>
      <w:headerReference r:id="rId3" w:type="default"/>
      <w:footerReference r:id="rId5"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pPr>
                          <w:r>
                            <w:rPr>
                              <w:rFonts w:hint="eastAsia" w:ascii="宋体" w:hAnsi="宋体" w:eastAsia="宋体"/>
                              <w:sz w:val="28"/>
                            </w:rPr>
                            <w:fldChar w:fldCharType="begin"/>
                          </w:r>
                          <w:r>
                            <w:rPr>
                              <w:rStyle w:val="18"/>
                              <w:rFonts w:hint="eastAsia" w:ascii="宋体" w:hAnsi="宋体" w:eastAsia="宋体"/>
                              <w:sz w:val="28"/>
                            </w:rPr>
                            <w:instrText xml:space="preserve"> PAGE  </w:instrText>
                          </w:r>
                          <w:r>
                            <w:rPr>
                              <w:rFonts w:hint="eastAsia" w:ascii="宋体" w:hAnsi="宋体" w:eastAsia="宋体"/>
                              <w:sz w:val="28"/>
                            </w:rPr>
                            <w:fldChar w:fldCharType="separate"/>
                          </w:r>
                          <w:r>
                            <w:rPr>
                              <w:rStyle w:val="18"/>
                              <w:rFonts w:hint="eastAsia" w:ascii="宋体" w:hAnsi="宋体" w:eastAsia="宋体"/>
                              <w:sz w:val="28"/>
                            </w:rPr>
                            <w:t>- 1 -</w:t>
                          </w:r>
                          <w:r>
                            <w:rPr>
                              <w:rFonts w:hint="eastAsia" w:ascii="宋体" w:hAnsi="宋体" w:eastAsia="宋体"/>
                              <w:sz w:val="28"/>
                            </w:rPr>
                            <w:fldChar w:fldCharType="end"/>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pPr>
                    <w:r>
                      <w:rPr>
                        <w:rFonts w:hint="eastAsia" w:ascii="宋体" w:hAnsi="宋体" w:eastAsia="宋体"/>
                        <w:sz w:val="28"/>
                      </w:rPr>
                      <w:fldChar w:fldCharType="begin"/>
                    </w:r>
                    <w:r>
                      <w:rPr>
                        <w:rStyle w:val="18"/>
                        <w:rFonts w:hint="eastAsia" w:ascii="宋体" w:hAnsi="宋体" w:eastAsia="宋体"/>
                        <w:sz w:val="28"/>
                      </w:rPr>
                      <w:instrText xml:space="preserve"> PAGE  </w:instrText>
                    </w:r>
                    <w:r>
                      <w:rPr>
                        <w:rFonts w:hint="eastAsia" w:ascii="宋体" w:hAnsi="宋体" w:eastAsia="宋体"/>
                        <w:sz w:val="28"/>
                      </w:rPr>
                      <w:fldChar w:fldCharType="separate"/>
                    </w:r>
                    <w:r>
                      <w:rPr>
                        <w:rStyle w:val="18"/>
                        <w:rFonts w:hint="eastAsia" w:ascii="宋体" w:hAnsi="宋体" w:eastAsia="宋体"/>
                        <w:sz w:val="28"/>
                      </w:rPr>
                      <w:t>- 1 -</w:t>
                    </w:r>
                    <w:r>
                      <w:rPr>
                        <w:rFonts w:hint="eastAsia" w:ascii="宋体" w:hAnsi="宋体" w:eastAsia="宋体"/>
                        <w:sz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val="0"/>
      <w:pBdr>
        <w:top w:val="none" w:color="auto" w:sz="0" w:space="1"/>
        <w:left w:val="none" w:color="auto" w:sz="0" w:space="4"/>
        <w:bottom w:val="none" w:color="auto" w:sz="0" w:space="1"/>
        <w:right w:val="none" w:color="auto" w:sz="0" w:space="4"/>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val="0"/>
      <w:pBdr>
        <w:top w:val="none" w:color="auto" w:sz="0" w:space="1"/>
        <w:left w:val="none" w:color="auto" w:sz="0" w:space="4"/>
        <w:bottom w:val="none" w:color="auto" w:sz="0" w:space="1"/>
        <w:right w:val="none" w:color="auto" w:sz="0" w:space="4"/>
      </w:pBdr>
      <w:snapToGri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372DEB"/>
    <w:rsid w:val="015F67AB"/>
    <w:rsid w:val="01CE463B"/>
    <w:rsid w:val="02180A42"/>
    <w:rsid w:val="02730C11"/>
    <w:rsid w:val="029605F3"/>
    <w:rsid w:val="02C564A2"/>
    <w:rsid w:val="02FA2E7F"/>
    <w:rsid w:val="032D746E"/>
    <w:rsid w:val="03677D5C"/>
    <w:rsid w:val="03F423FE"/>
    <w:rsid w:val="03FD590B"/>
    <w:rsid w:val="047C227E"/>
    <w:rsid w:val="04FE402F"/>
    <w:rsid w:val="05A9204D"/>
    <w:rsid w:val="061C3F1E"/>
    <w:rsid w:val="06362437"/>
    <w:rsid w:val="06F7384B"/>
    <w:rsid w:val="087626B0"/>
    <w:rsid w:val="0914162B"/>
    <w:rsid w:val="09BF354F"/>
    <w:rsid w:val="09F91A42"/>
    <w:rsid w:val="0A0B694C"/>
    <w:rsid w:val="0BDF0354"/>
    <w:rsid w:val="0C215420"/>
    <w:rsid w:val="0D461F1B"/>
    <w:rsid w:val="0D4E03C6"/>
    <w:rsid w:val="0D747E76"/>
    <w:rsid w:val="0DED2233"/>
    <w:rsid w:val="0E487D4B"/>
    <w:rsid w:val="0EAB437C"/>
    <w:rsid w:val="0EAE5FD7"/>
    <w:rsid w:val="0EDFF911"/>
    <w:rsid w:val="0F27650B"/>
    <w:rsid w:val="0F624B52"/>
    <w:rsid w:val="0F744AAA"/>
    <w:rsid w:val="104D6117"/>
    <w:rsid w:val="122D4E4C"/>
    <w:rsid w:val="12612F80"/>
    <w:rsid w:val="12932A9D"/>
    <w:rsid w:val="12C24FAF"/>
    <w:rsid w:val="138804B8"/>
    <w:rsid w:val="13C423FE"/>
    <w:rsid w:val="14116DDD"/>
    <w:rsid w:val="147F623B"/>
    <w:rsid w:val="150E1BE1"/>
    <w:rsid w:val="15B83CCA"/>
    <w:rsid w:val="15EE75A3"/>
    <w:rsid w:val="180247DB"/>
    <w:rsid w:val="183D344B"/>
    <w:rsid w:val="1A526FA8"/>
    <w:rsid w:val="1ABC3D08"/>
    <w:rsid w:val="1C881E71"/>
    <w:rsid w:val="1CC23B6F"/>
    <w:rsid w:val="1DD94299"/>
    <w:rsid w:val="1DDB7F04"/>
    <w:rsid w:val="1DE72CDB"/>
    <w:rsid w:val="1E120618"/>
    <w:rsid w:val="1E474528"/>
    <w:rsid w:val="1E6127D9"/>
    <w:rsid w:val="1EA435A5"/>
    <w:rsid w:val="1EDC59DF"/>
    <w:rsid w:val="1EED77BD"/>
    <w:rsid w:val="1EFA2511"/>
    <w:rsid w:val="1F2C4C5A"/>
    <w:rsid w:val="1FA1438C"/>
    <w:rsid w:val="1FB274CB"/>
    <w:rsid w:val="1FD558F5"/>
    <w:rsid w:val="1FF45D69"/>
    <w:rsid w:val="1FF53222"/>
    <w:rsid w:val="20080340"/>
    <w:rsid w:val="20216437"/>
    <w:rsid w:val="22122CFF"/>
    <w:rsid w:val="228B2276"/>
    <w:rsid w:val="22CF3825"/>
    <w:rsid w:val="22F17F25"/>
    <w:rsid w:val="23607416"/>
    <w:rsid w:val="23F20886"/>
    <w:rsid w:val="24690B04"/>
    <w:rsid w:val="24A31C89"/>
    <w:rsid w:val="2594209A"/>
    <w:rsid w:val="25B91838"/>
    <w:rsid w:val="260B2142"/>
    <w:rsid w:val="26B16727"/>
    <w:rsid w:val="26E12159"/>
    <w:rsid w:val="26E23A9A"/>
    <w:rsid w:val="26F15FCE"/>
    <w:rsid w:val="286D4313"/>
    <w:rsid w:val="28A93F22"/>
    <w:rsid w:val="296D0030"/>
    <w:rsid w:val="29762218"/>
    <w:rsid w:val="29807CAB"/>
    <w:rsid w:val="29932758"/>
    <w:rsid w:val="2A2243D0"/>
    <w:rsid w:val="2ADF1073"/>
    <w:rsid w:val="2BEA02A8"/>
    <w:rsid w:val="2C1E747C"/>
    <w:rsid w:val="2C2D794C"/>
    <w:rsid w:val="2C2F48A7"/>
    <w:rsid w:val="2C58531A"/>
    <w:rsid w:val="2C6634E6"/>
    <w:rsid w:val="2D5548FB"/>
    <w:rsid w:val="2D67391C"/>
    <w:rsid w:val="2D686191"/>
    <w:rsid w:val="2E027ECE"/>
    <w:rsid w:val="2E436AD0"/>
    <w:rsid w:val="2E9E7B61"/>
    <w:rsid w:val="2EBC3AF3"/>
    <w:rsid w:val="2EFD1A17"/>
    <w:rsid w:val="2F3F293A"/>
    <w:rsid w:val="2FF522A3"/>
    <w:rsid w:val="2FFD55E6"/>
    <w:rsid w:val="30832693"/>
    <w:rsid w:val="31890C82"/>
    <w:rsid w:val="31DE3AE7"/>
    <w:rsid w:val="31ED1789"/>
    <w:rsid w:val="32047B2F"/>
    <w:rsid w:val="32821F33"/>
    <w:rsid w:val="328B46AA"/>
    <w:rsid w:val="329E78EE"/>
    <w:rsid w:val="33581A9E"/>
    <w:rsid w:val="339B04CE"/>
    <w:rsid w:val="33D86318"/>
    <w:rsid w:val="35F6354D"/>
    <w:rsid w:val="36537779"/>
    <w:rsid w:val="36794CCB"/>
    <w:rsid w:val="38056875"/>
    <w:rsid w:val="38320B34"/>
    <w:rsid w:val="3861681F"/>
    <w:rsid w:val="38631F75"/>
    <w:rsid w:val="38931DD0"/>
    <w:rsid w:val="38C47576"/>
    <w:rsid w:val="38F31FD9"/>
    <w:rsid w:val="3B201364"/>
    <w:rsid w:val="3CAD59F5"/>
    <w:rsid w:val="3D253376"/>
    <w:rsid w:val="3D2C5D68"/>
    <w:rsid w:val="3DDA2350"/>
    <w:rsid w:val="3DDA55AB"/>
    <w:rsid w:val="3EE83C54"/>
    <w:rsid w:val="3FF9442F"/>
    <w:rsid w:val="40AC43AD"/>
    <w:rsid w:val="41091B74"/>
    <w:rsid w:val="410B008F"/>
    <w:rsid w:val="4118750A"/>
    <w:rsid w:val="418B34BF"/>
    <w:rsid w:val="4262770F"/>
    <w:rsid w:val="42676CDC"/>
    <w:rsid w:val="426C40A6"/>
    <w:rsid w:val="42D9692D"/>
    <w:rsid w:val="42E95ED9"/>
    <w:rsid w:val="431D00F9"/>
    <w:rsid w:val="435A4636"/>
    <w:rsid w:val="44B9708B"/>
    <w:rsid w:val="44CE06E5"/>
    <w:rsid w:val="45464255"/>
    <w:rsid w:val="45515CE4"/>
    <w:rsid w:val="45907997"/>
    <w:rsid w:val="4668266D"/>
    <w:rsid w:val="467D58FC"/>
    <w:rsid w:val="47263C39"/>
    <w:rsid w:val="4737779C"/>
    <w:rsid w:val="47476D80"/>
    <w:rsid w:val="476659EF"/>
    <w:rsid w:val="476F0A1B"/>
    <w:rsid w:val="47D60CF9"/>
    <w:rsid w:val="48A86974"/>
    <w:rsid w:val="48E35832"/>
    <w:rsid w:val="4917241E"/>
    <w:rsid w:val="49901361"/>
    <w:rsid w:val="49E80694"/>
    <w:rsid w:val="4A7E504F"/>
    <w:rsid w:val="4A824BF2"/>
    <w:rsid w:val="4BF1474F"/>
    <w:rsid w:val="4C720FF5"/>
    <w:rsid w:val="4D1D1029"/>
    <w:rsid w:val="4D464B04"/>
    <w:rsid w:val="4DB61A99"/>
    <w:rsid w:val="4DC37651"/>
    <w:rsid w:val="4DE71526"/>
    <w:rsid w:val="4E3915AB"/>
    <w:rsid w:val="4EB31570"/>
    <w:rsid w:val="4EC7262E"/>
    <w:rsid w:val="4FF72B11"/>
    <w:rsid w:val="4FFB0E94"/>
    <w:rsid w:val="50B008CB"/>
    <w:rsid w:val="510E0ED8"/>
    <w:rsid w:val="515D1AB6"/>
    <w:rsid w:val="516E054E"/>
    <w:rsid w:val="51980980"/>
    <w:rsid w:val="520B3AE2"/>
    <w:rsid w:val="52927D99"/>
    <w:rsid w:val="53121A18"/>
    <w:rsid w:val="5364737B"/>
    <w:rsid w:val="53F80A99"/>
    <w:rsid w:val="551129A7"/>
    <w:rsid w:val="552F48C3"/>
    <w:rsid w:val="55E92CB8"/>
    <w:rsid w:val="55EF7347"/>
    <w:rsid w:val="563A641E"/>
    <w:rsid w:val="566627FA"/>
    <w:rsid w:val="56717DA4"/>
    <w:rsid w:val="56A75421"/>
    <w:rsid w:val="57AC68F3"/>
    <w:rsid w:val="585B182F"/>
    <w:rsid w:val="59065FAD"/>
    <w:rsid w:val="59204E1E"/>
    <w:rsid w:val="594929A7"/>
    <w:rsid w:val="59722651"/>
    <w:rsid w:val="59AF2006"/>
    <w:rsid w:val="59B36EE4"/>
    <w:rsid w:val="59F272A6"/>
    <w:rsid w:val="5AFD3168"/>
    <w:rsid w:val="5B166700"/>
    <w:rsid w:val="5B871C94"/>
    <w:rsid w:val="5C0C2FAA"/>
    <w:rsid w:val="5C116D6F"/>
    <w:rsid w:val="5D7B3299"/>
    <w:rsid w:val="5D920C70"/>
    <w:rsid w:val="5DA47E3F"/>
    <w:rsid w:val="5DB0265C"/>
    <w:rsid w:val="5DDE24BF"/>
    <w:rsid w:val="5E7575A1"/>
    <w:rsid w:val="5F4167BE"/>
    <w:rsid w:val="5FEDB81F"/>
    <w:rsid w:val="5FFEF088"/>
    <w:rsid w:val="60191804"/>
    <w:rsid w:val="604D0C61"/>
    <w:rsid w:val="60603F32"/>
    <w:rsid w:val="607337CA"/>
    <w:rsid w:val="608D7BC9"/>
    <w:rsid w:val="612133E3"/>
    <w:rsid w:val="61DA2BAA"/>
    <w:rsid w:val="61EF6520"/>
    <w:rsid w:val="626214AE"/>
    <w:rsid w:val="62693A0C"/>
    <w:rsid w:val="62D24DE0"/>
    <w:rsid w:val="637B02A6"/>
    <w:rsid w:val="63BE3B90"/>
    <w:rsid w:val="64700335"/>
    <w:rsid w:val="649D207E"/>
    <w:rsid w:val="64E903CB"/>
    <w:rsid w:val="64F004D8"/>
    <w:rsid w:val="65004F40"/>
    <w:rsid w:val="65074DE4"/>
    <w:rsid w:val="65C04D80"/>
    <w:rsid w:val="660721E2"/>
    <w:rsid w:val="66BA39F6"/>
    <w:rsid w:val="66CA32C7"/>
    <w:rsid w:val="6761524D"/>
    <w:rsid w:val="67E37D26"/>
    <w:rsid w:val="67EA3E29"/>
    <w:rsid w:val="684D5C8B"/>
    <w:rsid w:val="68A45415"/>
    <w:rsid w:val="69DF7284"/>
    <w:rsid w:val="6A1D1A06"/>
    <w:rsid w:val="6ADE45D8"/>
    <w:rsid w:val="6B332372"/>
    <w:rsid w:val="6B3E2614"/>
    <w:rsid w:val="6B6B4C7B"/>
    <w:rsid w:val="6BC8413E"/>
    <w:rsid w:val="6C407867"/>
    <w:rsid w:val="6C5F4071"/>
    <w:rsid w:val="6CF9152F"/>
    <w:rsid w:val="6D45664E"/>
    <w:rsid w:val="6D6600AC"/>
    <w:rsid w:val="6DBC52D1"/>
    <w:rsid w:val="6E0A367C"/>
    <w:rsid w:val="6E623B07"/>
    <w:rsid w:val="6EEC5C46"/>
    <w:rsid w:val="6F0F2CFF"/>
    <w:rsid w:val="6F190C99"/>
    <w:rsid w:val="702E27B7"/>
    <w:rsid w:val="708922AD"/>
    <w:rsid w:val="70962B35"/>
    <w:rsid w:val="70E743AF"/>
    <w:rsid w:val="71573B1B"/>
    <w:rsid w:val="71A0384E"/>
    <w:rsid w:val="71BB64B5"/>
    <w:rsid w:val="720D1B15"/>
    <w:rsid w:val="720E2323"/>
    <w:rsid w:val="723F38C9"/>
    <w:rsid w:val="726415C8"/>
    <w:rsid w:val="727710ED"/>
    <w:rsid w:val="740172BD"/>
    <w:rsid w:val="7568660C"/>
    <w:rsid w:val="75BD01D3"/>
    <w:rsid w:val="769E44BA"/>
    <w:rsid w:val="76A47548"/>
    <w:rsid w:val="7795593C"/>
    <w:rsid w:val="782560C4"/>
    <w:rsid w:val="782F56F8"/>
    <w:rsid w:val="78A23967"/>
    <w:rsid w:val="790415DD"/>
    <w:rsid w:val="79281782"/>
    <w:rsid w:val="7A49079F"/>
    <w:rsid w:val="7AA87E6D"/>
    <w:rsid w:val="7AF35F6D"/>
    <w:rsid w:val="7AF9226D"/>
    <w:rsid w:val="7B52120B"/>
    <w:rsid w:val="7C8E487B"/>
    <w:rsid w:val="7CB73546"/>
    <w:rsid w:val="7D4365B7"/>
    <w:rsid w:val="7D5C3BCB"/>
    <w:rsid w:val="7D623226"/>
    <w:rsid w:val="7D6718B8"/>
    <w:rsid w:val="7DBE7389"/>
    <w:rsid w:val="7DEB319E"/>
    <w:rsid w:val="7DFBBBB7"/>
    <w:rsid w:val="7E5A62DB"/>
    <w:rsid w:val="7EC74F7C"/>
    <w:rsid w:val="7EDC7429"/>
    <w:rsid w:val="7F1E61F8"/>
    <w:rsid w:val="7F697785"/>
    <w:rsid w:val="92EF738A"/>
    <w:rsid w:val="9FB7643B"/>
    <w:rsid w:val="BB6F8FD9"/>
    <w:rsid w:val="BEFF3C13"/>
    <w:rsid w:val="BF567CE6"/>
    <w:rsid w:val="DF7E0793"/>
    <w:rsid w:val="DFEFCFB5"/>
    <w:rsid w:val="EBFF97CC"/>
    <w:rsid w:val="EF3289DB"/>
    <w:rsid w:val="EFC5AC06"/>
    <w:rsid w:val="FBEF91C3"/>
    <w:rsid w:val="FD775E7D"/>
    <w:rsid w:val="FFBFF487"/>
    <w:rsid w:val="FFEFEC55"/>
    <w:rsid w:val="FFFE5C22"/>
    <w:rsid w:val="FFFF0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9"/>
    <w:pPr>
      <w:keepNext/>
      <w:keepLines/>
      <w:spacing w:line="413" w:lineRule="auto"/>
      <w:outlineLvl w:val="2"/>
    </w:pPr>
    <w:rPr>
      <w:b/>
      <w:sz w:val="32"/>
    </w:rPr>
  </w:style>
  <w:style w:type="paragraph" w:styleId="5">
    <w:name w:val="heading 4"/>
    <w:basedOn w:val="1"/>
    <w:next w:val="1"/>
    <w:unhideWhenUsed/>
    <w:qFormat/>
    <w:uiPriority w:val="9"/>
    <w:pPr>
      <w:spacing w:before="100" w:beforeAutospacing="1" w:after="100" w:afterAutospacing="1"/>
      <w:jc w:val="left"/>
    </w:pPr>
    <w:rPr>
      <w:rFonts w:hint="eastAsia" w:ascii="宋体" w:hAnsi="宋体" w:eastAsia="宋体" w:cs="宋体"/>
      <w:b/>
      <w:kern w:val="0"/>
      <w:sz w:val="24"/>
      <w:szCs w:val="24"/>
      <w:lang w:val="en-US" w:eastAsia="zh-CN" w:bidi="ar-SA"/>
    </w:rPr>
  </w:style>
  <w:style w:type="character" w:default="1" w:styleId="16">
    <w:name w:val="Default Paragraph Font"/>
    <w:qFormat/>
    <w:uiPriority w:val="0"/>
  </w:style>
  <w:style w:type="table" w:default="1" w:styleId="15">
    <w:name w:val="Normal Table"/>
    <w:unhideWhenUsed/>
    <w:qFormat/>
    <w:uiPriority w:val="99"/>
    <w:tblPr>
      <w:tblCellMar>
        <w:top w:w="0" w:type="dxa"/>
        <w:left w:w="108" w:type="dxa"/>
        <w:bottom w:w="0" w:type="dxa"/>
        <w:right w:w="108" w:type="dxa"/>
      </w:tblCellMar>
    </w:tblPr>
  </w:style>
  <w:style w:type="paragraph" w:customStyle="1" w:styleId="2">
    <w:name w:val="NormalIndent"/>
    <w:basedOn w:val="1"/>
    <w:next w:val="1"/>
    <w:qFormat/>
    <w:uiPriority w:val="0"/>
    <w:pPr>
      <w:spacing w:line="240" w:lineRule="auto"/>
      <w:ind w:firstLine="420"/>
      <w:jc w:val="both"/>
      <w:textAlignment w:val="baseline"/>
    </w:pPr>
    <w:rPr>
      <w:rFonts w:ascii="宋体" w:hAnsi="Calibri"/>
      <w:kern w:val="0"/>
      <w:sz w:val="21"/>
      <w:szCs w:val="24"/>
      <w:lang w:val="en-US" w:eastAsia="zh-CN" w:bidi="ar-SA"/>
    </w:rPr>
  </w:style>
  <w:style w:type="paragraph" w:styleId="6">
    <w:name w:val="annotation text"/>
    <w:basedOn w:val="1"/>
    <w:unhideWhenUsed/>
    <w:qFormat/>
    <w:uiPriority w:val="99"/>
    <w:pPr>
      <w:jc w:val="left"/>
    </w:pPr>
  </w:style>
  <w:style w:type="paragraph" w:styleId="7">
    <w:name w:val="Body Text"/>
    <w:basedOn w:val="1"/>
    <w:qFormat/>
    <w:uiPriority w:val="0"/>
    <w:pPr>
      <w:spacing w:line="320" w:lineRule="exact"/>
      <w:jc w:val="center"/>
    </w:pPr>
    <w:rPr>
      <w:rFonts w:hint="eastAsia" w:ascii="Times New Roman" w:hAnsi="Times New Roman" w:eastAsia="宋体" w:cs="Times New Roman"/>
      <w:sz w:val="21"/>
      <w:szCs w:val="24"/>
      <w:lang w:bidi="ar-SA"/>
    </w:rPr>
  </w:style>
  <w:style w:type="paragraph" w:styleId="8">
    <w:name w:val="Body Text Indent"/>
    <w:basedOn w:val="1"/>
    <w:qFormat/>
    <w:uiPriority w:val="0"/>
    <w:pPr>
      <w:adjustRightInd w:val="0"/>
      <w:snapToGrid w:val="0"/>
      <w:spacing w:line="360" w:lineRule="auto"/>
      <w:ind w:firstLine="632" w:firstLineChars="200"/>
    </w:pPr>
    <w:rPr>
      <w:rFonts w:eastAsia="仿宋_GB2312"/>
      <w:spacing w:val="8"/>
      <w:kern w:val="2"/>
      <w:sz w:val="3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toc 1"/>
    <w:basedOn w:val="1"/>
    <w:next w:val="1"/>
    <w:qFormat/>
    <w:uiPriority w:val="0"/>
  </w:style>
  <w:style w:type="paragraph" w:styleId="12">
    <w:name w:val="footnote text"/>
    <w:basedOn w:val="1"/>
    <w:unhideWhenUsed/>
    <w:qFormat/>
    <w:uiPriority w:val="99"/>
    <w:pPr>
      <w:snapToGrid w:val="0"/>
      <w:jc w:val="left"/>
    </w:pPr>
    <w:rPr>
      <w:sz w:val="18"/>
    </w:rPr>
  </w:style>
  <w:style w:type="paragraph" w:styleId="13">
    <w:name w:val="Body Text 2"/>
    <w:basedOn w:val="1"/>
    <w:qFormat/>
    <w:uiPriority w:val="0"/>
    <w:pPr>
      <w:tabs>
        <w:tab w:val="right" w:pos="9360"/>
      </w:tabs>
    </w:pPr>
    <w:rPr>
      <w:sz w:val="24"/>
      <w:szCs w:val="20"/>
    </w:rPr>
  </w:style>
  <w:style w:type="paragraph" w:styleId="14">
    <w:name w:val="Normal (Web)"/>
    <w:basedOn w:val="1"/>
    <w:qFormat/>
    <w:uiPriority w:val="0"/>
    <w:rPr>
      <w:sz w:val="24"/>
    </w:rPr>
  </w:style>
  <w:style w:type="character" w:styleId="17">
    <w:name w:val="Strong"/>
    <w:basedOn w:val="16"/>
    <w:qFormat/>
    <w:uiPriority w:val="0"/>
    <w:rPr>
      <w:rFonts w:hint="default" w:ascii="Times New Roman" w:hAnsi="Times New Roman" w:eastAsia="宋体" w:cs="Times New Roman"/>
      <w:b/>
    </w:rPr>
  </w:style>
  <w:style w:type="character" w:styleId="18">
    <w:name w:val="page number"/>
    <w:basedOn w:val="16"/>
    <w:qFormat/>
    <w:uiPriority w:val="0"/>
    <w:rPr>
      <w:rFonts w:ascii="Times New Roman" w:hAnsi="Times New Roman" w:eastAsia="宋体" w:cs="Times New Roman"/>
    </w:rPr>
  </w:style>
  <w:style w:type="character" w:styleId="19">
    <w:name w:val="Hyperlink"/>
    <w:basedOn w:val="16"/>
    <w:qFormat/>
    <w:uiPriority w:val="0"/>
    <w:rPr>
      <w:rFonts w:ascii="Times New Roman" w:hAnsi="Times New Roman" w:eastAsia="宋体" w:cs="Times New Roman"/>
      <w:color w:val="000000"/>
      <w:u w:val="none"/>
    </w:rPr>
  </w:style>
  <w:style w:type="character" w:styleId="20">
    <w:name w:val="footnote reference"/>
    <w:basedOn w:val="16"/>
    <w:unhideWhenUsed/>
    <w:qFormat/>
    <w:uiPriority w:val="99"/>
    <w:rPr>
      <w:rFonts w:ascii="Times New Roman" w:hAnsi="Times New Roman" w:eastAsia="宋体" w:cs="Times New Roman"/>
      <w:vertAlign w:val="superscript"/>
    </w:rPr>
  </w:style>
  <w:style w:type="paragraph" w:customStyle="1" w:styleId="21">
    <w:name w:val=" Char"/>
    <w:basedOn w:val="1"/>
    <w:qFormat/>
    <w:uiPriority w:val="0"/>
  </w:style>
  <w:style w:type="character" w:customStyle="1" w:styleId="22">
    <w:name w:val="page number"/>
    <w:basedOn w:val="16"/>
    <w:qFormat/>
    <w:uiPriority w:val="0"/>
    <w:rPr>
      <w:rFonts w:ascii="Times New Roman" w:hAnsi="Times New Roman" w:eastAsia="宋体" w:cs="Times New Roman"/>
    </w:rPr>
  </w:style>
  <w:style w:type="character" w:customStyle="1" w:styleId="23">
    <w:name w:val="NormalCharacter"/>
    <w:qFormat/>
    <w:uiPriority w:val="0"/>
    <w:rPr>
      <w:rFonts w:ascii="Times New Roman" w:hAnsi="Times New Roman" w:eastAsia="宋体" w:cs="Times New Roman"/>
    </w:rPr>
  </w:style>
  <w:style w:type="character" w:customStyle="1" w:styleId="24">
    <w:name w:val="bjh-p"/>
    <w:basedOn w:val="16"/>
    <w:qFormat/>
    <w:uiPriority w:val="99"/>
    <w:rPr>
      <w:rFonts w:ascii="Times New Roman" w:hAnsi="Times New Roman" w:eastAsia="宋体" w:cs="Times New Roman"/>
    </w:rPr>
  </w:style>
  <w:style w:type="paragraph" w:customStyle="1" w:styleId="25">
    <w:name w:val=" Char Char Char Char"/>
    <w:basedOn w:val="1"/>
    <w:qFormat/>
    <w:uiPriority w:val="0"/>
    <w:pPr>
      <w:tabs>
        <w:tab w:val="left" w:pos="360"/>
      </w:tabs>
    </w:pPr>
  </w:style>
  <w:style w:type="paragraph" w:customStyle="1" w:styleId="26">
    <w:name w:val="p0"/>
    <w:basedOn w:val="1"/>
    <w:qFormat/>
    <w:uiPriority w:val="0"/>
    <w:pPr>
      <w:widowControl/>
    </w:pPr>
    <w:rPr>
      <w:rFonts w:hint="eastAsia"/>
    </w:rPr>
  </w:style>
  <w:style w:type="paragraph" w:customStyle="1" w:styleId="27">
    <w:name w:val=" Char Char Char Char Char Char1 Char Char Char"/>
    <w:basedOn w:val="1"/>
    <w:qFormat/>
    <w:uiPriority w:val="0"/>
    <w:pPr>
      <w:autoSpaceDE w:val="0"/>
      <w:autoSpaceDN w:val="0"/>
      <w:adjustRightInd w:val="0"/>
      <w:jc w:val="left"/>
      <w:textAlignment w:val="baseline"/>
    </w:pPr>
  </w:style>
  <w:style w:type="paragraph" w:customStyle="1" w:styleId="28">
    <w:name w:val="Char Char Char Char"/>
    <w:basedOn w:val="1"/>
    <w:qFormat/>
    <w:uiPriority w:val="0"/>
    <w:pPr>
      <w:tabs>
        <w:tab w:val="left" w:pos="360"/>
      </w:tabs>
    </w:pPr>
  </w:style>
  <w:style w:type="paragraph" w:customStyle="1" w:styleId="29">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30">
    <w:name w:val="p15"/>
    <w:basedOn w:val="1"/>
    <w:qFormat/>
    <w:uiPriority w:val="0"/>
    <w:pPr>
      <w:widowControl/>
    </w:pPr>
    <w:rPr>
      <w:rFonts w:ascii="宋体" w:hAnsi="宋体"/>
    </w:rPr>
  </w:style>
  <w:style w:type="paragraph" w:styleId="31">
    <w:name w:val="List Paragraph"/>
    <w:basedOn w:val="1"/>
    <w:qFormat/>
    <w:uiPriority w:val="34"/>
    <w:pPr>
      <w:ind w:firstLine="420" w:firstLineChars="200"/>
    </w:pPr>
  </w:style>
  <w:style w:type="paragraph" w:customStyle="1" w:styleId="32">
    <w:name w:val=" Char Char Char"/>
    <w:basedOn w:val="1"/>
    <w:qFormat/>
    <w:uiPriority w:val="0"/>
  </w:style>
  <w:style w:type="paragraph" w:customStyle="1" w:styleId="33">
    <w:name w:val="p18"/>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2022-03-13T07:38:00Z</dcterms:created>
  <dc:creator>谢晓强</dc:creator>
  <cp:lastModifiedBy>谢晓强：主办人校对</cp:lastModifiedBy>
  <cp:lastPrinted>2022-03-18T22:57:00Z</cp:lastPrinted>
  <dcterms:modified xsi:type="dcterms:W3CDTF">2022-03-18T17:03:20Z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