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napToGrid w:val="0"/>
        <w:spacing w:line="240" w:lineRule="auto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2" w:name="_GoBack"/>
      <w:bookmarkEnd w:id="2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pStyle w:val="14"/>
        <w:widowControl/>
        <w:snapToGrid w:val="0"/>
        <w:spacing w:before="0" w:beforeAutospacing="0" w:after="0" w:afterAutospacing="0" w:line="240" w:lineRule="auto"/>
        <w:jc w:val="both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pStyle w:val="14"/>
        <w:widowControl/>
        <w:snapToGrid w:val="0"/>
        <w:spacing w:before="0" w:beforeAutospacing="0" w:after="0" w:afterAutospacing="0" w:line="24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2"/>
        </w:rPr>
        <w:t>广州资本市场金融科技创新试点</w:t>
      </w:r>
    </w:p>
    <w:p>
      <w:pPr>
        <w:pStyle w:val="14"/>
        <w:widowControl/>
        <w:snapToGrid w:val="0"/>
        <w:spacing w:before="0" w:beforeAutospacing="0" w:after="0" w:afterAutospacing="0" w:line="24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2"/>
        </w:rPr>
        <w:t>项目申报手册</w:t>
      </w:r>
    </w:p>
    <w:p>
      <w:pPr>
        <w:pStyle w:val="14"/>
        <w:widowControl/>
        <w:snapToGrid w:val="0"/>
        <w:spacing w:before="0" w:beforeAutospacing="0" w:after="0" w:afterAutospacing="0" w:line="240" w:lineRule="auto"/>
        <w:jc w:val="center"/>
        <w:rPr>
          <w:rFonts w:hint="eastAsia" w:ascii="FangSong_GB2312" w:hAnsi="FangSong_GB2312" w:eastAsia="FangSong_GB2312" w:cs="FangSong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（2022年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月）</w:t>
      </w:r>
    </w:p>
    <w:p>
      <w:pPr>
        <w:pStyle w:val="14"/>
        <w:widowControl/>
        <w:snapToGrid w:val="0"/>
        <w:spacing w:before="0" w:beforeAutospacing="0" w:after="0" w:afterAutospacing="0" w:line="240" w:lineRule="auto"/>
        <w:jc w:val="both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pStyle w:val="14"/>
        <w:widowControl w:val="0"/>
        <w:overflowPunct w:val="0"/>
        <w:snapToGrid w:val="0"/>
        <w:spacing w:before="0" w:beforeAutospacing="0" w:after="0" w:afterAutospacing="0" w:line="336" w:lineRule="auto"/>
        <w:ind w:firstLine="640" w:firstLineChars="200"/>
        <w:jc w:val="both"/>
        <w:rPr>
          <w:rFonts w:ascii="FangSong_GB2312" w:hAnsi="FangSong_GB2312" w:eastAsia="FangSong_GB2312" w:cs="FangSong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一、申报材料</w:t>
      </w:r>
    </w:p>
    <w:p>
      <w:pPr>
        <w:pStyle w:val="14"/>
        <w:widowControl w:val="0"/>
        <w:overflowPunct w:val="0"/>
        <w:snapToGrid w:val="0"/>
        <w:spacing w:before="0" w:beforeAutospacing="0" w:after="0" w:afterAutospacing="0" w:line="336" w:lineRule="auto"/>
        <w:ind w:firstLine="642" w:firstLineChars="200"/>
        <w:jc w:val="both"/>
        <w:rPr>
          <w:rFonts w:ascii="楷体" w:hAnsi="楷体" w:eastAsia="楷体" w:cs="FangSong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（一）材料要件</w:t>
      </w:r>
    </w:p>
    <w:p>
      <w:pPr>
        <w:pStyle w:val="14"/>
        <w:widowControl w:val="0"/>
        <w:overflowPunct w:val="0"/>
        <w:snapToGrid w:val="0"/>
        <w:spacing w:before="0" w:beforeAutospacing="0" w:after="0" w:afterAutospacing="0" w:line="336" w:lineRule="auto"/>
        <w:ind w:firstLine="640" w:firstLineChars="200"/>
        <w:jc w:val="both"/>
        <w:rPr>
          <w:rFonts w:hint="eastAsia" w:ascii="FangSong_GB2312" w:hAnsi="FangSong_GB2312" w:eastAsia="FangSong_GB2312" w:cs="FangSong_GB2312"/>
          <w:color w:val="auto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1.《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广州资本市场金融科技创新试点项目申报表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》（以下简称《申报表》）。《申报表》面向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中国证监会科技监管局和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专项工作组开展项目遴选及专业评估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等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工作使用，不对社会公开。</w:t>
      </w:r>
    </w:p>
    <w:p>
      <w:pPr>
        <w:pStyle w:val="14"/>
        <w:widowControl w:val="0"/>
        <w:overflowPunct w:val="0"/>
        <w:snapToGrid w:val="0"/>
        <w:spacing w:before="0" w:beforeAutospacing="0" w:after="0" w:afterAutospacing="0" w:line="336" w:lineRule="auto"/>
        <w:ind w:firstLine="640" w:firstLineChars="200"/>
        <w:jc w:val="both"/>
        <w:rPr>
          <w:rFonts w:hint="eastAsia" w:ascii="FangSong_GB2312" w:hAnsi="FangSong_GB2312" w:eastAsia="FangSong_GB2312" w:cs="FangSong_GB2312"/>
          <w:color w:val="auto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2.《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广州资本市场金融科技创新试点项目公示表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》（以下简称《公示表》）。对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于通过试点申请的项目，《公示表》将在项目公示阶段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面向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社会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公开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并征求意见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。</w:t>
      </w:r>
    </w:p>
    <w:p>
      <w:pPr>
        <w:pStyle w:val="14"/>
        <w:widowControl w:val="0"/>
        <w:overflowPunct w:val="0"/>
        <w:snapToGrid w:val="0"/>
        <w:spacing w:before="0" w:beforeAutospacing="0" w:after="0" w:afterAutospacing="0" w:line="336" w:lineRule="auto"/>
        <w:ind w:firstLine="642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（二）支持辅助材料</w:t>
      </w:r>
    </w:p>
    <w:p>
      <w:pPr>
        <w:pStyle w:val="14"/>
        <w:widowControl w:val="0"/>
        <w:overflowPunct w:val="0"/>
        <w:snapToGrid w:val="0"/>
        <w:spacing w:before="0" w:beforeAutospacing="0" w:after="0" w:afterAutospacing="0" w:line="336" w:lineRule="auto"/>
        <w:ind w:firstLine="640" w:firstLineChars="200"/>
        <w:jc w:val="both"/>
        <w:rPr>
          <w:rFonts w:ascii="FangSong_GB2312" w:hAnsi="FangSong_GB2312" w:eastAsia="FangSong_GB2312" w:cs="FangSong_GB2312"/>
          <w:color w:val="auto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除《申报表》《公示表》外，试点申报单位还可以结合项目具体情况，提供以下支持辅助材料：</w:t>
      </w:r>
    </w:p>
    <w:p>
      <w:pPr>
        <w:pStyle w:val="14"/>
        <w:widowControl w:val="0"/>
        <w:overflowPunct w:val="0"/>
        <w:snapToGrid w:val="0"/>
        <w:spacing w:before="0" w:beforeAutospacing="0" w:after="0" w:afterAutospacing="0" w:line="336" w:lineRule="auto"/>
        <w:ind w:firstLine="640" w:firstLineChars="200"/>
        <w:jc w:val="both"/>
        <w:rPr>
          <w:rFonts w:hint="eastAsia" w:ascii="FangSong_GB2312" w:hAnsi="FangSong_GB2312" w:eastAsia="FangSong_GB2312" w:cs="FangSong_GB2312"/>
          <w:color w:val="auto"/>
          <w:sz w:val="32"/>
          <w:szCs w:val="32"/>
          <w:lang w:eastAsia="zh-CN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1.项目情况介绍（PPT）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eastAsia="zh-CN"/>
        </w:rPr>
        <w:t>。</w:t>
      </w:r>
    </w:p>
    <w:p>
      <w:pPr>
        <w:pStyle w:val="14"/>
        <w:widowControl w:val="0"/>
        <w:overflowPunct w:val="0"/>
        <w:snapToGrid w:val="0"/>
        <w:spacing w:before="0" w:beforeAutospacing="0" w:after="0" w:afterAutospacing="0" w:line="336" w:lineRule="auto"/>
        <w:ind w:firstLine="640" w:firstLineChars="200"/>
        <w:jc w:val="both"/>
        <w:rPr>
          <w:rFonts w:hint="eastAsia" w:ascii="FangSong_GB2312" w:hAnsi="FangSong_GB2312" w:eastAsia="FangSong_GB2312" w:cs="FangSong_GB2312"/>
          <w:color w:val="auto"/>
          <w:sz w:val="32"/>
          <w:szCs w:val="32"/>
          <w:lang w:eastAsia="zh-CN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2.项目实施方案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eastAsia="zh-CN"/>
        </w:rPr>
        <w:t>。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由申报单位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eastAsia="zh-CN"/>
        </w:rPr>
        <w:t>（牵头及联合申报单位）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共同出具，内容包括项目技术实现原理、系统架构设计、主要算法逻辑、主要功能界面截图、项目开发进度计划等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eastAsia="zh-CN"/>
        </w:rPr>
        <w:t>。</w:t>
      </w:r>
    </w:p>
    <w:p>
      <w:pPr>
        <w:pStyle w:val="14"/>
        <w:widowControl w:val="0"/>
        <w:overflowPunct w:val="0"/>
        <w:snapToGrid w:val="0"/>
        <w:spacing w:before="0" w:beforeAutospacing="0" w:after="0" w:afterAutospacing="0" w:line="336" w:lineRule="auto"/>
        <w:ind w:firstLine="640" w:firstLineChars="200"/>
        <w:jc w:val="both"/>
        <w:rPr>
          <w:rFonts w:hint="eastAsia" w:ascii="FangSong_GB2312" w:hAnsi="FangSong_GB2312" w:eastAsia="FangSong_GB2312" w:cs="FangSong_GB2312"/>
          <w:color w:val="auto"/>
          <w:sz w:val="32"/>
          <w:szCs w:val="32"/>
          <w:lang w:eastAsia="zh-CN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3.项目合规评估报告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eastAsia="zh-CN"/>
        </w:rPr>
        <w:t>。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由项目应用场景提供方（持牌机构）的合规部门或第三方专业机构出具。报告应围绕试点项目业务场景及所涉及的监管规定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eastAsia="zh-CN"/>
        </w:rPr>
        <w:t>、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自律规则、技术标准等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，进行系统分析并做出评估结论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eastAsia="zh-CN"/>
        </w:rPr>
        <w:t>。</w:t>
      </w:r>
    </w:p>
    <w:p>
      <w:pPr>
        <w:pStyle w:val="14"/>
        <w:widowControl w:val="0"/>
        <w:overflowPunct w:val="0"/>
        <w:snapToGrid w:val="0"/>
        <w:spacing w:before="0" w:beforeAutospacing="0" w:after="0" w:afterAutospacing="0" w:line="336" w:lineRule="auto"/>
        <w:ind w:firstLine="640" w:firstLineChars="200"/>
        <w:jc w:val="both"/>
        <w:rPr>
          <w:rFonts w:hint="eastAsia" w:ascii="FangSong_GB2312" w:hAnsi="FangSong_GB2312" w:eastAsia="FangSong_GB2312" w:cs="FangSong_GB2312"/>
          <w:color w:val="auto"/>
          <w:sz w:val="32"/>
          <w:szCs w:val="32"/>
          <w:lang w:eastAsia="zh-CN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.业务风险防控报告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eastAsia="zh-CN"/>
        </w:rPr>
        <w:t>。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由项目应用场景提供方（持牌机构）出具，报告应分析试点项目可能面临的业务风险（包括但不限于市场风险、信用风险、流动性风险、操作风险、合规风险、舆情风险等），并说明相关风险监测机制、风险防控措施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eastAsia="zh-CN"/>
        </w:rPr>
        <w:t>、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应急处置预案等内容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eastAsia="zh-CN"/>
        </w:rPr>
        <w:t>。</w:t>
      </w:r>
    </w:p>
    <w:p>
      <w:pPr>
        <w:pStyle w:val="14"/>
        <w:widowControl w:val="0"/>
        <w:overflowPunct w:val="0"/>
        <w:snapToGrid w:val="0"/>
        <w:spacing w:before="0" w:beforeAutospacing="0" w:after="0" w:afterAutospacing="0" w:line="336" w:lineRule="auto"/>
        <w:ind w:firstLine="640" w:firstLineChars="200"/>
        <w:jc w:val="both"/>
        <w:rPr>
          <w:rFonts w:hint="eastAsia" w:ascii="FangSong_GB2312" w:hAnsi="FangSong_GB2312" w:eastAsia="仿宋_GB2312" w:cs="FangSong_GB2312"/>
          <w:color w:val="auto"/>
          <w:sz w:val="32"/>
          <w:szCs w:val="32"/>
          <w:lang w:eastAsia="zh-CN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.技术安全评估报告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eastAsia="zh-CN"/>
        </w:rPr>
        <w:t>。</w:t>
      </w:r>
      <w:r>
        <w:rPr>
          <w:rFonts w:eastAsia="仿宋_GB2312"/>
          <w:color w:val="auto"/>
          <w:sz w:val="32"/>
          <w:szCs w:val="32"/>
        </w:rPr>
        <w:t>由项目应用场景提供方（持牌机构）或第三方专业机构出具, 报告应分析试点项目可能存在的技术风险（包括但不限于网络安全风险、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系统安全、</w:t>
      </w:r>
      <w:r>
        <w:rPr>
          <w:rFonts w:eastAsia="仿宋_GB2312"/>
          <w:color w:val="auto"/>
          <w:sz w:val="32"/>
          <w:szCs w:val="32"/>
        </w:rPr>
        <w:t>数据安全风险等），并说明相关风险监测机制、风险防控措施和应急处置预案等内容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</w:t>
      </w:r>
    </w:p>
    <w:p>
      <w:pPr>
        <w:pStyle w:val="14"/>
        <w:widowControl w:val="0"/>
        <w:overflowPunct w:val="0"/>
        <w:snapToGrid w:val="0"/>
        <w:spacing w:before="0" w:beforeAutospacing="0" w:after="0" w:afterAutospacing="0" w:line="336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.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eastAsia="zh-CN"/>
        </w:rPr>
        <w:t>投资者保护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方案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eastAsia="zh-CN"/>
        </w:rPr>
        <w:t>。</w:t>
      </w:r>
      <w:r>
        <w:rPr>
          <w:rFonts w:eastAsia="仿宋_GB2312"/>
          <w:color w:val="auto"/>
          <w:sz w:val="32"/>
          <w:szCs w:val="32"/>
        </w:rPr>
        <w:t>由项目应用场景提供方（持牌机构）的制定，方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案应包括投诉处理机制、风险补偿机制、项目退出机制等，保护投资者合法权益，最大程度减少项目风险对市场的负面影响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14"/>
        <w:widowControl w:val="0"/>
        <w:overflowPunct w:val="0"/>
        <w:snapToGrid w:val="0"/>
        <w:spacing w:before="0" w:beforeAutospacing="0" w:after="0" w:afterAutospacing="0" w:line="336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.项目已获专利、认证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奖项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软件著作权的证明材料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14"/>
        <w:widowControl w:val="0"/>
        <w:overflowPunct w:val="0"/>
        <w:snapToGrid w:val="0"/>
        <w:spacing w:before="0" w:beforeAutospacing="0" w:after="0" w:afterAutospacing="0" w:line="336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.其他与试点项目申报相关的文档或材料。</w:t>
      </w:r>
    </w:p>
    <w:p>
      <w:pPr>
        <w:pStyle w:val="14"/>
        <w:widowControl w:val="0"/>
        <w:overflowPunct w:val="0"/>
        <w:snapToGrid w:val="0"/>
        <w:spacing w:before="0" w:beforeAutospacing="0" w:after="0" w:afterAutospacing="0" w:line="336" w:lineRule="auto"/>
        <w:ind w:firstLine="640" w:firstLineChars="200"/>
        <w:jc w:val="both"/>
        <w:rPr>
          <w:rFonts w:ascii="FangSong_GB2312" w:hAnsi="FangSong_GB2312" w:eastAsia="FangSong_GB2312" w:cs="FangSong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二、材料规范</w:t>
      </w:r>
    </w:p>
    <w:p>
      <w:pPr>
        <w:pStyle w:val="14"/>
        <w:widowControl w:val="0"/>
        <w:overflowPunct w:val="0"/>
        <w:snapToGrid w:val="0"/>
        <w:spacing w:before="0" w:beforeAutospacing="0" w:after="0" w:afterAutospacing="0" w:line="336" w:lineRule="auto"/>
        <w:ind w:firstLine="640" w:firstLineChars="200"/>
        <w:jc w:val="both"/>
        <w:rPr>
          <w:rFonts w:hint="eastAsia" w:ascii="FangSong_GB2312" w:hAnsi="FangSong_GB2312" w:eastAsia="FangSong_GB2312" w:cs="FangSong_GB2312"/>
          <w:color w:val="auto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1.试点申报单位应对试点项目申报材料进行内部审查确认，并对材料的真实性、准确性和完整性承担责任。申报材料存在信息虚假情况的，将取消申报资格。多家单位联合申报的，牵头申报单位应对各单位提供的材料或素材履行必要的审查程序。</w:t>
      </w:r>
    </w:p>
    <w:p>
      <w:pPr>
        <w:pStyle w:val="14"/>
        <w:widowControl w:val="0"/>
        <w:overflowPunct w:val="0"/>
        <w:snapToGrid w:val="0"/>
        <w:spacing w:before="0" w:beforeAutospacing="0" w:after="0" w:afterAutospacing="0" w:line="336" w:lineRule="auto"/>
        <w:ind w:firstLine="640" w:firstLineChars="200"/>
        <w:jc w:val="both"/>
        <w:rPr>
          <w:rFonts w:hint="default" w:ascii="FangSong_GB2312" w:hAnsi="FangSong_GB2312" w:eastAsia="FangSong_GB2312" w:cs="FangSong_GB2312"/>
          <w:color w:val="auto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2.项目申报材料应当不涉及国家秘密，如涉及商业秘密或敏感信息，报送前请充分评估后续公示等环节的影响。</w:t>
      </w:r>
    </w:p>
    <w:p>
      <w:pPr>
        <w:pStyle w:val="14"/>
        <w:widowControl w:val="0"/>
        <w:overflowPunct w:val="0"/>
        <w:snapToGrid w:val="0"/>
        <w:spacing w:before="0" w:beforeAutospacing="0" w:after="0" w:afterAutospacing="0" w:line="336" w:lineRule="auto"/>
        <w:ind w:firstLine="640" w:firstLineChars="200"/>
        <w:jc w:val="both"/>
        <w:rPr>
          <w:rFonts w:hint="default" w:ascii="FangSong_GB2312" w:hAnsi="FangSong_GB2312" w:eastAsia="FangSong_GB2312" w:cs="FangSong_GB2312"/>
          <w:color w:val="auto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3.每个项目仅可指定1家牵头申报机构，每家申报机构单独填写一份《项目申报机构信息表》，申报机构联系人应不少于2名，其中1名应为部门负责人或以上级别人员，联系人应熟悉项目情况。</w:t>
      </w:r>
    </w:p>
    <w:p>
      <w:pPr>
        <w:overflowPunct w:val="0"/>
        <w:snapToGrid w:val="0"/>
        <w:spacing w:line="336" w:lineRule="auto"/>
        <w:ind w:firstLine="640" w:firstLineChars="200"/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.《申报表》应使用简体中文填报，字体为仿宋_GB2312，字号为11号，行距为固定值18磅。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除特殊说明外，表中每个单元格填写文字应不超过500字。</w:t>
      </w:r>
    </w:p>
    <w:p>
      <w:pPr>
        <w:overflowPunct w:val="0"/>
        <w:snapToGrid w:val="0"/>
        <w:spacing w:line="336" w:lineRule="auto"/>
        <w:ind w:firstLine="640" w:firstLineChars="200"/>
        <w:rPr>
          <w:color w:val="auto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5.填写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使用的专业术语应规范准确，符合法律法规、行业标准与一般惯例，便于理解。涉及的英文名词应在首次出现时注明中文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释义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，涉及的英文材料应附中文译本，涉及的关键专业术语应以脚注形式提供注解。</w:t>
      </w:r>
    </w:p>
    <w:p>
      <w:pPr>
        <w:pStyle w:val="14"/>
        <w:widowControl w:val="0"/>
        <w:overflowPunct w:val="0"/>
        <w:snapToGrid w:val="0"/>
        <w:spacing w:before="0" w:beforeAutospacing="0" w:after="0" w:afterAutospacing="0" w:line="336" w:lineRule="auto"/>
        <w:ind w:firstLine="640" w:firstLineChars="200"/>
        <w:jc w:val="both"/>
        <w:rPr>
          <w:rFonts w:ascii="FangSong_GB2312" w:hAnsi="FangSong_GB2312" w:eastAsia="FangSong_GB2312" w:cs="FangSong_GB2312"/>
          <w:color w:val="auto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.牵头申报单位需在《申报表》“牵头申报单位承诺”栏加盖公章并在所有材料上加盖骑缝章。多家单位联合申报的，各联合申报单位均需单独填写《申报表》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的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“附页：联合申报单位承诺”单页并盖章。</w:t>
      </w:r>
    </w:p>
    <w:p>
      <w:pPr>
        <w:pStyle w:val="14"/>
        <w:widowControl w:val="0"/>
        <w:overflowPunct w:val="0"/>
        <w:snapToGrid w:val="0"/>
        <w:spacing w:before="0" w:beforeAutospacing="0" w:after="0" w:afterAutospacing="0" w:line="336" w:lineRule="auto"/>
        <w:ind w:firstLine="640" w:firstLineChars="200"/>
        <w:jc w:val="both"/>
        <w:rPr>
          <w:rFonts w:ascii="FangSong_GB2312" w:hAnsi="FangSong_GB2312" w:eastAsia="FangSong_GB2312" w:cs="FangSong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三、材料提交</w:t>
      </w:r>
    </w:p>
    <w:p>
      <w:pPr>
        <w:widowControl w:val="0"/>
        <w:overflowPunct w:val="0"/>
        <w:snapToGrid w:val="0"/>
        <w:spacing w:line="336" w:lineRule="auto"/>
        <w:ind w:firstLine="642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>（一）提交时间</w:t>
      </w:r>
    </w:p>
    <w:p>
      <w:pPr>
        <w:widowControl w:val="0"/>
        <w:overflowPunct w:val="0"/>
        <w:snapToGrid w:val="0"/>
        <w:spacing w:line="336" w:lineRule="auto"/>
        <w:ind w:firstLine="640" w:firstLineChars="200"/>
        <w:jc w:val="both"/>
        <w:rPr>
          <w:rFonts w:ascii="楷体" w:hAnsi="楷体" w:eastAsia="楷体" w:cs="FangSong_GB2312"/>
          <w:color w:val="auto"/>
          <w:kern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color w:val="auto"/>
          <w:kern w:val="0"/>
          <w:sz w:val="32"/>
          <w:szCs w:val="32"/>
        </w:rPr>
        <w:t>试点工作采取常态征集、分期遴选形式开展。项目申报时间以专项工作组指定邮箱收到完整申报材料时间为准。未通过当期（批次）遴选的项目将作为储备项目自动纳入下一期（批次）遴选，申报单位也可主动撤回或在补充完善后重新提交。</w:t>
      </w:r>
    </w:p>
    <w:p>
      <w:pPr>
        <w:widowControl w:val="0"/>
        <w:overflowPunct w:val="0"/>
        <w:snapToGrid w:val="0"/>
        <w:spacing w:line="336" w:lineRule="auto"/>
        <w:ind w:firstLine="642" w:firstLineChars="200"/>
        <w:jc w:val="both"/>
        <w:rPr>
          <w:rFonts w:ascii="FangSong_GB2312" w:hAnsi="FangSong_GB2312" w:eastAsia="FangSong_GB2312" w:cs="FangSong_GB2312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>（二）报送渠道</w:t>
      </w:r>
    </w:p>
    <w:p>
      <w:pPr>
        <w:widowControl w:val="0"/>
        <w:overflowPunct w:val="0"/>
        <w:snapToGrid w:val="0"/>
        <w:spacing w:line="336" w:lineRule="auto"/>
        <w:ind w:firstLine="640" w:firstLineChars="200"/>
        <w:jc w:val="both"/>
        <w:rPr>
          <w:rFonts w:ascii="FangSong_GB2312" w:hAnsi="FangSong_GB2312" w:eastAsia="FangSong_GB2312" w:cs="FangSong_GB2312"/>
          <w:color w:val="auto"/>
          <w:kern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color w:val="auto"/>
          <w:kern w:val="0"/>
          <w:sz w:val="32"/>
          <w:szCs w:val="32"/>
          <w:lang w:val="en-US" w:eastAsia="zh-CN"/>
        </w:rPr>
        <w:t>项目申报材料以电子文档形式报送至专项工作组指定邮箱</w:t>
      </w:r>
      <w:r>
        <w:rPr>
          <w:rFonts w:hint="eastAsia" w:ascii="FangSong_GB2312" w:hAnsi="FangSong_GB2312" w:eastAsia="FangSong_GB2312" w:cs="FangSong_GB2312"/>
          <w:color w:val="auto"/>
          <w:spacing w:val="-6"/>
          <w:kern w:val="0"/>
          <w:sz w:val="32"/>
          <w:szCs w:val="32"/>
          <w:lang w:val="en-US" w:eastAsia="zh-CN"/>
        </w:rPr>
        <w:t>（gdfintech</w:t>
      </w:r>
      <w:r>
        <w:rPr>
          <w:rFonts w:hint="eastAsia" w:ascii="FangSong_GB2312" w:hAnsi="FangSong_GB2312" w:eastAsia="FangSong_GB2312" w:cs="FangSong_GB2312"/>
          <w:color w:val="auto"/>
          <w:spacing w:val="-6"/>
          <w:kern w:val="0"/>
          <w:sz w:val="32"/>
          <w:szCs w:val="32"/>
        </w:rPr>
        <w:t>@csrc.gov.cn</w:t>
      </w:r>
      <w:r>
        <w:rPr>
          <w:rFonts w:hint="eastAsia" w:ascii="FangSong_GB2312" w:hAnsi="FangSong_GB2312" w:eastAsia="FangSong_GB2312" w:cs="FangSong_GB2312"/>
          <w:color w:val="auto"/>
          <w:spacing w:val="-6"/>
          <w:kern w:val="0"/>
          <w:sz w:val="32"/>
          <w:szCs w:val="32"/>
          <w:lang w:val="en-US" w:eastAsia="zh-CN"/>
        </w:rPr>
        <w:t>）</w:t>
      </w:r>
      <w:bookmarkStart w:id="0" w:name="_Hlt71377093"/>
      <w:bookmarkEnd w:id="0"/>
      <w:bookmarkStart w:id="1" w:name="_Hlt71377092"/>
      <w:bookmarkEnd w:id="1"/>
      <w:r>
        <w:rPr>
          <w:rFonts w:hint="eastAsia" w:ascii="FangSong_GB2312" w:hAnsi="FangSong_GB2312" w:eastAsia="FangSong_GB2312" w:cs="FangSong_GB2312"/>
          <w:color w:val="auto"/>
          <w:spacing w:val="-6"/>
          <w:kern w:val="0"/>
          <w:sz w:val="32"/>
          <w:szCs w:val="32"/>
          <w:lang w:val="en-US" w:eastAsia="zh-CN"/>
        </w:rPr>
        <w:t>。</w:t>
      </w:r>
      <w:r>
        <w:rPr>
          <w:rFonts w:hint="eastAsia" w:ascii="FangSong_GB2312" w:hAnsi="FangSong_GB2312" w:eastAsia="FangSong_GB2312" w:cs="FangSong_GB2312"/>
          <w:color w:val="auto"/>
          <w:spacing w:val="-6"/>
          <w:kern w:val="0"/>
          <w:sz w:val="32"/>
          <w:szCs w:val="32"/>
        </w:rPr>
        <w:t>单个邮件不超过30M</w:t>
      </w:r>
      <w:r>
        <w:rPr>
          <w:rFonts w:hint="eastAsia" w:ascii="FangSong_GB2312" w:hAnsi="FangSong_GB2312" w:eastAsia="FangSong_GB2312" w:cs="FangSong_GB2312"/>
          <w:color w:val="auto"/>
          <w:spacing w:val="-6"/>
          <w:kern w:val="0"/>
          <w:sz w:val="32"/>
          <w:szCs w:val="32"/>
          <w:lang w:eastAsia="zh-CN"/>
        </w:rPr>
        <w:t>，</w:t>
      </w:r>
      <w:r>
        <w:rPr>
          <w:rFonts w:hint="eastAsia" w:ascii="FangSong_GB2312" w:hAnsi="FangSong_GB2312" w:eastAsia="FangSong_GB2312" w:cs="FangSong_GB2312"/>
          <w:color w:val="auto"/>
          <w:spacing w:val="-6"/>
          <w:kern w:val="0"/>
          <w:sz w:val="32"/>
          <w:szCs w:val="32"/>
        </w:rPr>
        <w:t>如文件过大</w:t>
      </w:r>
      <w:r>
        <w:rPr>
          <w:rFonts w:hint="eastAsia" w:ascii="FangSong_GB2312" w:hAnsi="FangSong_GB2312" w:eastAsia="FangSong_GB2312" w:cs="FangSong_GB2312"/>
          <w:color w:val="auto"/>
          <w:spacing w:val="-6"/>
          <w:kern w:val="0"/>
          <w:sz w:val="32"/>
          <w:szCs w:val="32"/>
          <w:lang w:eastAsia="zh-CN"/>
        </w:rPr>
        <w:t>可</w:t>
      </w:r>
      <w:r>
        <w:rPr>
          <w:rFonts w:hint="eastAsia" w:ascii="FangSong_GB2312" w:hAnsi="FangSong_GB2312" w:eastAsia="FangSong_GB2312" w:cs="FangSong_GB2312"/>
          <w:color w:val="auto"/>
          <w:spacing w:val="-6"/>
          <w:kern w:val="0"/>
          <w:sz w:val="32"/>
          <w:szCs w:val="32"/>
        </w:rPr>
        <w:t>分卷发送。报送后可于下一工作日</w:t>
      </w:r>
      <w:r>
        <w:rPr>
          <w:rFonts w:hint="eastAsia" w:ascii="FangSong_GB2312" w:hAnsi="FangSong_GB2312" w:eastAsia="FangSong_GB2312" w:cs="FangSong_GB2312"/>
          <w:color w:val="auto"/>
          <w:spacing w:val="-6"/>
          <w:kern w:val="0"/>
          <w:sz w:val="32"/>
          <w:szCs w:val="32"/>
          <w:lang w:val="en-US" w:eastAsia="zh-CN"/>
        </w:rPr>
        <w:t>通过</w:t>
      </w:r>
      <w:r>
        <w:rPr>
          <w:rFonts w:hint="eastAsia" w:ascii="FangSong_GB2312" w:hAnsi="FangSong_GB2312" w:eastAsia="FangSong_GB2312" w:cs="FangSong_GB2312"/>
          <w:color w:val="auto"/>
          <w:spacing w:val="-6"/>
          <w:kern w:val="0"/>
          <w:sz w:val="32"/>
          <w:szCs w:val="32"/>
        </w:rPr>
        <w:t>电话</w:t>
      </w:r>
      <w:r>
        <w:rPr>
          <w:rFonts w:hint="eastAsia" w:ascii="FangSong_GB2312" w:hAnsi="FangSong_GB2312" w:eastAsia="FangSong_GB2312" w:cs="FangSong_GB2312"/>
          <w:color w:val="auto"/>
          <w:spacing w:val="-6"/>
          <w:kern w:val="0"/>
          <w:sz w:val="32"/>
          <w:szCs w:val="32"/>
          <w:lang w:val="en-US" w:eastAsia="zh-CN"/>
        </w:rPr>
        <w:t>与申报材料</w:t>
      </w:r>
      <w:r>
        <w:rPr>
          <w:rFonts w:hint="eastAsia" w:ascii="FangSong_GB2312" w:hAnsi="FangSong_GB2312" w:eastAsia="FangSong_GB2312" w:cs="FangSong_GB2312"/>
          <w:color w:val="auto"/>
          <w:spacing w:val="-6"/>
          <w:kern w:val="0"/>
          <w:sz w:val="32"/>
          <w:szCs w:val="32"/>
        </w:rPr>
        <w:t>联系</w:t>
      </w:r>
      <w:r>
        <w:rPr>
          <w:rFonts w:hint="eastAsia" w:ascii="FangSong_GB2312" w:hAnsi="FangSong_GB2312" w:eastAsia="FangSong_GB2312" w:cs="FangSong_GB2312"/>
          <w:color w:val="auto"/>
          <w:kern w:val="0"/>
          <w:sz w:val="32"/>
          <w:szCs w:val="32"/>
        </w:rPr>
        <w:t>人确认。报送邮箱应使用工作邮箱或经所在单位授权的邮箱，避免使用私人邮箱进行报送。试点项目申报电子材料经沟通辅导后，申报单位应根据专项工作组要求，提交试点项目申报书面材料。</w:t>
      </w:r>
    </w:p>
    <w:p>
      <w:pPr>
        <w:widowControl w:val="0"/>
        <w:overflowPunct w:val="0"/>
        <w:snapToGrid w:val="0"/>
        <w:spacing w:line="336" w:lineRule="auto"/>
        <w:ind w:firstLine="642" w:firstLineChars="200"/>
        <w:jc w:val="both"/>
        <w:rPr>
          <w:rFonts w:ascii="FangSong_GB2312" w:hAnsi="FangSong_GB2312" w:eastAsia="FangSong_GB2312" w:cs="FangSong_GB2312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>（三）格式要求</w:t>
      </w:r>
    </w:p>
    <w:p>
      <w:pPr>
        <w:widowControl w:val="0"/>
        <w:overflowPunct w:val="0"/>
        <w:snapToGrid w:val="0"/>
        <w:spacing w:line="336" w:lineRule="auto"/>
        <w:ind w:firstLine="640" w:firstLineChars="200"/>
        <w:jc w:val="both"/>
        <w:rPr>
          <w:rFonts w:ascii="FangSong_GB2312" w:hAnsi="FangSong_GB2312" w:eastAsia="FangSong_GB2312" w:cs="FangSong_GB2312"/>
          <w:color w:val="auto"/>
          <w:sz w:val="32"/>
          <w:szCs w:val="32"/>
        </w:rPr>
      </w:pPr>
      <w:r>
        <w:rPr>
          <w:rStyle w:val="19"/>
          <w:rFonts w:hint="eastAsia" w:ascii="FangSong_GB2312" w:hAnsi="FangSong_GB2312" w:eastAsia="FangSong_GB2312" w:cs="FangSong_GB2312"/>
          <w:color w:val="auto"/>
          <w:sz w:val="32"/>
          <w:szCs w:val="32"/>
          <w:u w:val="none"/>
        </w:rPr>
        <w:t>项目申报材料及申报邮件主题应以“牵头申报单位简称+项目名称”命名。单位申报多个项目的，应分别发送。每个项目的所有申报材料应按照前述顺序进行编号和命名，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同时提供可编辑版本（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doc、wps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等）和加盖公章的扫描件（pdf），一并打包压缩后提交。</w:t>
      </w:r>
    </w:p>
    <w:p>
      <w:pPr>
        <w:pStyle w:val="14"/>
        <w:widowControl w:val="0"/>
        <w:overflowPunct w:val="0"/>
        <w:snapToGrid w:val="0"/>
        <w:spacing w:before="0" w:beforeAutospacing="0" w:after="0" w:afterAutospacing="0" w:line="336" w:lineRule="auto"/>
        <w:ind w:firstLine="640" w:firstLineChars="200"/>
        <w:jc w:val="both"/>
        <w:rPr>
          <w:rFonts w:hint="eastAsia" w:ascii="FangSong_GB2312" w:hAnsi="FangSong_GB2312" w:eastAsia="FangSong_GB2312" w:cs="FangSong_GB2312"/>
          <w:color w:val="auto"/>
          <w:sz w:val="32"/>
          <w:szCs w:val="32"/>
        </w:rPr>
      </w:pPr>
      <w:r>
        <w:rPr>
          <w:rFonts w:hint="eastAsia" w:ascii="黑体" w:hAnsi="黑体" w:eastAsia="黑体" w:cs="方正大标宋简体"/>
          <w:color w:val="auto"/>
          <w:sz w:val="32"/>
          <w:szCs w:val="32"/>
        </w:rPr>
        <w:t>四、联系方式</w:t>
      </w:r>
    </w:p>
    <w:p>
      <w:pPr>
        <w:pStyle w:val="14"/>
        <w:widowControl w:val="0"/>
        <w:overflowPunct w:val="0"/>
        <w:snapToGrid w:val="0"/>
        <w:spacing w:before="0" w:beforeAutospacing="0" w:after="0" w:afterAutospacing="0" w:line="336" w:lineRule="auto"/>
        <w:ind w:firstLine="640" w:firstLineChars="200"/>
        <w:jc w:val="both"/>
        <w:rPr>
          <w:rFonts w:hint="default" w:ascii="FangSong_GB2312" w:hAnsi="FangSong_GB2312" w:eastAsia="FangSong_GB2312" w:cs="FangSong_GB2312"/>
          <w:color w:val="auto"/>
          <w:sz w:val="32"/>
          <w:szCs w:val="32"/>
          <w:lang w:val="en" w:eastAsia="zh-CN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中国证监会广东监管局：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020-378537</w:t>
      </w:r>
      <w:r>
        <w:rPr>
          <w:rFonts w:hint="default" w:ascii="FangSong_GB2312" w:hAnsi="FangSong_GB2312" w:eastAsia="FangSong_GB2312" w:cs="FangSong_GB2312"/>
          <w:color w:val="auto"/>
          <w:sz w:val="32"/>
          <w:szCs w:val="32"/>
          <w:lang w:val="en" w:eastAsia="zh-CN"/>
        </w:rPr>
        <w:t>33</w:t>
      </w:r>
    </w:p>
    <w:p>
      <w:pPr>
        <w:wordWrap w:val="0"/>
        <w:overflowPunct w:val="0"/>
        <w:snapToGrid w:val="0"/>
        <w:spacing w:line="336" w:lineRule="auto"/>
        <w:ind w:firstLine="640" w:firstLineChars="200"/>
        <w:jc w:val="both"/>
        <w:rPr>
          <w:rFonts w:hint="default" w:ascii="FangSong_GB2312" w:hAnsi="FangSong_GB2312" w:eastAsia="FangSong_GB2312" w:cs="FangSong_GB2312"/>
          <w:color w:val="auto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广州市地方金融监督管理局：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020-83171687</w:t>
      </w:r>
    </w:p>
    <w:p>
      <w:pPr>
        <w:pStyle w:val="14"/>
        <w:widowControl w:val="0"/>
        <w:overflowPunct w:val="0"/>
        <w:snapToGrid w:val="0"/>
        <w:spacing w:before="0" w:beforeAutospacing="0" w:after="0" w:afterAutospacing="0" w:line="336" w:lineRule="auto"/>
        <w:ind w:firstLine="640" w:firstLineChars="200"/>
        <w:jc w:val="both"/>
        <w:rPr>
          <w:rFonts w:hint="default" w:ascii="FangSong_GB2312" w:hAnsi="FangSong_GB2312" w:eastAsia="FangSong_GB2312" w:cs="FangSong_GB2312"/>
          <w:color w:val="auto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广东证券期货业协会：020-37853816</w:t>
      </w:r>
    </w:p>
    <w:p>
      <w:pPr>
        <w:pStyle w:val="14"/>
        <w:widowControl w:val="0"/>
        <w:overflowPunct w:val="0"/>
        <w:snapToGrid w:val="0"/>
        <w:spacing w:before="0" w:beforeAutospacing="0" w:after="0" w:afterAutospacing="0" w:line="336" w:lineRule="auto"/>
        <w:ind w:firstLine="640" w:firstLineChars="200"/>
        <w:jc w:val="both"/>
        <w:rPr>
          <w:rFonts w:hint="default" w:ascii="FangSong_GB2312" w:hAnsi="FangSong_GB2312" w:eastAsia="FangSong_GB2312" w:cs="FangSong_GB2312"/>
          <w:color w:val="auto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广东基金业协会：13360038806</w:t>
      </w:r>
    </w:p>
    <w:p>
      <w:pPr>
        <w:pStyle w:val="14"/>
        <w:widowControl w:val="0"/>
        <w:overflowPunct w:val="0"/>
        <w:snapToGrid w:val="0"/>
        <w:spacing w:before="0" w:beforeAutospacing="0" w:after="0" w:afterAutospacing="0" w:line="336" w:lineRule="auto"/>
        <w:ind w:firstLine="640" w:firstLineChars="200"/>
        <w:jc w:val="both"/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广州市数字金融协会：13600011150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474" w:bottom="1984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between w:val="none" w:color="auto" w:sz="0" w:space="0"/>
                            </w:pBdr>
                            <w:snapToGrid w:val="0"/>
                            <w:spacing w:afterLines="0"/>
                            <w:jc w:val="left"/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8"/>
                              <w:rFonts w:hint="eastAsia" w:ascii="宋体" w:hAnsi="宋体" w:eastAsia="宋体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8"/>
                              <w:rFonts w:hint="eastAsia" w:ascii="宋体" w:hAnsi="宋体" w:eastAsia="宋体"/>
                              <w:sz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between w:val="none" w:color="auto" w:sz="0" w:space="0"/>
                      </w:pBdr>
                      <w:snapToGrid w:val="0"/>
                      <w:spacing w:afterLines="0"/>
                      <w:jc w:val="left"/>
                    </w:pP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Style w:val="18"/>
                        <w:rFonts w:hint="eastAsia" w:ascii="宋体" w:hAnsi="宋体" w:eastAsia="宋体"/>
                        <w:sz w:val="28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Style w:val="18"/>
                        <w:rFonts w:hint="eastAsia" w:ascii="宋体" w:hAnsi="宋体" w:eastAsia="宋体"/>
                        <w:sz w:val="28"/>
                      </w:rPr>
                      <w:t>- 1 -</w: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372DEB"/>
    <w:rsid w:val="015F67AB"/>
    <w:rsid w:val="01CE463B"/>
    <w:rsid w:val="02180A42"/>
    <w:rsid w:val="02730C11"/>
    <w:rsid w:val="029605F3"/>
    <w:rsid w:val="02C564A2"/>
    <w:rsid w:val="02FA2E7F"/>
    <w:rsid w:val="032D746E"/>
    <w:rsid w:val="03677D5C"/>
    <w:rsid w:val="03F423FE"/>
    <w:rsid w:val="03FD590B"/>
    <w:rsid w:val="047C227E"/>
    <w:rsid w:val="04FE402F"/>
    <w:rsid w:val="05A9204D"/>
    <w:rsid w:val="061C3F1E"/>
    <w:rsid w:val="06362437"/>
    <w:rsid w:val="06F7384B"/>
    <w:rsid w:val="087626B0"/>
    <w:rsid w:val="0914162B"/>
    <w:rsid w:val="09BF354F"/>
    <w:rsid w:val="09F91A42"/>
    <w:rsid w:val="0A0B694C"/>
    <w:rsid w:val="0BDF0354"/>
    <w:rsid w:val="0C215420"/>
    <w:rsid w:val="0D461F1B"/>
    <w:rsid w:val="0D4E03C6"/>
    <w:rsid w:val="0D747E76"/>
    <w:rsid w:val="0DED2233"/>
    <w:rsid w:val="0E487D4B"/>
    <w:rsid w:val="0EAB437C"/>
    <w:rsid w:val="0EAE5FD7"/>
    <w:rsid w:val="0EDFF911"/>
    <w:rsid w:val="0F27650B"/>
    <w:rsid w:val="0F624B52"/>
    <w:rsid w:val="0F744AAA"/>
    <w:rsid w:val="104D6117"/>
    <w:rsid w:val="122D4E4C"/>
    <w:rsid w:val="12612F80"/>
    <w:rsid w:val="12932A9D"/>
    <w:rsid w:val="12C24FAF"/>
    <w:rsid w:val="138804B8"/>
    <w:rsid w:val="13C423FE"/>
    <w:rsid w:val="14116DDD"/>
    <w:rsid w:val="147F623B"/>
    <w:rsid w:val="150E1BE1"/>
    <w:rsid w:val="15B83CCA"/>
    <w:rsid w:val="15EE75A3"/>
    <w:rsid w:val="180247DB"/>
    <w:rsid w:val="183D344B"/>
    <w:rsid w:val="1A526FA8"/>
    <w:rsid w:val="1ABC3D08"/>
    <w:rsid w:val="1C881E71"/>
    <w:rsid w:val="1CC23B6F"/>
    <w:rsid w:val="1DD94299"/>
    <w:rsid w:val="1DDB7F04"/>
    <w:rsid w:val="1DE72CDB"/>
    <w:rsid w:val="1E120618"/>
    <w:rsid w:val="1E474528"/>
    <w:rsid w:val="1E6127D9"/>
    <w:rsid w:val="1EA435A5"/>
    <w:rsid w:val="1EDC59DF"/>
    <w:rsid w:val="1EED77BD"/>
    <w:rsid w:val="1EFA2511"/>
    <w:rsid w:val="1F2C4C5A"/>
    <w:rsid w:val="1FA1438C"/>
    <w:rsid w:val="1FB274CB"/>
    <w:rsid w:val="1FD558F5"/>
    <w:rsid w:val="1FF45D69"/>
    <w:rsid w:val="1FF53222"/>
    <w:rsid w:val="20080340"/>
    <w:rsid w:val="20216437"/>
    <w:rsid w:val="22122CFF"/>
    <w:rsid w:val="228B2276"/>
    <w:rsid w:val="22CF3825"/>
    <w:rsid w:val="22F17F25"/>
    <w:rsid w:val="23607416"/>
    <w:rsid w:val="23F20886"/>
    <w:rsid w:val="24690B04"/>
    <w:rsid w:val="24A31C89"/>
    <w:rsid w:val="2594209A"/>
    <w:rsid w:val="25B91838"/>
    <w:rsid w:val="260B2142"/>
    <w:rsid w:val="26B16727"/>
    <w:rsid w:val="26E12159"/>
    <w:rsid w:val="26E23A9A"/>
    <w:rsid w:val="26F15FCE"/>
    <w:rsid w:val="286D4313"/>
    <w:rsid w:val="28A93F22"/>
    <w:rsid w:val="296D0030"/>
    <w:rsid w:val="29762218"/>
    <w:rsid w:val="29807CAB"/>
    <w:rsid w:val="29932758"/>
    <w:rsid w:val="2A2243D0"/>
    <w:rsid w:val="2ADF1073"/>
    <w:rsid w:val="2BEA02A8"/>
    <w:rsid w:val="2C1E747C"/>
    <w:rsid w:val="2C2D794C"/>
    <w:rsid w:val="2C2F48A7"/>
    <w:rsid w:val="2C58531A"/>
    <w:rsid w:val="2C6634E6"/>
    <w:rsid w:val="2D5548FB"/>
    <w:rsid w:val="2D67391C"/>
    <w:rsid w:val="2D686191"/>
    <w:rsid w:val="2E027ECE"/>
    <w:rsid w:val="2E436AD0"/>
    <w:rsid w:val="2E9E7B61"/>
    <w:rsid w:val="2EBC3AF3"/>
    <w:rsid w:val="2EFD1A17"/>
    <w:rsid w:val="2F3F293A"/>
    <w:rsid w:val="2FF522A3"/>
    <w:rsid w:val="2FFD55E6"/>
    <w:rsid w:val="30832693"/>
    <w:rsid w:val="31890C82"/>
    <w:rsid w:val="31DE3AE7"/>
    <w:rsid w:val="31ED1789"/>
    <w:rsid w:val="32047B2F"/>
    <w:rsid w:val="32821F33"/>
    <w:rsid w:val="328B46AA"/>
    <w:rsid w:val="329E78EE"/>
    <w:rsid w:val="33581A9E"/>
    <w:rsid w:val="339B04CE"/>
    <w:rsid w:val="33D86318"/>
    <w:rsid w:val="35F6354D"/>
    <w:rsid w:val="36537779"/>
    <w:rsid w:val="36794CCB"/>
    <w:rsid w:val="38056875"/>
    <w:rsid w:val="38320B34"/>
    <w:rsid w:val="3861681F"/>
    <w:rsid w:val="38631F75"/>
    <w:rsid w:val="38931DD0"/>
    <w:rsid w:val="38C47576"/>
    <w:rsid w:val="38F31FD9"/>
    <w:rsid w:val="3B201364"/>
    <w:rsid w:val="3CAD59F5"/>
    <w:rsid w:val="3D253376"/>
    <w:rsid w:val="3D2C5D68"/>
    <w:rsid w:val="3DDA2350"/>
    <w:rsid w:val="3DDA55AB"/>
    <w:rsid w:val="3EE83C54"/>
    <w:rsid w:val="3FF9442F"/>
    <w:rsid w:val="40AC43AD"/>
    <w:rsid w:val="41091B74"/>
    <w:rsid w:val="410B008F"/>
    <w:rsid w:val="4118750A"/>
    <w:rsid w:val="418B34BF"/>
    <w:rsid w:val="4262770F"/>
    <w:rsid w:val="42676CDC"/>
    <w:rsid w:val="426C40A6"/>
    <w:rsid w:val="42D9692D"/>
    <w:rsid w:val="42E95ED9"/>
    <w:rsid w:val="431D00F9"/>
    <w:rsid w:val="435A4636"/>
    <w:rsid w:val="44B9708B"/>
    <w:rsid w:val="44CE06E5"/>
    <w:rsid w:val="45464255"/>
    <w:rsid w:val="45515CE4"/>
    <w:rsid w:val="45907997"/>
    <w:rsid w:val="4668266D"/>
    <w:rsid w:val="467D58FC"/>
    <w:rsid w:val="47263C39"/>
    <w:rsid w:val="4737779C"/>
    <w:rsid w:val="47476D80"/>
    <w:rsid w:val="476659EF"/>
    <w:rsid w:val="476F0A1B"/>
    <w:rsid w:val="47D60CF9"/>
    <w:rsid w:val="48A86974"/>
    <w:rsid w:val="48E35832"/>
    <w:rsid w:val="4917241E"/>
    <w:rsid w:val="49901361"/>
    <w:rsid w:val="49E80694"/>
    <w:rsid w:val="4A7E504F"/>
    <w:rsid w:val="4A824BF2"/>
    <w:rsid w:val="4BF1474F"/>
    <w:rsid w:val="4C720FF5"/>
    <w:rsid w:val="4D1D1029"/>
    <w:rsid w:val="4D464B04"/>
    <w:rsid w:val="4DB61A99"/>
    <w:rsid w:val="4DC37651"/>
    <w:rsid w:val="4DE71526"/>
    <w:rsid w:val="4E3915AB"/>
    <w:rsid w:val="4EB31570"/>
    <w:rsid w:val="4EC7262E"/>
    <w:rsid w:val="4FEBED40"/>
    <w:rsid w:val="4FF72B11"/>
    <w:rsid w:val="4FFB0E94"/>
    <w:rsid w:val="50B008CB"/>
    <w:rsid w:val="510E0ED8"/>
    <w:rsid w:val="515D1AB6"/>
    <w:rsid w:val="516E054E"/>
    <w:rsid w:val="51980980"/>
    <w:rsid w:val="520B3AE2"/>
    <w:rsid w:val="52927D99"/>
    <w:rsid w:val="53121A18"/>
    <w:rsid w:val="5364737B"/>
    <w:rsid w:val="53F80A99"/>
    <w:rsid w:val="551129A7"/>
    <w:rsid w:val="552F48C3"/>
    <w:rsid w:val="55E92CB8"/>
    <w:rsid w:val="55EF7347"/>
    <w:rsid w:val="563A641E"/>
    <w:rsid w:val="566627FA"/>
    <w:rsid w:val="56717DA4"/>
    <w:rsid w:val="56A75421"/>
    <w:rsid w:val="57AC68F3"/>
    <w:rsid w:val="585B182F"/>
    <w:rsid w:val="59065FAD"/>
    <w:rsid w:val="59204E1E"/>
    <w:rsid w:val="594929A7"/>
    <w:rsid w:val="59722651"/>
    <w:rsid w:val="59AF2006"/>
    <w:rsid w:val="59B36EE4"/>
    <w:rsid w:val="59F272A6"/>
    <w:rsid w:val="5AFD3168"/>
    <w:rsid w:val="5B166700"/>
    <w:rsid w:val="5B871C94"/>
    <w:rsid w:val="5C0C2FAA"/>
    <w:rsid w:val="5C116D6F"/>
    <w:rsid w:val="5D7B3299"/>
    <w:rsid w:val="5D920C70"/>
    <w:rsid w:val="5DA47E3F"/>
    <w:rsid w:val="5DB0265C"/>
    <w:rsid w:val="5DDE24BF"/>
    <w:rsid w:val="5E7575A1"/>
    <w:rsid w:val="5F4167BE"/>
    <w:rsid w:val="5FEDB81F"/>
    <w:rsid w:val="60191804"/>
    <w:rsid w:val="604D0C61"/>
    <w:rsid w:val="60603F32"/>
    <w:rsid w:val="607337CA"/>
    <w:rsid w:val="608D7BC9"/>
    <w:rsid w:val="612133E3"/>
    <w:rsid w:val="61DA2BAA"/>
    <w:rsid w:val="61EF6520"/>
    <w:rsid w:val="626214AE"/>
    <w:rsid w:val="62693A0C"/>
    <w:rsid w:val="62D24DE0"/>
    <w:rsid w:val="637B02A6"/>
    <w:rsid w:val="63BE3B90"/>
    <w:rsid w:val="64700335"/>
    <w:rsid w:val="649D207E"/>
    <w:rsid w:val="64E903CB"/>
    <w:rsid w:val="64F004D8"/>
    <w:rsid w:val="65004F40"/>
    <w:rsid w:val="65074DE4"/>
    <w:rsid w:val="65C04D80"/>
    <w:rsid w:val="660721E2"/>
    <w:rsid w:val="66BA39F6"/>
    <w:rsid w:val="66CA32C7"/>
    <w:rsid w:val="6761524D"/>
    <w:rsid w:val="67E37D26"/>
    <w:rsid w:val="67EA3E29"/>
    <w:rsid w:val="684D5C8B"/>
    <w:rsid w:val="68A45415"/>
    <w:rsid w:val="69DF7284"/>
    <w:rsid w:val="6A1D1A06"/>
    <w:rsid w:val="6ADE45D8"/>
    <w:rsid w:val="6B332372"/>
    <w:rsid w:val="6B3E2614"/>
    <w:rsid w:val="6B6B4C7B"/>
    <w:rsid w:val="6BC8413E"/>
    <w:rsid w:val="6C407867"/>
    <w:rsid w:val="6C5F4071"/>
    <w:rsid w:val="6CF9152F"/>
    <w:rsid w:val="6D45664E"/>
    <w:rsid w:val="6D6600AC"/>
    <w:rsid w:val="6DBC52D1"/>
    <w:rsid w:val="6DF731B4"/>
    <w:rsid w:val="6E0A367C"/>
    <w:rsid w:val="6E623B07"/>
    <w:rsid w:val="6EEC5C46"/>
    <w:rsid w:val="6F0F2CFF"/>
    <w:rsid w:val="6F190C99"/>
    <w:rsid w:val="702E27B7"/>
    <w:rsid w:val="708922AD"/>
    <w:rsid w:val="70962B35"/>
    <w:rsid w:val="70E743AF"/>
    <w:rsid w:val="71573B1B"/>
    <w:rsid w:val="71A0384E"/>
    <w:rsid w:val="71BB64B5"/>
    <w:rsid w:val="720D1B15"/>
    <w:rsid w:val="720E2323"/>
    <w:rsid w:val="723F38C9"/>
    <w:rsid w:val="726415C8"/>
    <w:rsid w:val="727710ED"/>
    <w:rsid w:val="740172BD"/>
    <w:rsid w:val="7568660C"/>
    <w:rsid w:val="75BD01D3"/>
    <w:rsid w:val="769E44BA"/>
    <w:rsid w:val="76A47548"/>
    <w:rsid w:val="7795593C"/>
    <w:rsid w:val="782560C4"/>
    <w:rsid w:val="782F56F8"/>
    <w:rsid w:val="78A23967"/>
    <w:rsid w:val="790415DD"/>
    <w:rsid w:val="79281782"/>
    <w:rsid w:val="7A49079F"/>
    <w:rsid w:val="7AA87E6D"/>
    <w:rsid w:val="7AF35F6D"/>
    <w:rsid w:val="7AF9226D"/>
    <w:rsid w:val="7B52120B"/>
    <w:rsid w:val="7C8E487B"/>
    <w:rsid w:val="7CB73546"/>
    <w:rsid w:val="7D4365B7"/>
    <w:rsid w:val="7D5C3BCB"/>
    <w:rsid w:val="7D623226"/>
    <w:rsid w:val="7D6718B8"/>
    <w:rsid w:val="7DBE7389"/>
    <w:rsid w:val="7DEB319E"/>
    <w:rsid w:val="7DFBBBB7"/>
    <w:rsid w:val="7E5A62DB"/>
    <w:rsid w:val="7EC74F7C"/>
    <w:rsid w:val="7EDC7429"/>
    <w:rsid w:val="7F1E61F8"/>
    <w:rsid w:val="7F697785"/>
    <w:rsid w:val="92EF738A"/>
    <w:rsid w:val="9FB7643B"/>
    <w:rsid w:val="AFE52C56"/>
    <w:rsid w:val="BB6F8FD9"/>
    <w:rsid w:val="BEFF3C13"/>
    <w:rsid w:val="DDFEA56B"/>
    <w:rsid w:val="DF7E0793"/>
    <w:rsid w:val="DFEFCFB5"/>
    <w:rsid w:val="EBFF97CC"/>
    <w:rsid w:val="EF3289DB"/>
    <w:rsid w:val="EFC5AC06"/>
    <w:rsid w:val="FBEF91C3"/>
    <w:rsid w:val="FD775E7D"/>
    <w:rsid w:val="FFEFEC55"/>
    <w:rsid w:val="FFF7C4D1"/>
    <w:rsid w:val="FFFE5C22"/>
    <w:rsid w:val="FF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-SA"/>
    </w:rPr>
  </w:style>
  <w:style w:type="character" w:default="1" w:styleId="16">
    <w:name w:val="Default Paragraph Font"/>
    <w:qFormat/>
    <w:uiPriority w:val="0"/>
  </w:style>
  <w:style w:type="table" w:default="1" w:styleId="1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next w:val="1"/>
    <w:qFormat/>
    <w:uiPriority w:val="0"/>
    <w:pPr>
      <w:spacing w:line="240" w:lineRule="auto"/>
      <w:ind w:firstLine="420"/>
      <w:jc w:val="both"/>
      <w:textAlignment w:val="baseline"/>
    </w:pPr>
    <w:rPr>
      <w:rFonts w:ascii="宋体" w:hAnsi="Calibri"/>
      <w:kern w:val="0"/>
      <w:sz w:val="21"/>
      <w:szCs w:val="24"/>
      <w:lang w:val="en-US" w:eastAsia="zh-CN" w:bidi="ar-SA"/>
    </w:rPr>
  </w:style>
  <w:style w:type="paragraph" w:styleId="6">
    <w:name w:val="annotation text"/>
    <w:basedOn w:val="1"/>
    <w:unhideWhenUsed/>
    <w:qFormat/>
    <w:uiPriority w:val="99"/>
    <w:pPr>
      <w:jc w:val="left"/>
    </w:pPr>
  </w:style>
  <w:style w:type="paragraph" w:styleId="7">
    <w:name w:val="Body Text"/>
    <w:basedOn w:val="1"/>
    <w:qFormat/>
    <w:uiPriority w:val="0"/>
    <w:pPr>
      <w:spacing w:line="320" w:lineRule="exact"/>
      <w:jc w:val="center"/>
    </w:pPr>
    <w:rPr>
      <w:rFonts w:hint="eastAsia" w:ascii="Times New Roman" w:hAnsi="Times New Roman" w:eastAsia="宋体" w:cs="Times New Roman"/>
      <w:sz w:val="21"/>
      <w:szCs w:val="24"/>
      <w:lang w:bidi="ar-SA"/>
    </w:rPr>
  </w:style>
  <w:style w:type="paragraph" w:styleId="8">
    <w:name w:val="Body Text Indent"/>
    <w:basedOn w:val="1"/>
    <w:qFormat/>
    <w:uiPriority w:val="0"/>
    <w:pPr>
      <w:adjustRightInd w:val="0"/>
      <w:snapToGrid w:val="0"/>
      <w:spacing w:line="360" w:lineRule="auto"/>
      <w:ind w:firstLine="632" w:firstLineChars="200"/>
    </w:pPr>
    <w:rPr>
      <w:rFonts w:eastAsia="仿宋_GB2312"/>
      <w:spacing w:val="8"/>
      <w:kern w:val="2"/>
      <w:sz w:val="30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1">
    <w:name w:val="toc 1"/>
    <w:basedOn w:val="1"/>
    <w:next w:val="1"/>
    <w:qFormat/>
    <w:uiPriority w:val="0"/>
  </w:style>
  <w:style w:type="paragraph" w:styleId="12">
    <w:name w:val="footnote text"/>
    <w:basedOn w:val="1"/>
    <w:unhideWhenUsed/>
    <w:qFormat/>
    <w:uiPriority w:val="99"/>
    <w:pPr>
      <w:snapToGrid w:val="0"/>
      <w:jc w:val="left"/>
    </w:pPr>
    <w:rPr>
      <w:sz w:val="18"/>
    </w:rPr>
  </w:style>
  <w:style w:type="paragraph" w:styleId="13">
    <w:name w:val="Body Text 2"/>
    <w:basedOn w:val="1"/>
    <w:qFormat/>
    <w:uiPriority w:val="0"/>
    <w:pPr>
      <w:tabs>
        <w:tab w:val="right" w:pos="9360"/>
      </w:tabs>
    </w:pPr>
    <w:rPr>
      <w:sz w:val="24"/>
      <w:szCs w:val="20"/>
    </w:rPr>
  </w:style>
  <w:style w:type="paragraph" w:styleId="14">
    <w:name w:val="Normal (Web)"/>
    <w:basedOn w:val="1"/>
    <w:qFormat/>
    <w:uiPriority w:val="0"/>
    <w:rPr>
      <w:sz w:val="24"/>
    </w:rPr>
  </w:style>
  <w:style w:type="character" w:styleId="17">
    <w:name w:val="Strong"/>
    <w:basedOn w:val="16"/>
    <w:qFormat/>
    <w:uiPriority w:val="0"/>
    <w:rPr>
      <w:rFonts w:hint="default" w:ascii="Times New Roman" w:hAnsi="Times New Roman" w:eastAsia="宋体" w:cs="Times New Roman"/>
      <w:b/>
    </w:rPr>
  </w:style>
  <w:style w:type="character" w:styleId="18">
    <w:name w:val="page number"/>
    <w:basedOn w:val="16"/>
    <w:qFormat/>
    <w:uiPriority w:val="0"/>
    <w:rPr>
      <w:rFonts w:ascii="Times New Roman" w:hAnsi="Times New Roman" w:eastAsia="宋体" w:cs="Times New Roman"/>
    </w:rPr>
  </w:style>
  <w:style w:type="character" w:styleId="19">
    <w:name w:val="Hyperlink"/>
    <w:basedOn w:val="16"/>
    <w:qFormat/>
    <w:uiPriority w:val="0"/>
    <w:rPr>
      <w:rFonts w:ascii="Times New Roman" w:hAnsi="Times New Roman" w:eastAsia="宋体" w:cs="Times New Roman"/>
      <w:color w:val="000000"/>
      <w:u w:val="none"/>
    </w:rPr>
  </w:style>
  <w:style w:type="character" w:styleId="20">
    <w:name w:val="footnote reference"/>
    <w:basedOn w:val="16"/>
    <w:unhideWhenUsed/>
    <w:qFormat/>
    <w:uiPriority w:val="99"/>
    <w:rPr>
      <w:rFonts w:ascii="Times New Roman" w:hAnsi="Times New Roman" w:eastAsia="宋体" w:cs="Times New Roman"/>
      <w:vertAlign w:val="superscript"/>
    </w:rPr>
  </w:style>
  <w:style w:type="paragraph" w:customStyle="1" w:styleId="21">
    <w:name w:val=" Char"/>
    <w:basedOn w:val="1"/>
    <w:qFormat/>
    <w:uiPriority w:val="0"/>
  </w:style>
  <w:style w:type="character" w:customStyle="1" w:styleId="22">
    <w:name w:val="page number"/>
    <w:basedOn w:val="16"/>
    <w:qFormat/>
    <w:uiPriority w:val="0"/>
    <w:rPr>
      <w:rFonts w:ascii="Times New Roman" w:hAnsi="Times New Roman" w:eastAsia="宋体" w:cs="Times New Roman"/>
    </w:rPr>
  </w:style>
  <w:style w:type="character" w:customStyle="1" w:styleId="23">
    <w:name w:val="NormalCharacter"/>
    <w:qFormat/>
    <w:uiPriority w:val="0"/>
    <w:rPr>
      <w:rFonts w:ascii="Times New Roman" w:hAnsi="Times New Roman" w:eastAsia="宋体" w:cs="Times New Roman"/>
    </w:rPr>
  </w:style>
  <w:style w:type="character" w:customStyle="1" w:styleId="24">
    <w:name w:val="bjh-p"/>
    <w:basedOn w:val="16"/>
    <w:qFormat/>
    <w:uiPriority w:val="99"/>
    <w:rPr>
      <w:rFonts w:ascii="Times New Roman" w:hAnsi="Times New Roman" w:eastAsia="宋体" w:cs="Times New Roman"/>
    </w:rPr>
  </w:style>
  <w:style w:type="paragraph" w:customStyle="1" w:styleId="25">
    <w:name w:val=" Char Char Char Char"/>
    <w:basedOn w:val="1"/>
    <w:qFormat/>
    <w:uiPriority w:val="0"/>
    <w:pPr>
      <w:tabs>
        <w:tab w:val="left" w:pos="360"/>
      </w:tabs>
    </w:pPr>
  </w:style>
  <w:style w:type="paragraph" w:customStyle="1" w:styleId="26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27">
    <w:name w:val=" Char Char Char Char Char Char1 Char Char Char"/>
    <w:basedOn w:val="1"/>
    <w:qFormat/>
    <w:uiPriority w:val="0"/>
    <w:pPr>
      <w:autoSpaceDE w:val="0"/>
      <w:autoSpaceDN w:val="0"/>
      <w:adjustRightInd w:val="0"/>
      <w:jc w:val="left"/>
      <w:textAlignment w:val="baseline"/>
    </w:pPr>
  </w:style>
  <w:style w:type="paragraph" w:customStyle="1" w:styleId="28">
    <w:name w:val="Char Char Char Char"/>
    <w:basedOn w:val="1"/>
    <w:qFormat/>
    <w:uiPriority w:val="0"/>
    <w:pPr>
      <w:tabs>
        <w:tab w:val="left" w:pos="360"/>
      </w:tabs>
    </w:pPr>
  </w:style>
  <w:style w:type="paragraph" w:customStyle="1" w:styleId="29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p15"/>
    <w:basedOn w:val="1"/>
    <w:qFormat/>
    <w:uiPriority w:val="0"/>
    <w:pPr>
      <w:widowControl/>
    </w:pPr>
    <w:rPr>
      <w:rFonts w:ascii="宋体" w:hAnsi="宋体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paragraph" w:customStyle="1" w:styleId="32">
    <w:name w:val=" Char Char Char"/>
    <w:basedOn w:val="1"/>
    <w:qFormat/>
    <w:uiPriority w:val="0"/>
  </w:style>
  <w:style w:type="paragraph" w:customStyle="1" w:styleId="33">
    <w:name w:val="p18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2022-03-13T15:38:00Z</dcterms:created>
  <dc:creator>谢晓强</dc:creator>
  <cp:lastModifiedBy>谢晓强：主办人校对</cp:lastModifiedBy>
  <cp:lastPrinted>2022-03-18T22:56:00Z</cp:lastPrinted>
  <dcterms:modified xsi:type="dcterms:W3CDTF">2022-03-18T17:03:11Z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