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0912598" w14:textId="18D53815" w:rsidR="00DE1B44" w:rsidRDefault="00652D37">
      <w:pPr>
        <w:tabs>
          <w:tab w:val="left" w:pos="870"/>
          <w:tab w:val="left" w:pos="1005"/>
          <w:tab w:val="left" w:pos="1320"/>
          <w:tab w:val="center" w:pos="4156"/>
        </w:tabs>
        <w:spacing w:before="120"/>
        <w:ind w:firstLine="480"/>
        <w:rPr>
          <w:rFonts w:ascii="Times New Roman" w:hAnsi="Times New Roman" w:cs="Times New Roman"/>
          <w:b/>
          <w:bCs/>
          <w:kern w:val="2"/>
          <w:sz w:val="52"/>
          <w:szCs w:val="52"/>
        </w:rPr>
      </w:pPr>
      <w:bookmarkStart w:id="0" w:name="_Toc457550482"/>
      <w:bookmarkStart w:id="1" w:name="_Toc428473365"/>
      <w:bookmarkStart w:id="2" w:name="_Toc427334451"/>
      <w:bookmarkStart w:id="3" w:name="_Toc457524058"/>
      <w:bookmarkStart w:id="4" w:name="_Toc459120204"/>
      <w:bookmarkStart w:id="5" w:name="_Toc459839998"/>
      <w:bookmarkStart w:id="6" w:name="_Toc427842464"/>
      <w:bookmarkStart w:id="7" w:name="_Toc456023511"/>
      <w:bookmarkStart w:id="8" w:name="_Toc457813865"/>
      <w:bookmarkStart w:id="9" w:name="_Toc457524316"/>
      <w:bookmarkStart w:id="10" w:name="_Toc457813973"/>
      <w:bookmarkStart w:id="11" w:name="_Toc457550713"/>
      <w:r>
        <w:rPr>
          <w:noProof/>
        </w:rPr>
        <w:drawing>
          <wp:anchor distT="0" distB="0" distL="114300" distR="114300" simplePos="0" relativeHeight="251693056" behindDoc="0" locked="0" layoutInCell="1" allowOverlap="1" wp14:anchorId="3C7C3CA3" wp14:editId="7BA44C29">
            <wp:simplePos x="0" y="0"/>
            <wp:positionH relativeFrom="column">
              <wp:posOffset>-922020</wp:posOffset>
            </wp:positionH>
            <wp:positionV relativeFrom="paragraph">
              <wp:posOffset>-838200</wp:posOffset>
            </wp:positionV>
            <wp:extent cx="7480300" cy="10662920"/>
            <wp:effectExtent l="0" t="0" r="6350" b="508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80300" cy="1066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C2B9D" w14:textId="77777777" w:rsidR="00DE1B44" w:rsidRDefault="00D40582">
      <w:pPr>
        <w:tabs>
          <w:tab w:val="left" w:pos="870"/>
          <w:tab w:val="left" w:pos="1005"/>
          <w:tab w:val="left" w:pos="1320"/>
          <w:tab w:val="center" w:pos="4156"/>
        </w:tabs>
        <w:spacing w:before="120"/>
        <w:ind w:firstLineChars="0" w:firstLine="0"/>
        <w:jc w:val="center"/>
        <w:rPr>
          <w:rFonts w:ascii="Times New Roman" w:hAnsi="Times New Roman" w:cs="Times New Roman"/>
          <w:b/>
          <w:bCs/>
          <w:kern w:val="2"/>
          <w:sz w:val="52"/>
          <w:szCs w:val="52"/>
        </w:rPr>
      </w:pPr>
      <w:r>
        <w:rPr>
          <w:rFonts w:ascii="Times New Roman" w:hAnsi="Times New Roman" w:cs="Times New Roman"/>
          <w:noProof/>
        </w:rPr>
        <w:drawing>
          <wp:inline distT="0" distB="0" distL="0" distR="0" wp14:anchorId="79D55D49" wp14:editId="09689FE0">
            <wp:extent cx="3086100" cy="7200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086100" cy="720090"/>
                    </a:xfrm>
                    <a:prstGeom prst="rect">
                      <a:avLst/>
                    </a:prstGeom>
                    <a:noFill/>
                    <a:ln>
                      <a:noFill/>
                    </a:ln>
                  </pic:spPr>
                </pic:pic>
              </a:graphicData>
            </a:graphic>
          </wp:inline>
        </w:drawing>
      </w:r>
    </w:p>
    <w:p w14:paraId="6A01CF05" w14:textId="77777777" w:rsidR="00DE1B44" w:rsidRDefault="00D40582">
      <w:pPr>
        <w:tabs>
          <w:tab w:val="left" w:pos="870"/>
          <w:tab w:val="left" w:pos="1005"/>
          <w:tab w:val="left" w:pos="1320"/>
          <w:tab w:val="center" w:pos="4156"/>
        </w:tabs>
        <w:spacing w:before="120"/>
        <w:ind w:firstLineChars="0" w:firstLine="0"/>
        <w:jc w:val="center"/>
        <w:rPr>
          <w:rFonts w:ascii="Times New Roman" w:hAnsi="Times New Roman" w:cs="Times New Roman"/>
          <w:b/>
          <w:bCs/>
          <w:kern w:val="2"/>
          <w:sz w:val="52"/>
          <w:szCs w:val="52"/>
        </w:rPr>
      </w:pPr>
      <w:r>
        <w:rPr>
          <w:rFonts w:ascii="Times New Roman" w:hAnsi="Times New Roman" w:cs="Times New Roman"/>
          <w:b/>
          <w:bCs/>
          <w:kern w:val="2"/>
          <w:sz w:val="52"/>
          <w:szCs w:val="52"/>
        </w:rPr>
        <w:t>广发银行股份有限公司</w:t>
      </w:r>
    </w:p>
    <w:p w14:paraId="626FDA5E" w14:textId="77777777" w:rsidR="00DE1B44" w:rsidRDefault="00D40582">
      <w:pPr>
        <w:spacing w:before="120"/>
        <w:ind w:firstLineChars="0" w:firstLine="0"/>
        <w:jc w:val="center"/>
        <w:rPr>
          <w:rFonts w:ascii="Times New Roman" w:hAnsi="Times New Roman" w:cs="Times New Roman"/>
          <w:kern w:val="2"/>
          <w:sz w:val="36"/>
          <w:szCs w:val="36"/>
        </w:rPr>
      </w:pPr>
      <w:bookmarkStart w:id="12" w:name="_Toc439893311"/>
      <w:r>
        <w:rPr>
          <w:rFonts w:ascii="Times New Roman" w:hAnsi="Times New Roman" w:cs="Times New Roman"/>
          <w:kern w:val="2"/>
          <w:sz w:val="36"/>
          <w:szCs w:val="36"/>
        </w:rPr>
        <w:t>CHINA GUANGFA BANK CO., LTD.</w:t>
      </w:r>
      <w:bookmarkEnd w:id="12"/>
    </w:p>
    <w:p w14:paraId="78192309" w14:textId="77777777" w:rsidR="00DE1B44" w:rsidRDefault="00D40582">
      <w:pPr>
        <w:spacing w:before="120"/>
        <w:ind w:firstLineChars="0" w:firstLine="0"/>
        <w:jc w:val="center"/>
        <w:rPr>
          <w:rFonts w:ascii="Times New Roman" w:hAnsi="Times New Roman" w:cs="Times New Roman"/>
          <w:b/>
          <w:bCs/>
          <w:caps/>
          <w:kern w:val="2"/>
        </w:rPr>
      </w:pPr>
      <w:bookmarkStart w:id="13" w:name="_Toc439893312"/>
      <w:r>
        <w:rPr>
          <w:rFonts w:ascii="Times New Roman" w:hAnsi="Times New Roman" w:cs="Times New Roman"/>
          <w:b/>
          <w:bCs/>
          <w:kern w:val="2"/>
        </w:rPr>
        <w:t>（</w:t>
      </w:r>
      <w:r>
        <w:rPr>
          <w:rFonts w:ascii="Times New Roman" w:hAnsi="Times New Roman" w:cs="Times New Roman" w:hint="eastAsia"/>
          <w:b/>
          <w:bCs/>
          <w:kern w:val="2"/>
        </w:rPr>
        <w:t>注册地址：</w:t>
      </w:r>
      <w:r>
        <w:rPr>
          <w:rFonts w:ascii="Times New Roman" w:hAnsi="Times New Roman" w:cs="Times New Roman"/>
          <w:b/>
          <w:bCs/>
          <w:kern w:val="2"/>
        </w:rPr>
        <w:t>广州市越秀区东风东路</w:t>
      </w:r>
      <w:r>
        <w:rPr>
          <w:rFonts w:ascii="Times New Roman" w:hAnsi="Times New Roman" w:cs="Times New Roman"/>
          <w:b/>
          <w:bCs/>
          <w:kern w:val="2"/>
        </w:rPr>
        <w:t>713</w:t>
      </w:r>
      <w:r>
        <w:rPr>
          <w:rFonts w:ascii="Times New Roman" w:hAnsi="Times New Roman" w:cs="Times New Roman"/>
          <w:b/>
          <w:bCs/>
          <w:kern w:val="2"/>
        </w:rPr>
        <w:t>号）</w:t>
      </w:r>
    </w:p>
    <w:bookmarkEnd w:id="13"/>
    <w:p w14:paraId="7761F6C5" w14:textId="77777777" w:rsidR="00DE1B44" w:rsidRDefault="00DE1B44">
      <w:pPr>
        <w:spacing w:before="120"/>
        <w:ind w:firstLineChars="0" w:firstLine="0"/>
        <w:jc w:val="center"/>
        <w:rPr>
          <w:rFonts w:ascii="Times New Roman" w:hAnsi="Times New Roman" w:cs="Times New Roman"/>
          <w:kern w:val="2"/>
        </w:rPr>
      </w:pPr>
    </w:p>
    <w:p w14:paraId="0444CFFE" w14:textId="77777777" w:rsidR="00DE1B44" w:rsidRDefault="00D40582">
      <w:pPr>
        <w:tabs>
          <w:tab w:val="center" w:pos="4513"/>
          <w:tab w:val="left" w:pos="6781"/>
        </w:tabs>
        <w:spacing w:before="120"/>
        <w:ind w:firstLineChars="0" w:firstLine="0"/>
        <w:jc w:val="left"/>
        <w:rPr>
          <w:rFonts w:ascii="Times New Roman" w:hAnsi="Times New Roman" w:cs="Times New Roman"/>
          <w:b/>
          <w:bCs/>
          <w:spacing w:val="4"/>
          <w:kern w:val="2"/>
          <w:sz w:val="48"/>
          <w:szCs w:val="48"/>
        </w:rPr>
      </w:pPr>
      <w:r>
        <w:rPr>
          <w:rFonts w:ascii="Times New Roman" w:hAnsi="Times New Roman" w:cs="Times New Roman"/>
          <w:b/>
          <w:bCs/>
          <w:spacing w:val="4"/>
          <w:kern w:val="2"/>
          <w:sz w:val="48"/>
          <w:szCs w:val="48"/>
        </w:rPr>
        <w:tab/>
      </w:r>
      <w:r>
        <w:rPr>
          <w:rFonts w:ascii="Times New Roman" w:hAnsi="Times New Roman" w:cs="Times New Roman"/>
          <w:b/>
          <w:bCs/>
          <w:spacing w:val="4"/>
          <w:kern w:val="2"/>
          <w:sz w:val="48"/>
          <w:szCs w:val="48"/>
        </w:rPr>
        <w:t>定向发行说明书</w:t>
      </w:r>
      <w:r>
        <w:rPr>
          <w:rFonts w:ascii="Times New Roman" w:hAnsi="Times New Roman" w:cs="Times New Roman"/>
          <w:b/>
          <w:bCs/>
          <w:spacing w:val="4"/>
          <w:kern w:val="2"/>
          <w:sz w:val="48"/>
          <w:szCs w:val="48"/>
        </w:rPr>
        <w:tab/>
      </w:r>
    </w:p>
    <w:p w14:paraId="5EEBF074" w14:textId="77777777" w:rsidR="00DE1B44" w:rsidRDefault="00D40582">
      <w:pPr>
        <w:spacing w:before="120"/>
        <w:ind w:firstLineChars="0" w:firstLine="0"/>
        <w:jc w:val="center"/>
        <w:rPr>
          <w:rFonts w:ascii="Times New Roman" w:hAnsi="Times New Roman" w:cs="Times New Roman"/>
          <w:b/>
          <w:bCs/>
          <w:spacing w:val="4"/>
          <w:kern w:val="2"/>
          <w:sz w:val="48"/>
          <w:szCs w:val="48"/>
        </w:rPr>
      </w:pPr>
      <w:r>
        <w:rPr>
          <w:rFonts w:ascii="Times New Roman" w:hAnsi="Times New Roman" w:cs="Times New Roman"/>
          <w:b/>
          <w:bCs/>
          <w:spacing w:val="4"/>
          <w:kern w:val="2"/>
          <w:sz w:val="48"/>
          <w:szCs w:val="48"/>
        </w:rPr>
        <w:t>（申报稿）</w:t>
      </w:r>
    </w:p>
    <w:p w14:paraId="1C74804A" w14:textId="77777777" w:rsidR="00DE1B44" w:rsidRDefault="00D40582">
      <w:pPr>
        <w:tabs>
          <w:tab w:val="left" w:pos="8320"/>
        </w:tabs>
        <w:spacing w:before="120"/>
        <w:ind w:firstLine="480"/>
        <w:rPr>
          <w:rFonts w:ascii="Times New Roman" w:hAnsi="Times New Roman" w:cs="Times New Roman"/>
          <w:kern w:val="2"/>
        </w:rPr>
      </w:pPr>
      <w:r>
        <w:rPr>
          <w:rFonts w:ascii="Times New Roman" w:hAnsi="Times New Roman" w:cs="Times New Roman"/>
          <w:noProof/>
          <w:kern w:val="2"/>
        </w:rPr>
        <mc:AlternateContent>
          <mc:Choice Requires="wps">
            <w:drawing>
              <wp:anchor distT="0" distB="0" distL="114300" distR="114300" simplePos="0" relativeHeight="251639808" behindDoc="0" locked="0" layoutInCell="1" allowOverlap="1" wp14:anchorId="0DCA0CA6" wp14:editId="1B53FF98">
                <wp:simplePos x="0" y="0"/>
                <wp:positionH relativeFrom="margin">
                  <wp:align>center</wp:align>
                </wp:positionH>
                <wp:positionV relativeFrom="paragraph">
                  <wp:posOffset>215265</wp:posOffset>
                </wp:positionV>
                <wp:extent cx="5561330" cy="1095375"/>
                <wp:effectExtent l="8255" t="9525" r="12065" b="9525"/>
                <wp:wrapNone/>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1095375"/>
                        </a:xfrm>
                        <a:prstGeom prst="rect">
                          <a:avLst/>
                        </a:prstGeom>
                        <a:solidFill>
                          <a:srgbClr val="FFFFFF"/>
                        </a:solidFill>
                        <a:ln w="9525">
                          <a:solidFill>
                            <a:srgbClr val="000000"/>
                          </a:solidFill>
                          <a:miter lim="800000"/>
                        </a:ln>
                      </wps:spPr>
                      <wps:txbx>
                        <w:txbxContent>
                          <w:p w14:paraId="5F5D979E" w14:textId="77777777" w:rsidR="00C74863" w:rsidRDefault="00C74863">
                            <w:pPr>
                              <w:spacing w:before="120"/>
                              <w:ind w:firstLine="480"/>
                            </w:pPr>
                            <w:r>
                              <w:rPr>
                                <w:rFonts w:hint="eastAsia"/>
                              </w:rPr>
                              <w:t>本公司定向发行的申请尚未得到中国证监会核准。本定向发行说明书（申报稿）不具有据以定向发行的法律效力，投资者应当以正式公告的定向发行说明书全文作为投资决策的依据。</w:t>
                            </w:r>
                          </w:p>
                        </w:txbxContent>
                      </wps:txbx>
                      <wps:bodyPr rot="0" vert="horz" wrap="square" lIns="91440" tIns="45720" rIns="91440" bIns="45720" anchor="t" anchorCtr="0" upright="1">
                        <a:noAutofit/>
                      </wps:bodyPr>
                    </wps:wsp>
                  </a:graphicData>
                </a:graphic>
              </wp:anchor>
            </w:drawing>
          </mc:Choice>
          <mc:Fallback>
            <w:pict>
              <v:shapetype w14:anchorId="0DCA0CA6" id="_x0000_t202" coordsize="21600,21600" o:spt="202" path="m,l,21600r21600,l21600,xe">
                <v:stroke joinstyle="miter"/>
                <v:path gradientshapeok="t" o:connecttype="rect"/>
              </v:shapetype>
              <v:shape id="Text Box 39" o:spid="_x0000_s1026" type="#_x0000_t202" style="position:absolute;left:0;text-align:left;margin-left:0;margin-top:16.95pt;width:437.9pt;height:86.25pt;z-index:2516398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">
                <v:textbox>
                  <w:txbxContent>
                    <w:p w14:paraId="5F5D979E" w14:textId="77777777" w:rsidR="00C74863" w:rsidRDefault="00C74863">
                      <w:pPr>
                        <w:spacing w:before="120"/>
                        <w:ind w:firstLine="480"/>
                      </w:pPr>
                      <w:r>
                        <w:rPr>
                          <w:rFonts w:hint="eastAsia"/>
                        </w:rPr>
                        <w:t>本公司定向发行的申请尚未得到中国证监会核准。本定向发行说明书（申报稿）不具有据以定向发行的法律效力，投资者应当以正式公告的定向发行说明书全文作为投资决策的依据。</w:t>
                      </w:r>
                    </w:p>
                  </w:txbxContent>
                </v:textbox>
                <w10:wrap anchorx="margin"/>
              </v:shape>
            </w:pict>
          </mc:Fallback>
        </mc:AlternateContent>
      </w:r>
    </w:p>
    <w:p w14:paraId="3C6A4ACF" w14:textId="77777777" w:rsidR="00DE1B44" w:rsidRDefault="00DE1B44">
      <w:pPr>
        <w:tabs>
          <w:tab w:val="left" w:pos="8320"/>
        </w:tabs>
        <w:spacing w:before="120"/>
        <w:ind w:firstLine="480"/>
        <w:rPr>
          <w:rFonts w:ascii="Times New Roman" w:hAnsi="Times New Roman" w:cs="Times New Roman"/>
          <w:kern w:val="2"/>
        </w:rPr>
      </w:pPr>
    </w:p>
    <w:p w14:paraId="54C4BC51" w14:textId="77777777" w:rsidR="00DE1B44" w:rsidRDefault="00DE1B44">
      <w:pPr>
        <w:tabs>
          <w:tab w:val="left" w:pos="8320"/>
        </w:tabs>
        <w:spacing w:before="120"/>
        <w:ind w:firstLine="480"/>
        <w:rPr>
          <w:rFonts w:ascii="Times New Roman" w:hAnsi="Times New Roman" w:cs="Times New Roman"/>
          <w:kern w:val="2"/>
        </w:rPr>
      </w:pPr>
    </w:p>
    <w:p w14:paraId="1A795674" w14:textId="77777777" w:rsidR="00DE1B44" w:rsidRDefault="00DE1B44">
      <w:pPr>
        <w:spacing w:beforeLines="200" w:before="480" w:line="100" w:lineRule="atLeast"/>
        <w:ind w:firstLine="643"/>
        <w:rPr>
          <w:rFonts w:ascii="Times New Roman" w:hAnsi="Times New Roman" w:cs="Times New Roman"/>
          <w:b/>
          <w:bCs/>
          <w:kern w:val="2"/>
          <w:sz w:val="32"/>
          <w:szCs w:val="32"/>
        </w:rPr>
      </w:pPr>
    </w:p>
    <w:tbl>
      <w:tblPr>
        <w:tblW w:w="8522" w:type="dxa"/>
        <w:jc w:val="center"/>
        <w:tblLayout w:type="fixed"/>
        <w:tblLook w:val="04A0" w:firstRow="1" w:lastRow="0" w:firstColumn="1" w:lastColumn="0" w:noHBand="0" w:noVBand="1"/>
      </w:tblPr>
      <w:tblGrid>
        <w:gridCol w:w="8522"/>
      </w:tblGrid>
      <w:tr w:rsidR="00DE1B44" w14:paraId="42E78C28" w14:textId="77777777">
        <w:trPr>
          <w:trHeight w:val="744"/>
          <w:jc w:val="center"/>
        </w:trPr>
        <w:tc>
          <w:tcPr>
            <w:tcW w:w="8522" w:type="dxa"/>
          </w:tcPr>
          <w:p w14:paraId="3BF6709D" w14:textId="247432FF" w:rsidR="00DE1B44" w:rsidRDefault="00DE1B44">
            <w:pPr>
              <w:spacing w:before="120"/>
              <w:ind w:firstLine="480"/>
              <w:jc w:val="center"/>
              <w:rPr>
                <w:rFonts w:ascii="Times New Roman" w:hAnsi="Times New Roman" w:cs="Times New Roman"/>
                <w:kern w:val="2"/>
                <w:szCs w:val="21"/>
              </w:rPr>
            </w:pPr>
          </w:p>
          <w:p w14:paraId="784B1405" w14:textId="77777777" w:rsidR="00DE1B44" w:rsidRDefault="00DE1B44">
            <w:pPr>
              <w:spacing w:before="120"/>
              <w:ind w:firstLine="480"/>
              <w:jc w:val="center"/>
              <w:rPr>
                <w:rFonts w:ascii="Times New Roman" w:hAnsi="Times New Roman" w:cs="Times New Roman"/>
                <w:kern w:val="2"/>
                <w:szCs w:val="21"/>
              </w:rPr>
            </w:pPr>
          </w:p>
          <w:p w14:paraId="734BED9D" w14:textId="77777777" w:rsidR="00DE1B44" w:rsidRDefault="00DE1B44">
            <w:pPr>
              <w:spacing w:before="120"/>
              <w:ind w:firstLine="480"/>
              <w:jc w:val="center"/>
              <w:rPr>
                <w:rFonts w:ascii="Times New Roman" w:hAnsi="Times New Roman" w:cs="Times New Roman"/>
                <w:kern w:val="2"/>
                <w:szCs w:val="21"/>
              </w:rPr>
            </w:pPr>
          </w:p>
        </w:tc>
      </w:tr>
    </w:tbl>
    <w:p w14:paraId="47F8B891" w14:textId="77777777" w:rsidR="00DE1B44" w:rsidRDefault="00D40582">
      <w:pPr>
        <w:overflowPunct w:val="0"/>
        <w:autoSpaceDE w:val="0"/>
        <w:autoSpaceDN w:val="0"/>
        <w:spacing w:before="120"/>
        <w:ind w:firstLineChars="0" w:firstLine="0"/>
        <w:jc w:val="center"/>
        <w:rPr>
          <w:rFonts w:ascii="Times New Roman" w:hAnsi="Times New Roman" w:cs="Times New Roman"/>
          <w:b/>
          <w:sz w:val="32"/>
          <w:szCs w:val="36"/>
        </w:rPr>
      </w:pPr>
      <w:r>
        <w:rPr>
          <w:rFonts w:ascii="Times New Roman" w:hAnsi="Times New Roman" w:cs="Times New Roman"/>
          <w:b/>
          <w:sz w:val="32"/>
          <w:szCs w:val="36"/>
        </w:rPr>
        <w:t>二〇</w:t>
      </w:r>
      <w:r>
        <w:rPr>
          <w:rFonts w:ascii="Times New Roman" w:hAnsi="Times New Roman" w:cs="Times New Roman" w:hint="eastAsia"/>
          <w:b/>
          <w:sz w:val="32"/>
          <w:szCs w:val="36"/>
        </w:rPr>
        <w:t>二一</w:t>
      </w:r>
      <w:r>
        <w:rPr>
          <w:rFonts w:ascii="Times New Roman" w:hAnsi="Times New Roman" w:cs="Times New Roman"/>
          <w:b/>
          <w:sz w:val="32"/>
          <w:szCs w:val="36"/>
        </w:rPr>
        <w:t>年</w:t>
      </w:r>
      <w:r>
        <w:rPr>
          <w:rFonts w:ascii="Times New Roman" w:hAnsi="Times New Roman" w:cs="Times New Roman" w:hint="eastAsia"/>
          <w:b/>
          <w:sz w:val="32"/>
          <w:szCs w:val="36"/>
        </w:rPr>
        <w:t>十二</w:t>
      </w:r>
      <w:r>
        <w:rPr>
          <w:rFonts w:ascii="Times New Roman" w:hAnsi="Times New Roman" w:cs="Times New Roman"/>
          <w:b/>
          <w:sz w:val="32"/>
          <w:szCs w:val="36"/>
        </w:rPr>
        <w:t>月</w:t>
      </w:r>
    </w:p>
    <w:p w14:paraId="2BCD6AF1" w14:textId="77777777" w:rsidR="00DE1B44" w:rsidRDefault="00DE1B44">
      <w:pPr>
        <w:spacing w:before="120"/>
        <w:ind w:firstLine="480"/>
        <w:rPr>
          <w:rFonts w:ascii="Times New Roman" w:hAnsi="Times New Roman" w:cs="Times New Roman"/>
        </w:rPr>
        <w:sectPr w:rsidR="00DE1B4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851" w:footer="992" w:gutter="0"/>
          <w:cols w:space="425"/>
          <w:titlePg/>
          <w:docGrid w:linePitch="326"/>
        </w:sectPr>
      </w:pPr>
      <w:bookmarkStart w:id="14" w:name="_Toc447010331"/>
      <w:bookmarkStart w:id="15" w:name="_Toc457550571"/>
      <w:bookmarkStart w:id="16" w:name="_Toc457813939"/>
      <w:bookmarkStart w:id="17" w:name="_Toc457524193"/>
    </w:p>
    <w:p w14:paraId="028C7858" w14:textId="77777777" w:rsidR="00DE1B44" w:rsidRDefault="00D40582">
      <w:pPr>
        <w:pStyle w:val="1ff1"/>
        <w:spacing w:before="120"/>
        <w:ind w:firstLineChars="0" w:firstLine="0"/>
        <w:rPr>
          <w:rFonts w:ascii="Times New Roman" w:hAnsi="Times New Roman" w:cs="Times New Roman"/>
        </w:rPr>
      </w:pPr>
      <w:bookmarkStart w:id="18" w:name="_Toc89016895"/>
      <w:r>
        <w:rPr>
          <w:rFonts w:ascii="Times New Roman" w:hAnsi="Times New Roman" w:cs="Times New Roman"/>
        </w:rPr>
        <w:lastRenderedPageBreak/>
        <w:t>声</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明</w:t>
      </w:r>
      <w:bookmarkEnd w:id="14"/>
      <w:bookmarkEnd w:id="18"/>
    </w:p>
    <w:p w14:paraId="61F184CF" w14:textId="77777777" w:rsidR="00DE1B44" w:rsidRDefault="00DE1B44">
      <w:pPr>
        <w:snapToGrid w:val="0"/>
        <w:spacing w:before="120"/>
        <w:ind w:firstLine="480"/>
        <w:rPr>
          <w:rFonts w:ascii="Times New Roman" w:hAnsi="Times New Roman" w:cs="Times New Roman"/>
        </w:rPr>
      </w:pPr>
    </w:p>
    <w:p w14:paraId="0980E5ED" w14:textId="77777777" w:rsidR="00DE1B44" w:rsidRDefault="00D40582">
      <w:pPr>
        <w:spacing w:before="120"/>
        <w:ind w:firstLine="480"/>
        <w:rPr>
          <w:rFonts w:ascii="Times New Roman" w:hAnsi="Times New Roman" w:cs="Times New Roman"/>
        </w:rPr>
      </w:pPr>
      <w:r>
        <w:rPr>
          <w:rFonts w:ascii="Times New Roman" w:hAnsi="Times New Roman" w:cs="Times New Roman"/>
        </w:rPr>
        <w:t>本</w:t>
      </w:r>
      <w:r>
        <w:rPr>
          <w:rFonts w:ascii="Times New Roman" w:hAnsi="Times New Roman" w:cs="Times New Roman" w:hint="eastAsia"/>
        </w:rPr>
        <w:t>行</w:t>
      </w:r>
      <w:r>
        <w:rPr>
          <w:rFonts w:ascii="Times New Roman" w:hAnsi="Times New Roman" w:cs="Times New Roman"/>
        </w:rPr>
        <w:t>及全体董事、监事、高级管理人员承诺定向发行说明书不存在虚假记载、误导性陈述或重大遗漏，并对其真实性、准确性、完整性承担个别和连带的法律责任。</w:t>
      </w:r>
    </w:p>
    <w:p w14:paraId="31016EB8" w14:textId="77777777" w:rsidR="00DE1B44" w:rsidRDefault="00D40582">
      <w:pPr>
        <w:spacing w:before="120"/>
        <w:ind w:firstLine="480"/>
        <w:rPr>
          <w:rFonts w:ascii="Times New Roman" w:hAnsi="Times New Roman" w:cs="Times New Roman"/>
        </w:rPr>
      </w:pPr>
      <w:r>
        <w:rPr>
          <w:rFonts w:ascii="Times New Roman" w:hAnsi="Times New Roman" w:cs="Times New Roman"/>
        </w:rPr>
        <w:t>本</w:t>
      </w:r>
      <w:r>
        <w:rPr>
          <w:rFonts w:ascii="Times New Roman" w:hAnsi="Times New Roman" w:cs="Times New Roman" w:hint="eastAsia"/>
        </w:rPr>
        <w:t>行</w:t>
      </w:r>
      <w:r>
        <w:rPr>
          <w:rFonts w:ascii="Times New Roman" w:hAnsi="Times New Roman" w:cs="Times New Roman"/>
        </w:rPr>
        <w:t>负责人和主管会计工作的负责人、会计机构负责人保证定向发行说明书中财务会计资料真实、完整。</w:t>
      </w:r>
    </w:p>
    <w:p w14:paraId="1F015679" w14:textId="77777777" w:rsidR="00DE1B44" w:rsidRDefault="00D40582">
      <w:pPr>
        <w:spacing w:before="120"/>
        <w:ind w:firstLine="480"/>
        <w:rPr>
          <w:rFonts w:ascii="Times New Roman" w:hAnsi="Times New Roman" w:cs="Times New Roman"/>
        </w:rPr>
      </w:pPr>
      <w:r>
        <w:rPr>
          <w:rFonts w:ascii="Times New Roman" w:hAnsi="Times New Roman" w:cs="Times New Roman"/>
        </w:rPr>
        <w:t>中国证监会对本</w:t>
      </w:r>
      <w:r>
        <w:rPr>
          <w:rFonts w:ascii="Times New Roman" w:hAnsi="Times New Roman" w:cs="Times New Roman" w:hint="eastAsia"/>
        </w:rPr>
        <w:t>行</w:t>
      </w:r>
      <w:r>
        <w:rPr>
          <w:rFonts w:ascii="Times New Roman" w:hAnsi="Times New Roman" w:cs="Times New Roman"/>
        </w:rPr>
        <w:t>股票定向发行所作的任何决定或意见，均不表明其对本行股票的价值或投资者的收益</w:t>
      </w:r>
      <w:proofErr w:type="gramStart"/>
      <w:r>
        <w:rPr>
          <w:rFonts w:ascii="Times New Roman" w:hAnsi="Times New Roman" w:cs="Times New Roman"/>
        </w:rPr>
        <w:t>作出</w:t>
      </w:r>
      <w:proofErr w:type="gramEnd"/>
      <w:r>
        <w:rPr>
          <w:rFonts w:ascii="Times New Roman" w:hAnsi="Times New Roman" w:cs="Times New Roman"/>
        </w:rPr>
        <w:t>实质性判断或者保证。任何与之相反的声明均属虚假不实陈述。</w:t>
      </w:r>
    </w:p>
    <w:p w14:paraId="115F1A54" w14:textId="77777777" w:rsidR="00DE1B44" w:rsidRDefault="00D40582">
      <w:pPr>
        <w:spacing w:before="120"/>
        <w:ind w:firstLine="480"/>
        <w:rPr>
          <w:rFonts w:ascii="Times New Roman" w:hAnsi="Times New Roman" w:cs="Times New Roman"/>
        </w:rPr>
      </w:pPr>
      <w:r>
        <w:rPr>
          <w:rFonts w:ascii="Times New Roman" w:hAnsi="Times New Roman" w:cs="Times New Roman"/>
        </w:rPr>
        <w:t>根据《证券法》的规定，本行经营与收益的变化，由本行自行负责，由此变化引致的投资风险，由投资者自行负责。</w:t>
      </w:r>
    </w:p>
    <w:p w14:paraId="0881CF1A" w14:textId="77777777" w:rsidR="00DE1B44" w:rsidRDefault="00DE1B44">
      <w:pPr>
        <w:snapToGrid w:val="0"/>
        <w:spacing w:before="120"/>
        <w:ind w:firstLine="480"/>
        <w:rPr>
          <w:rFonts w:ascii="Times New Roman" w:hAnsi="Times New Roman" w:cs="Times New Roman"/>
        </w:rPr>
      </w:pPr>
    </w:p>
    <w:p w14:paraId="76F2CFF7" w14:textId="77777777" w:rsidR="00DE1B44" w:rsidRDefault="00DE1B44">
      <w:pPr>
        <w:spacing w:before="120"/>
        <w:ind w:firstLine="723"/>
        <w:jc w:val="center"/>
        <w:rPr>
          <w:rFonts w:ascii="Times New Roman" w:hAnsi="Times New Roman" w:cs="Times New Roman"/>
          <w:b/>
          <w:sz w:val="36"/>
          <w:szCs w:val="36"/>
        </w:rPr>
        <w:sectPr w:rsidR="00DE1B44">
          <w:footerReference w:type="first" r:id="rId17"/>
          <w:pgSz w:w="11906" w:h="16838"/>
          <w:pgMar w:top="1440" w:right="1440" w:bottom="1440" w:left="1440" w:header="851" w:footer="992" w:gutter="0"/>
          <w:pgNumType w:start="1"/>
          <w:cols w:space="425"/>
          <w:docGrid w:linePitch="326"/>
        </w:sectPr>
      </w:pPr>
      <w:bookmarkStart w:id="19" w:name="_Toc457524022"/>
    </w:p>
    <w:p w14:paraId="5C21276C" w14:textId="77777777" w:rsidR="00DE1B44" w:rsidRDefault="00D40582">
      <w:pPr>
        <w:pStyle w:val="1ff1"/>
        <w:spacing w:before="120"/>
        <w:ind w:firstLine="720"/>
      </w:pPr>
      <w:bookmarkStart w:id="20" w:name="_Toc89016896"/>
      <w:r>
        <w:lastRenderedPageBreak/>
        <w:t>目  录</w:t>
      </w:r>
      <w:bookmarkEnd w:id="20"/>
    </w:p>
    <w:p w14:paraId="7EF23B43" w14:textId="3153E461" w:rsidR="00DE1B44" w:rsidRDefault="00D40582">
      <w:pPr>
        <w:pStyle w:val="TOC1"/>
        <w:ind w:firstLine="480"/>
        <w:rPr>
          <w:rFonts w:asciiTheme="minorHAnsi" w:eastAsiaTheme="minorEastAsia" w:hAnsiTheme="minorHAnsi" w:cstheme="minorBidi"/>
          <w:bCs w:val="0"/>
          <w:caps w:val="0"/>
          <w:noProof/>
          <w:sz w:val="21"/>
          <w:szCs w:val="22"/>
        </w:rPr>
      </w:pPr>
      <w:r>
        <w:rPr>
          <w:rFonts w:eastAsia="宋体"/>
        </w:rPr>
        <w:fldChar w:fldCharType="begin" w:fldLock="1"/>
      </w:r>
      <w:r>
        <w:rPr>
          <w:rFonts w:eastAsia="宋体"/>
        </w:rPr>
        <w:instrText xml:space="preserve"> TOC \o "1-2" \h \z \u </w:instrText>
      </w:r>
      <w:r>
        <w:rPr>
          <w:rFonts w:eastAsia="宋体"/>
        </w:rPr>
        <w:fldChar w:fldCharType="separate"/>
      </w:r>
      <w:hyperlink w:anchor="_Toc89016895" w:history="1">
        <w:r>
          <w:rPr>
            <w:rStyle w:val="afff6"/>
            <w:noProof/>
          </w:rPr>
          <w:t>声</w:t>
        </w:r>
        <w:r>
          <w:rPr>
            <w:rStyle w:val="afff6"/>
            <w:noProof/>
          </w:rPr>
          <w:t xml:space="preserve">  </w:t>
        </w:r>
        <w:r>
          <w:rPr>
            <w:rStyle w:val="afff6"/>
            <w:noProof/>
          </w:rPr>
          <w:t>明</w:t>
        </w:r>
        <w:r>
          <w:rPr>
            <w:noProof/>
          </w:rPr>
          <w:tab/>
        </w:r>
        <w:r>
          <w:rPr>
            <w:noProof/>
          </w:rPr>
          <w:fldChar w:fldCharType="begin" w:fldLock="1"/>
        </w:r>
        <w:r>
          <w:rPr>
            <w:noProof/>
          </w:rPr>
          <w:instrText xml:space="preserve"> PAGEREF _Toc89016895 \h </w:instrText>
        </w:r>
        <w:r>
          <w:rPr>
            <w:noProof/>
          </w:rPr>
        </w:r>
        <w:r>
          <w:rPr>
            <w:noProof/>
          </w:rPr>
          <w:fldChar w:fldCharType="separate"/>
        </w:r>
        <w:r w:rsidR="00945CC0">
          <w:rPr>
            <w:noProof/>
          </w:rPr>
          <w:t>1</w:t>
        </w:r>
        <w:r>
          <w:rPr>
            <w:noProof/>
          </w:rPr>
          <w:fldChar w:fldCharType="end"/>
        </w:r>
      </w:hyperlink>
    </w:p>
    <w:p w14:paraId="2DD88229" w14:textId="5DDEB04A" w:rsidR="00DE1B44" w:rsidRDefault="00E872C5">
      <w:pPr>
        <w:pStyle w:val="TOC1"/>
        <w:ind w:firstLine="480"/>
        <w:rPr>
          <w:rFonts w:asciiTheme="minorHAnsi" w:eastAsiaTheme="minorEastAsia" w:hAnsiTheme="minorHAnsi" w:cstheme="minorBidi"/>
          <w:bCs w:val="0"/>
          <w:caps w:val="0"/>
          <w:noProof/>
          <w:sz w:val="21"/>
          <w:szCs w:val="22"/>
        </w:rPr>
      </w:pPr>
      <w:hyperlink w:anchor="_Toc89016896" w:history="1">
        <w:r w:rsidR="00D40582">
          <w:rPr>
            <w:rStyle w:val="afff6"/>
            <w:noProof/>
          </w:rPr>
          <w:t>目</w:t>
        </w:r>
        <w:r w:rsidR="00D40582">
          <w:rPr>
            <w:rStyle w:val="afff6"/>
            <w:noProof/>
          </w:rPr>
          <w:t xml:space="preserve">  </w:t>
        </w:r>
        <w:r w:rsidR="00D40582">
          <w:rPr>
            <w:rStyle w:val="afff6"/>
            <w:noProof/>
          </w:rPr>
          <w:t>录</w:t>
        </w:r>
        <w:r w:rsidR="00D40582">
          <w:rPr>
            <w:noProof/>
          </w:rPr>
          <w:tab/>
        </w:r>
        <w:r w:rsidR="00D40582">
          <w:rPr>
            <w:noProof/>
          </w:rPr>
          <w:fldChar w:fldCharType="begin" w:fldLock="1"/>
        </w:r>
        <w:r w:rsidR="00D40582">
          <w:rPr>
            <w:noProof/>
          </w:rPr>
          <w:instrText xml:space="preserve"> PAGEREF _Toc89016896 \h </w:instrText>
        </w:r>
        <w:r w:rsidR="00D40582">
          <w:rPr>
            <w:noProof/>
          </w:rPr>
        </w:r>
        <w:r w:rsidR="00D40582">
          <w:rPr>
            <w:noProof/>
          </w:rPr>
          <w:fldChar w:fldCharType="separate"/>
        </w:r>
        <w:r w:rsidR="00945CC0">
          <w:rPr>
            <w:noProof/>
          </w:rPr>
          <w:t>2</w:t>
        </w:r>
        <w:r w:rsidR="00D40582">
          <w:rPr>
            <w:noProof/>
          </w:rPr>
          <w:fldChar w:fldCharType="end"/>
        </w:r>
      </w:hyperlink>
    </w:p>
    <w:p w14:paraId="66062C71" w14:textId="2E450891" w:rsidR="00DE1B44" w:rsidRDefault="00E872C5">
      <w:pPr>
        <w:pStyle w:val="TOC1"/>
        <w:ind w:firstLine="480"/>
        <w:rPr>
          <w:rFonts w:asciiTheme="minorHAnsi" w:eastAsiaTheme="minorEastAsia" w:hAnsiTheme="minorHAnsi" w:cstheme="minorBidi"/>
          <w:bCs w:val="0"/>
          <w:caps w:val="0"/>
          <w:noProof/>
          <w:sz w:val="21"/>
          <w:szCs w:val="22"/>
        </w:rPr>
      </w:pPr>
      <w:hyperlink w:anchor="_Toc89016897" w:history="1">
        <w:r w:rsidR="00D40582">
          <w:rPr>
            <w:rStyle w:val="afff6"/>
            <w:noProof/>
          </w:rPr>
          <w:t>第一节</w:t>
        </w:r>
        <w:r w:rsidR="00D40582">
          <w:rPr>
            <w:rStyle w:val="afff6"/>
            <w:noProof/>
          </w:rPr>
          <w:t xml:space="preserve"> </w:t>
        </w:r>
        <w:r w:rsidR="00D40582">
          <w:rPr>
            <w:rStyle w:val="afff6"/>
            <w:noProof/>
          </w:rPr>
          <w:t>释</w:t>
        </w:r>
        <w:r w:rsidR="00D40582">
          <w:rPr>
            <w:rStyle w:val="afff6"/>
            <w:noProof/>
          </w:rPr>
          <w:t xml:space="preserve">  </w:t>
        </w:r>
        <w:r w:rsidR="00D40582">
          <w:rPr>
            <w:rStyle w:val="afff6"/>
            <w:noProof/>
          </w:rPr>
          <w:t>义</w:t>
        </w:r>
        <w:r w:rsidR="00D40582">
          <w:rPr>
            <w:noProof/>
          </w:rPr>
          <w:tab/>
        </w:r>
        <w:r w:rsidR="00D40582">
          <w:rPr>
            <w:noProof/>
          </w:rPr>
          <w:fldChar w:fldCharType="begin" w:fldLock="1"/>
        </w:r>
        <w:r w:rsidR="00D40582">
          <w:rPr>
            <w:noProof/>
          </w:rPr>
          <w:instrText xml:space="preserve"> PAGEREF _Toc89016897 \h </w:instrText>
        </w:r>
        <w:r w:rsidR="00D40582">
          <w:rPr>
            <w:noProof/>
          </w:rPr>
        </w:r>
        <w:r w:rsidR="00D40582">
          <w:rPr>
            <w:noProof/>
          </w:rPr>
          <w:fldChar w:fldCharType="separate"/>
        </w:r>
        <w:r w:rsidR="00945CC0">
          <w:rPr>
            <w:noProof/>
          </w:rPr>
          <w:t>5</w:t>
        </w:r>
        <w:r w:rsidR="00D40582">
          <w:rPr>
            <w:noProof/>
          </w:rPr>
          <w:fldChar w:fldCharType="end"/>
        </w:r>
      </w:hyperlink>
    </w:p>
    <w:p w14:paraId="15E3EB2E" w14:textId="13FDD291" w:rsidR="00DE1B44" w:rsidRDefault="00E872C5">
      <w:pPr>
        <w:pStyle w:val="TOC1"/>
        <w:ind w:firstLine="480"/>
        <w:rPr>
          <w:rFonts w:asciiTheme="minorHAnsi" w:eastAsiaTheme="minorEastAsia" w:hAnsiTheme="minorHAnsi" w:cstheme="minorBidi"/>
          <w:bCs w:val="0"/>
          <w:caps w:val="0"/>
          <w:noProof/>
          <w:sz w:val="21"/>
          <w:szCs w:val="22"/>
        </w:rPr>
      </w:pPr>
      <w:hyperlink w:anchor="_Toc89016898" w:history="1">
        <w:r w:rsidR="00D40582">
          <w:rPr>
            <w:rStyle w:val="afff6"/>
            <w:noProof/>
          </w:rPr>
          <w:t>第二节</w:t>
        </w:r>
        <w:r w:rsidR="00D40582">
          <w:rPr>
            <w:rStyle w:val="afff6"/>
            <w:noProof/>
          </w:rPr>
          <w:t xml:space="preserve"> </w:t>
        </w:r>
        <w:r w:rsidR="00D40582">
          <w:rPr>
            <w:rStyle w:val="afff6"/>
            <w:noProof/>
          </w:rPr>
          <w:t>本行基本信息</w:t>
        </w:r>
        <w:r w:rsidR="00D40582">
          <w:rPr>
            <w:noProof/>
          </w:rPr>
          <w:tab/>
        </w:r>
        <w:r w:rsidR="00D40582">
          <w:rPr>
            <w:noProof/>
          </w:rPr>
          <w:fldChar w:fldCharType="begin" w:fldLock="1"/>
        </w:r>
        <w:r w:rsidR="00D40582">
          <w:rPr>
            <w:noProof/>
          </w:rPr>
          <w:instrText xml:space="preserve"> PAGEREF _Toc89016898 \h </w:instrText>
        </w:r>
        <w:r w:rsidR="00D40582">
          <w:rPr>
            <w:noProof/>
          </w:rPr>
        </w:r>
        <w:r w:rsidR="00D40582">
          <w:rPr>
            <w:noProof/>
          </w:rPr>
          <w:fldChar w:fldCharType="separate"/>
        </w:r>
        <w:r w:rsidR="00945CC0">
          <w:rPr>
            <w:noProof/>
          </w:rPr>
          <w:t>6</w:t>
        </w:r>
        <w:r w:rsidR="00D40582">
          <w:rPr>
            <w:noProof/>
          </w:rPr>
          <w:fldChar w:fldCharType="end"/>
        </w:r>
      </w:hyperlink>
    </w:p>
    <w:p w14:paraId="63C20E6A" w14:textId="2F6337C5" w:rsidR="00DE1B44" w:rsidRDefault="00E872C5">
      <w:pPr>
        <w:pStyle w:val="TOC2"/>
        <w:spacing w:before="24"/>
        <w:ind w:firstLine="480"/>
        <w:rPr>
          <w:rFonts w:asciiTheme="minorHAnsi" w:eastAsiaTheme="minorEastAsia" w:hAnsiTheme="minorHAnsi" w:cstheme="minorBidi"/>
          <w:noProof/>
          <w:sz w:val="21"/>
          <w:szCs w:val="22"/>
        </w:rPr>
      </w:pPr>
      <w:hyperlink w:anchor="_Toc89016899" w:history="1">
        <w:r w:rsidR="00D40582">
          <w:rPr>
            <w:rStyle w:val="afff6"/>
            <w:noProof/>
          </w:rPr>
          <w:t>一、本行基本情况</w:t>
        </w:r>
        <w:r w:rsidR="00D40582">
          <w:rPr>
            <w:noProof/>
          </w:rPr>
          <w:tab/>
        </w:r>
        <w:r w:rsidR="00D40582">
          <w:rPr>
            <w:noProof/>
          </w:rPr>
          <w:fldChar w:fldCharType="begin" w:fldLock="1"/>
        </w:r>
        <w:r w:rsidR="00D40582">
          <w:rPr>
            <w:noProof/>
          </w:rPr>
          <w:instrText xml:space="preserve"> PAGEREF _Toc89016899 \h </w:instrText>
        </w:r>
        <w:r w:rsidR="00D40582">
          <w:rPr>
            <w:noProof/>
          </w:rPr>
        </w:r>
        <w:r w:rsidR="00D40582">
          <w:rPr>
            <w:noProof/>
          </w:rPr>
          <w:fldChar w:fldCharType="separate"/>
        </w:r>
        <w:r w:rsidR="00945CC0">
          <w:rPr>
            <w:noProof/>
          </w:rPr>
          <w:t>6</w:t>
        </w:r>
        <w:r w:rsidR="00D40582">
          <w:rPr>
            <w:noProof/>
          </w:rPr>
          <w:fldChar w:fldCharType="end"/>
        </w:r>
      </w:hyperlink>
    </w:p>
    <w:p w14:paraId="26AFD605" w14:textId="182A11CC" w:rsidR="00DE1B44" w:rsidRDefault="00E872C5">
      <w:pPr>
        <w:pStyle w:val="TOC2"/>
        <w:spacing w:before="24"/>
        <w:ind w:firstLine="480"/>
        <w:rPr>
          <w:rFonts w:asciiTheme="minorHAnsi" w:eastAsiaTheme="minorEastAsia" w:hAnsiTheme="minorHAnsi" w:cstheme="minorBidi"/>
          <w:noProof/>
          <w:sz w:val="21"/>
          <w:szCs w:val="22"/>
        </w:rPr>
      </w:pPr>
      <w:hyperlink w:anchor="_Toc89016900" w:history="1">
        <w:r w:rsidR="00D40582">
          <w:rPr>
            <w:rStyle w:val="afff6"/>
            <w:noProof/>
          </w:rPr>
          <w:t>二、本行历史沿革</w:t>
        </w:r>
        <w:r w:rsidR="00D40582">
          <w:rPr>
            <w:noProof/>
          </w:rPr>
          <w:tab/>
        </w:r>
        <w:r w:rsidR="00D40582">
          <w:rPr>
            <w:noProof/>
          </w:rPr>
          <w:fldChar w:fldCharType="begin" w:fldLock="1"/>
        </w:r>
        <w:r w:rsidR="00D40582">
          <w:rPr>
            <w:noProof/>
          </w:rPr>
          <w:instrText xml:space="preserve"> PAGEREF _Toc89016900 \h </w:instrText>
        </w:r>
        <w:r w:rsidR="00D40582">
          <w:rPr>
            <w:noProof/>
          </w:rPr>
        </w:r>
        <w:r w:rsidR="00D40582">
          <w:rPr>
            <w:noProof/>
          </w:rPr>
          <w:fldChar w:fldCharType="separate"/>
        </w:r>
        <w:r w:rsidR="00945CC0">
          <w:rPr>
            <w:noProof/>
          </w:rPr>
          <w:t>7</w:t>
        </w:r>
        <w:r w:rsidR="00D40582">
          <w:rPr>
            <w:noProof/>
          </w:rPr>
          <w:fldChar w:fldCharType="end"/>
        </w:r>
      </w:hyperlink>
    </w:p>
    <w:p w14:paraId="42B24BAB" w14:textId="1D56D406" w:rsidR="00DE1B44" w:rsidRDefault="00E872C5">
      <w:pPr>
        <w:pStyle w:val="TOC2"/>
        <w:spacing w:before="24"/>
        <w:ind w:firstLine="480"/>
        <w:rPr>
          <w:rFonts w:asciiTheme="minorHAnsi" w:eastAsiaTheme="minorEastAsia" w:hAnsiTheme="minorHAnsi" w:cstheme="minorBidi"/>
          <w:noProof/>
          <w:sz w:val="21"/>
          <w:szCs w:val="22"/>
        </w:rPr>
      </w:pPr>
      <w:hyperlink w:anchor="_Toc89016901" w:history="1">
        <w:r w:rsidR="00D40582">
          <w:rPr>
            <w:rStyle w:val="afff6"/>
            <w:noProof/>
          </w:rPr>
          <w:t>三、股权结构</w:t>
        </w:r>
        <w:r w:rsidR="00D40582">
          <w:rPr>
            <w:noProof/>
          </w:rPr>
          <w:tab/>
        </w:r>
        <w:r w:rsidR="00D40582">
          <w:rPr>
            <w:noProof/>
          </w:rPr>
          <w:fldChar w:fldCharType="begin" w:fldLock="1"/>
        </w:r>
        <w:r w:rsidR="00D40582">
          <w:rPr>
            <w:noProof/>
          </w:rPr>
          <w:instrText xml:space="preserve"> PAGEREF _Toc89016901 \h </w:instrText>
        </w:r>
        <w:r w:rsidR="00D40582">
          <w:rPr>
            <w:noProof/>
          </w:rPr>
        </w:r>
        <w:r w:rsidR="00D40582">
          <w:rPr>
            <w:noProof/>
          </w:rPr>
          <w:fldChar w:fldCharType="separate"/>
        </w:r>
        <w:r w:rsidR="00945CC0">
          <w:rPr>
            <w:noProof/>
          </w:rPr>
          <w:t>9</w:t>
        </w:r>
        <w:r w:rsidR="00D40582">
          <w:rPr>
            <w:noProof/>
          </w:rPr>
          <w:fldChar w:fldCharType="end"/>
        </w:r>
      </w:hyperlink>
    </w:p>
    <w:p w14:paraId="4D0DAE65" w14:textId="4A36BF87" w:rsidR="00DE1B44" w:rsidRDefault="00E872C5">
      <w:pPr>
        <w:pStyle w:val="TOC2"/>
        <w:spacing w:before="24"/>
        <w:ind w:firstLine="480"/>
        <w:rPr>
          <w:rFonts w:asciiTheme="minorHAnsi" w:eastAsiaTheme="minorEastAsia" w:hAnsiTheme="minorHAnsi" w:cstheme="minorBidi"/>
          <w:noProof/>
          <w:sz w:val="21"/>
          <w:szCs w:val="22"/>
        </w:rPr>
      </w:pPr>
      <w:hyperlink w:anchor="_Toc89016902" w:history="1">
        <w:r w:rsidR="00D40582">
          <w:rPr>
            <w:rStyle w:val="afff6"/>
            <w:noProof/>
          </w:rPr>
          <w:t>四、公司分支机构情况</w:t>
        </w:r>
        <w:r w:rsidR="00D40582">
          <w:rPr>
            <w:noProof/>
          </w:rPr>
          <w:tab/>
        </w:r>
        <w:r w:rsidR="00D40582">
          <w:rPr>
            <w:noProof/>
          </w:rPr>
          <w:fldChar w:fldCharType="begin" w:fldLock="1"/>
        </w:r>
        <w:r w:rsidR="00D40582">
          <w:rPr>
            <w:noProof/>
          </w:rPr>
          <w:instrText xml:space="preserve"> PAGEREF _Toc89016902 \h </w:instrText>
        </w:r>
        <w:r w:rsidR="00D40582">
          <w:rPr>
            <w:noProof/>
          </w:rPr>
        </w:r>
        <w:r w:rsidR="00D40582">
          <w:rPr>
            <w:noProof/>
          </w:rPr>
          <w:fldChar w:fldCharType="separate"/>
        </w:r>
        <w:r w:rsidR="00945CC0">
          <w:rPr>
            <w:noProof/>
          </w:rPr>
          <w:t>10</w:t>
        </w:r>
        <w:r w:rsidR="00D40582">
          <w:rPr>
            <w:noProof/>
          </w:rPr>
          <w:fldChar w:fldCharType="end"/>
        </w:r>
      </w:hyperlink>
    </w:p>
    <w:p w14:paraId="20E83947" w14:textId="05511B09" w:rsidR="00DE1B44" w:rsidRDefault="00E872C5">
      <w:pPr>
        <w:pStyle w:val="TOC2"/>
        <w:spacing w:before="24"/>
        <w:ind w:firstLine="480"/>
        <w:rPr>
          <w:rFonts w:asciiTheme="minorHAnsi" w:eastAsiaTheme="minorEastAsia" w:hAnsiTheme="minorHAnsi" w:cstheme="minorBidi"/>
          <w:noProof/>
          <w:sz w:val="21"/>
          <w:szCs w:val="22"/>
        </w:rPr>
      </w:pPr>
      <w:hyperlink w:anchor="_Toc89016903" w:history="1">
        <w:r w:rsidR="00D40582">
          <w:rPr>
            <w:rStyle w:val="afff6"/>
            <w:noProof/>
          </w:rPr>
          <w:t>五、主营业务及商业模式</w:t>
        </w:r>
        <w:r w:rsidR="00D40582">
          <w:rPr>
            <w:noProof/>
          </w:rPr>
          <w:tab/>
        </w:r>
        <w:r w:rsidR="00D40582">
          <w:rPr>
            <w:noProof/>
          </w:rPr>
          <w:fldChar w:fldCharType="begin" w:fldLock="1"/>
        </w:r>
        <w:r w:rsidR="00D40582">
          <w:rPr>
            <w:noProof/>
          </w:rPr>
          <w:instrText xml:space="preserve"> PAGEREF _Toc89016903 \h </w:instrText>
        </w:r>
        <w:r w:rsidR="00D40582">
          <w:rPr>
            <w:noProof/>
          </w:rPr>
        </w:r>
        <w:r w:rsidR="00D40582">
          <w:rPr>
            <w:noProof/>
          </w:rPr>
          <w:fldChar w:fldCharType="separate"/>
        </w:r>
        <w:r w:rsidR="00945CC0">
          <w:rPr>
            <w:noProof/>
          </w:rPr>
          <w:t>10</w:t>
        </w:r>
        <w:r w:rsidR="00D40582">
          <w:rPr>
            <w:noProof/>
          </w:rPr>
          <w:fldChar w:fldCharType="end"/>
        </w:r>
      </w:hyperlink>
    </w:p>
    <w:p w14:paraId="07EA1171" w14:textId="261D4E51" w:rsidR="00DE1B44" w:rsidRDefault="00E872C5">
      <w:pPr>
        <w:pStyle w:val="TOC2"/>
        <w:spacing w:before="24"/>
        <w:ind w:firstLine="480"/>
        <w:rPr>
          <w:rFonts w:asciiTheme="minorHAnsi" w:eastAsiaTheme="minorEastAsia" w:hAnsiTheme="minorHAnsi" w:cstheme="minorBidi"/>
          <w:noProof/>
          <w:sz w:val="21"/>
          <w:szCs w:val="22"/>
        </w:rPr>
      </w:pPr>
      <w:hyperlink w:anchor="_Toc89016904" w:history="1">
        <w:r w:rsidR="00D40582">
          <w:rPr>
            <w:rStyle w:val="afff6"/>
            <w:noProof/>
          </w:rPr>
          <w:t>六、本行信息披露</w:t>
        </w:r>
        <w:r w:rsidR="00D40582">
          <w:rPr>
            <w:noProof/>
          </w:rPr>
          <w:tab/>
        </w:r>
        <w:r w:rsidR="00D40582">
          <w:rPr>
            <w:noProof/>
          </w:rPr>
          <w:fldChar w:fldCharType="begin" w:fldLock="1"/>
        </w:r>
        <w:r w:rsidR="00D40582">
          <w:rPr>
            <w:noProof/>
          </w:rPr>
          <w:instrText xml:space="preserve"> PAGEREF _Toc89016904 \h </w:instrText>
        </w:r>
        <w:r w:rsidR="00D40582">
          <w:rPr>
            <w:noProof/>
          </w:rPr>
        </w:r>
        <w:r w:rsidR="00D40582">
          <w:rPr>
            <w:noProof/>
          </w:rPr>
          <w:fldChar w:fldCharType="separate"/>
        </w:r>
        <w:r w:rsidR="00945CC0">
          <w:rPr>
            <w:noProof/>
          </w:rPr>
          <w:t>14</w:t>
        </w:r>
        <w:r w:rsidR="00D40582">
          <w:rPr>
            <w:noProof/>
          </w:rPr>
          <w:fldChar w:fldCharType="end"/>
        </w:r>
      </w:hyperlink>
    </w:p>
    <w:p w14:paraId="39ABDBD1" w14:textId="17B17F8F" w:rsidR="00DE1B44" w:rsidRDefault="00E872C5">
      <w:pPr>
        <w:pStyle w:val="TOC2"/>
        <w:spacing w:before="24"/>
        <w:ind w:firstLine="480"/>
        <w:rPr>
          <w:rFonts w:asciiTheme="minorHAnsi" w:eastAsiaTheme="minorEastAsia" w:hAnsiTheme="minorHAnsi" w:cstheme="minorBidi"/>
          <w:noProof/>
          <w:sz w:val="21"/>
          <w:szCs w:val="22"/>
        </w:rPr>
      </w:pPr>
      <w:hyperlink w:anchor="_Toc89016905" w:history="1">
        <w:r w:rsidR="00D40582">
          <w:rPr>
            <w:rStyle w:val="afff6"/>
            <w:noProof/>
          </w:rPr>
          <w:t>七、公司最近两年及一期主要财务数据</w:t>
        </w:r>
        <w:r w:rsidR="00D40582">
          <w:rPr>
            <w:noProof/>
          </w:rPr>
          <w:tab/>
        </w:r>
        <w:r w:rsidR="00D40582">
          <w:rPr>
            <w:noProof/>
          </w:rPr>
          <w:fldChar w:fldCharType="begin" w:fldLock="1"/>
        </w:r>
        <w:r w:rsidR="00D40582">
          <w:rPr>
            <w:noProof/>
          </w:rPr>
          <w:instrText xml:space="preserve"> PAGEREF _Toc89016905 \h </w:instrText>
        </w:r>
        <w:r w:rsidR="00D40582">
          <w:rPr>
            <w:noProof/>
          </w:rPr>
        </w:r>
        <w:r w:rsidR="00D40582">
          <w:rPr>
            <w:noProof/>
          </w:rPr>
          <w:fldChar w:fldCharType="separate"/>
        </w:r>
        <w:r w:rsidR="00945CC0">
          <w:rPr>
            <w:noProof/>
          </w:rPr>
          <w:t>14</w:t>
        </w:r>
        <w:r w:rsidR="00D40582">
          <w:rPr>
            <w:noProof/>
          </w:rPr>
          <w:fldChar w:fldCharType="end"/>
        </w:r>
      </w:hyperlink>
    </w:p>
    <w:p w14:paraId="111CAA82" w14:textId="206C09E6" w:rsidR="00DE1B44" w:rsidRDefault="00E872C5">
      <w:pPr>
        <w:pStyle w:val="TOC1"/>
        <w:ind w:firstLine="480"/>
        <w:rPr>
          <w:rFonts w:asciiTheme="minorHAnsi" w:eastAsiaTheme="minorEastAsia" w:hAnsiTheme="minorHAnsi" w:cstheme="minorBidi"/>
          <w:bCs w:val="0"/>
          <w:caps w:val="0"/>
          <w:noProof/>
          <w:sz w:val="21"/>
          <w:szCs w:val="22"/>
        </w:rPr>
      </w:pPr>
      <w:hyperlink w:anchor="_Toc89016906" w:history="1">
        <w:r w:rsidR="00D40582">
          <w:rPr>
            <w:rStyle w:val="afff6"/>
            <w:noProof/>
          </w:rPr>
          <w:t>第三节</w:t>
        </w:r>
        <w:r w:rsidR="00D40582">
          <w:rPr>
            <w:rStyle w:val="afff6"/>
            <w:noProof/>
          </w:rPr>
          <w:t xml:space="preserve"> </w:t>
        </w:r>
        <w:r w:rsidR="00D40582">
          <w:rPr>
            <w:rStyle w:val="afff6"/>
            <w:noProof/>
          </w:rPr>
          <w:t>发行计划</w:t>
        </w:r>
        <w:r w:rsidR="00D40582">
          <w:rPr>
            <w:noProof/>
          </w:rPr>
          <w:tab/>
        </w:r>
        <w:r w:rsidR="00D40582">
          <w:rPr>
            <w:noProof/>
          </w:rPr>
          <w:fldChar w:fldCharType="begin" w:fldLock="1"/>
        </w:r>
        <w:r w:rsidR="00D40582">
          <w:rPr>
            <w:noProof/>
          </w:rPr>
          <w:instrText xml:space="preserve"> PAGEREF _Toc89016906 \h </w:instrText>
        </w:r>
        <w:r w:rsidR="00D40582">
          <w:rPr>
            <w:noProof/>
          </w:rPr>
        </w:r>
        <w:r w:rsidR="00D40582">
          <w:rPr>
            <w:noProof/>
          </w:rPr>
          <w:fldChar w:fldCharType="separate"/>
        </w:r>
        <w:r w:rsidR="00945CC0">
          <w:rPr>
            <w:noProof/>
          </w:rPr>
          <w:t>34</w:t>
        </w:r>
        <w:r w:rsidR="00D40582">
          <w:rPr>
            <w:noProof/>
          </w:rPr>
          <w:fldChar w:fldCharType="end"/>
        </w:r>
      </w:hyperlink>
    </w:p>
    <w:p w14:paraId="13C5FEF1" w14:textId="73EB2C34" w:rsidR="00DE1B44" w:rsidRDefault="00E872C5">
      <w:pPr>
        <w:pStyle w:val="TOC2"/>
        <w:spacing w:before="24"/>
        <w:ind w:firstLine="480"/>
        <w:rPr>
          <w:rFonts w:asciiTheme="minorHAnsi" w:eastAsiaTheme="minorEastAsia" w:hAnsiTheme="minorHAnsi" w:cstheme="minorBidi"/>
          <w:noProof/>
          <w:sz w:val="21"/>
          <w:szCs w:val="22"/>
        </w:rPr>
      </w:pPr>
      <w:hyperlink w:anchor="_Toc89016907" w:history="1">
        <w:r w:rsidR="00D40582">
          <w:rPr>
            <w:rStyle w:val="afff6"/>
            <w:noProof/>
          </w:rPr>
          <w:t>一、本次发行的目的</w:t>
        </w:r>
        <w:r w:rsidR="00D40582">
          <w:rPr>
            <w:noProof/>
          </w:rPr>
          <w:tab/>
        </w:r>
        <w:r w:rsidR="00D40582">
          <w:rPr>
            <w:noProof/>
          </w:rPr>
          <w:fldChar w:fldCharType="begin" w:fldLock="1"/>
        </w:r>
        <w:r w:rsidR="00D40582">
          <w:rPr>
            <w:noProof/>
          </w:rPr>
          <w:instrText xml:space="preserve"> PAGEREF _Toc89016907 \h </w:instrText>
        </w:r>
        <w:r w:rsidR="00D40582">
          <w:rPr>
            <w:noProof/>
          </w:rPr>
        </w:r>
        <w:r w:rsidR="00D40582">
          <w:rPr>
            <w:noProof/>
          </w:rPr>
          <w:fldChar w:fldCharType="separate"/>
        </w:r>
        <w:r w:rsidR="00945CC0">
          <w:rPr>
            <w:noProof/>
          </w:rPr>
          <w:t>34</w:t>
        </w:r>
        <w:r w:rsidR="00D40582">
          <w:rPr>
            <w:noProof/>
          </w:rPr>
          <w:fldChar w:fldCharType="end"/>
        </w:r>
      </w:hyperlink>
    </w:p>
    <w:p w14:paraId="2DD2227E" w14:textId="4A5CA093" w:rsidR="00DE1B44" w:rsidRDefault="00E872C5">
      <w:pPr>
        <w:pStyle w:val="TOC2"/>
        <w:spacing w:before="24"/>
        <w:ind w:firstLine="480"/>
        <w:rPr>
          <w:rFonts w:asciiTheme="minorHAnsi" w:eastAsiaTheme="minorEastAsia" w:hAnsiTheme="minorHAnsi" w:cstheme="minorBidi"/>
          <w:noProof/>
          <w:sz w:val="21"/>
          <w:szCs w:val="22"/>
        </w:rPr>
      </w:pPr>
      <w:hyperlink w:anchor="_Toc89016908" w:history="1">
        <w:r w:rsidR="00D40582">
          <w:rPr>
            <w:rStyle w:val="afff6"/>
            <w:noProof/>
          </w:rPr>
          <w:t>二、发行对象及现有股东优先认购安排</w:t>
        </w:r>
        <w:r w:rsidR="00D40582">
          <w:rPr>
            <w:noProof/>
          </w:rPr>
          <w:tab/>
        </w:r>
        <w:r w:rsidR="00D40582">
          <w:rPr>
            <w:noProof/>
          </w:rPr>
          <w:fldChar w:fldCharType="begin" w:fldLock="1"/>
        </w:r>
        <w:r w:rsidR="00D40582">
          <w:rPr>
            <w:noProof/>
          </w:rPr>
          <w:instrText xml:space="preserve"> PAGEREF _Toc89016908 \h </w:instrText>
        </w:r>
        <w:r w:rsidR="00D40582">
          <w:rPr>
            <w:noProof/>
          </w:rPr>
        </w:r>
        <w:r w:rsidR="00D40582">
          <w:rPr>
            <w:noProof/>
          </w:rPr>
          <w:fldChar w:fldCharType="separate"/>
        </w:r>
        <w:r w:rsidR="00945CC0">
          <w:rPr>
            <w:noProof/>
          </w:rPr>
          <w:t>34</w:t>
        </w:r>
        <w:r w:rsidR="00D40582">
          <w:rPr>
            <w:noProof/>
          </w:rPr>
          <w:fldChar w:fldCharType="end"/>
        </w:r>
      </w:hyperlink>
    </w:p>
    <w:p w14:paraId="7182056D" w14:textId="6292354C" w:rsidR="00DE1B44" w:rsidRDefault="00E872C5">
      <w:pPr>
        <w:pStyle w:val="TOC2"/>
        <w:spacing w:before="24"/>
        <w:ind w:firstLine="480"/>
        <w:rPr>
          <w:rFonts w:asciiTheme="minorHAnsi" w:eastAsiaTheme="minorEastAsia" w:hAnsiTheme="minorHAnsi" w:cstheme="minorBidi"/>
          <w:noProof/>
          <w:sz w:val="21"/>
          <w:szCs w:val="22"/>
        </w:rPr>
      </w:pPr>
      <w:hyperlink w:anchor="_Toc89016909" w:history="1">
        <w:r w:rsidR="00D40582">
          <w:rPr>
            <w:rStyle w:val="afff6"/>
            <w:noProof/>
          </w:rPr>
          <w:t>三、发行价格及定价原则</w:t>
        </w:r>
        <w:r w:rsidR="00D40582">
          <w:rPr>
            <w:noProof/>
          </w:rPr>
          <w:tab/>
        </w:r>
        <w:r w:rsidR="00D40582">
          <w:rPr>
            <w:noProof/>
          </w:rPr>
          <w:fldChar w:fldCharType="begin" w:fldLock="1"/>
        </w:r>
        <w:r w:rsidR="00D40582">
          <w:rPr>
            <w:noProof/>
          </w:rPr>
          <w:instrText xml:space="preserve"> PAGEREF _Toc89016909 \h </w:instrText>
        </w:r>
        <w:r w:rsidR="00D40582">
          <w:rPr>
            <w:noProof/>
          </w:rPr>
        </w:r>
        <w:r w:rsidR="00D40582">
          <w:rPr>
            <w:noProof/>
          </w:rPr>
          <w:fldChar w:fldCharType="separate"/>
        </w:r>
        <w:r w:rsidR="00945CC0">
          <w:rPr>
            <w:noProof/>
          </w:rPr>
          <w:t>38</w:t>
        </w:r>
        <w:r w:rsidR="00D40582">
          <w:rPr>
            <w:noProof/>
          </w:rPr>
          <w:fldChar w:fldCharType="end"/>
        </w:r>
      </w:hyperlink>
    </w:p>
    <w:p w14:paraId="241715A5" w14:textId="754ABAE3" w:rsidR="00DE1B44" w:rsidRDefault="00E872C5">
      <w:pPr>
        <w:pStyle w:val="TOC2"/>
        <w:spacing w:before="24"/>
        <w:ind w:firstLine="480"/>
        <w:rPr>
          <w:rFonts w:asciiTheme="minorHAnsi" w:eastAsiaTheme="minorEastAsia" w:hAnsiTheme="minorHAnsi" w:cstheme="minorBidi"/>
          <w:noProof/>
          <w:sz w:val="21"/>
          <w:szCs w:val="22"/>
        </w:rPr>
      </w:pPr>
      <w:hyperlink w:anchor="_Toc89016910" w:history="1">
        <w:r w:rsidR="00D40582">
          <w:rPr>
            <w:rStyle w:val="afff6"/>
            <w:noProof/>
          </w:rPr>
          <w:t>四、发行股份数量上限</w:t>
        </w:r>
        <w:r w:rsidR="00D40582">
          <w:rPr>
            <w:noProof/>
          </w:rPr>
          <w:tab/>
        </w:r>
        <w:r w:rsidR="00D40582">
          <w:rPr>
            <w:noProof/>
          </w:rPr>
          <w:fldChar w:fldCharType="begin" w:fldLock="1"/>
        </w:r>
        <w:r w:rsidR="00D40582">
          <w:rPr>
            <w:noProof/>
          </w:rPr>
          <w:instrText xml:space="preserve"> PAGEREF _Toc89016910 \h </w:instrText>
        </w:r>
        <w:r w:rsidR="00D40582">
          <w:rPr>
            <w:noProof/>
          </w:rPr>
        </w:r>
        <w:r w:rsidR="00D40582">
          <w:rPr>
            <w:noProof/>
          </w:rPr>
          <w:fldChar w:fldCharType="separate"/>
        </w:r>
        <w:r w:rsidR="00945CC0">
          <w:rPr>
            <w:noProof/>
          </w:rPr>
          <w:t>39</w:t>
        </w:r>
        <w:r w:rsidR="00D40582">
          <w:rPr>
            <w:noProof/>
          </w:rPr>
          <w:fldChar w:fldCharType="end"/>
        </w:r>
      </w:hyperlink>
    </w:p>
    <w:p w14:paraId="24A615E9" w14:textId="2B56C03E" w:rsidR="00DE1B44" w:rsidRDefault="00E872C5">
      <w:pPr>
        <w:pStyle w:val="TOC2"/>
        <w:spacing w:before="24"/>
        <w:ind w:firstLine="480"/>
        <w:rPr>
          <w:rFonts w:asciiTheme="minorHAnsi" w:eastAsiaTheme="minorEastAsia" w:hAnsiTheme="minorHAnsi" w:cstheme="minorBidi"/>
          <w:noProof/>
          <w:sz w:val="21"/>
          <w:szCs w:val="22"/>
        </w:rPr>
      </w:pPr>
      <w:hyperlink w:anchor="_Toc89016911" w:history="1">
        <w:r w:rsidR="00D40582">
          <w:rPr>
            <w:rStyle w:val="afff6"/>
            <w:noProof/>
          </w:rPr>
          <w:t>五、限售安排及自愿锁定承诺</w:t>
        </w:r>
        <w:r w:rsidR="00D40582">
          <w:rPr>
            <w:noProof/>
          </w:rPr>
          <w:tab/>
        </w:r>
        <w:r w:rsidR="00D40582">
          <w:rPr>
            <w:noProof/>
          </w:rPr>
          <w:fldChar w:fldCharType="begin" w:fldLock="1"/>
        </w:r>
        <w:r w:rsidR="00D40582">
          <w:rPr>
            <w:noProof/>
          </w:rPr>
          <w:instrText xml:space="preserve"> PAGEREF _Toc89016911 \h </w:instrText>
        </w:r>
        <w:r w:rsidR="00D40582">
          <w:rPr>
            <w:noProof/>
          </w:rPr>
        </w:r>
        <w:r w:rsidR="00D40582">
          <w:rPr>
            <w:noProof/>
          </w:rPr>
          <w:fldChar w:fldCharType="separate"/>
        </w:r>
        <w:r w:rsidR="00945CC0">
          <w:rPr>
            <w:noProof/>
          </w:rPr>
          <w:t>39</w:t>
        </w:r>
        <w:r w:rsidR="00D40582">
          <w:rPr>
            <w:noProof/>
          </w:rPr>
          <w:fldChar w:fldCharType="end"/>
        </w:r>
      </w:hyperlink>
    </w:p>
    <w:p w14:paraId="12A3639D" w14:textId="442482E5" w:rsidR="00DE1B44" w:rsidRDefault="00E872C5">
      <w:pPr>
        <w:pStyle w:val="TOC2"/>
        <w:spacing w:before="24"/>
        <w:ind w:firstLine="480"/>
        <w:rPr>
          <w:rFonts w:asciiTheme="minorHAnsi" w:eastAsiaTheme="minorEastAsia" w:hAnsiTheme="minorHAnsi" w:cstheme="minorBidi"/>
          <w:noProof/>
          <w:sz w:val="21"/>
          <w:szCs w:val="22"/>
        </w:rPr>
      </w:pPr>
      <w:hyperlink w:anchor="_Toc89016912" w:history="1">
        <w:r w:rsidR="00D40582">
          <w:rPr>
            <w:rStyle w:val="afff6"/>
            <w:noProof/>
          </w:rPr>
          <w:t>六、报告期内募集资金使用情况</w:t>
        </w:r>
        <w:r w:rsidR="00D40582">
          <w:rPr>
            <w:noProof/>
          </w:rPr>
          <w:tab/>
        </w:r>
        <w:r w:rsidR="00D40582">
          <w:rPr>
            <w:noProof/>
          </w:rPr>
          <w:fldChar w:fldCharType="begin" w:fldLock="1"/>
        </w:r>
        <w:r w:rsidR="00D40582">
          <w:rPr>
            <w:noProof/>
          </w:rPr>
          <w:instrText xml:space="preserve"> PAGEREF _Toc89016912 \h </w:instrText>
        </w:r>
        <w:r w:rsidR="00D40582">
          <w:rPr>
            <w:noProof/>
          </w:rPr>
        </w:r>
        <w:r w:rsidR="00D40582">
          <w:rPr>
            <w:noProof/>
          </w:rPr>
          <w:fldChar w:fldCharType="separate"/>
        </w:r>
        <w:r w:rsidR="00945CC0">
          <w:rPr>
            <w:noProof/>
          </w:rPr>
          <w:t>40</w:t>
        </w:r>
        <w:r w:rsidR="00D40582">
          <w:rPr>
            <w:noProof/>
          </w:rPr>
          <w:fldChar w:fldCharType="end"/>
        </w:r>
      </w:hyperlink>
    </w:p>
    <w:p w14:paraId="21313AF4" w14:textId="7F3EAB19" w:rsidR="00DE1B44" w:rsidRDefault="00E872C5">
      <w:pPr>
        <w:pStyle w:val="TOC2"/>
        <w:spacing w:before="24"/>
        <w:ind w:firstLine="480"/>
        <w:rPr>
          <w:rFonts w:asciiTheme="minorHAnsi" w:eastAsiaTheme="minorEastAsia" w:hAnsiTheme="minorHAnsi" w:cstheme="minorBidi"/>
          <w:noProof/>
          <w:sz w:val="21"/>
          <w:szCs w:val="22"/>
        </w:rPr>
      </w:pPr>
      <w:hyperlink w:anchor="_Toc89016913" w:history="1">
        <w:r w:rsidR="00D40582">
          <w:rPr>
            <w:rStyle w:val="afff6"/>
            <w:noProof/>
          </w:rPr>
          <w:t>七、本次募集资金用途</w:t>
        </w:r>
        <w:r w:rsidR="00D40582">
          <w:rPr>
            <w:noProof/>
          </w:rPr>
          <w:tab/>
        </w:r>
        <w:r w:rsidR="00D40582">
          <w:rPr>
            <w:noProof/>
          </w:rPr>
          <w:fldChar w:fldCharType="begin" w:fldLock="1"/>
        </w:r>
        <w:r w:rsidR="00D40582">
          <w:rPr>
            <w:noProof/>
          </w:rPr>
          <w:instrText xml:space="preserve"> PAGEREF _Toc89016913 \h </w:instrText>
        </w:r>
        <w:r w:rsidR="00D40582">
          <w:rPr>
            <w:noProof/>
          </w:rPr>
        </w:r>
        <w:r w:rsidR="00D40582">
          <w:rPr>
            <w:noProof/>
          </w:rPr>
          <w:fldChar w:fldCharType="separate"/>
        </w:r>
        <w:r w:rsidR="00945CC0">
          <w:rPr>
            <w:noProof/>
          </w:rPr>
          <w:t>40</w:t>
        </w:r>
        <w:r w:rsidR="00D40582">
          <w:rPr>
            <w:noProof/>
          </w:rPr>
          <w:fldChar w:fldCharType="end"/>
        </w:r>
      </w:hyperlink>
    </w:p>
    <w:p w14:paraId="78AF6FF7" w14:textId="54E68E90" w:rsidR="00DE1B44" w:rsidRDefault="00E872C5">
      <w:pPr>
        <w:pStyle w:val="TOC2"/>
        <w:spacing w:before="24"/>
        <w:ind w:firstLine="480"/>
        <w:rPr>
          <w:rFonts w:asciiTheme="minorHAnsi" w:eastAsiaTheme="minorEastAsia" w:hAnsiTheme="minorHAnsi" w:cstheme="minorBidi"/>
          <w:noProof/>
          <w:sz w:val="21"/>
          <w:szCs w:val="22"/>
        </w:rPr>
      </w:pPr>
      <w:hyperlink w:anchor="_Toc89016914" w:history="1">
        <w:r w:rsidR="00D40582">
          <w:rPr>
            <w:rStyle w:val="afff6"/>
            <w:noProof/>
          </w:rPr>
          <w:t>八、本次发行募集资金专项账户的设立情况以及保证募集资金合理使用的措施</w:t>
        </w:r>
        <w:r w:rsidR="00D40582">
          <w:rPr>
            <w:noProof/>
          </w:rPr>
          <w:tab/>
        </w:r>
        <w:r w:rsidR="00D40582">
          <w:rPr>
            <w:noProof/>
          </w:rPr>
          <w:fldChar w:fldCharType="begin" w:fldLock="1"/>
        </w:r>
        <w:r w:rsidR="00D40582">
          <w:rPr>
            <w:noProof/>
          </w:rPr>
          <w:instrText xml:space="preserve"> PAGEREF _Toc89016914 \h </w:instrText>
        </w:r>
        <w:r w:rsidR="00D40582">
          <w:rPr>
            <w:noProof/>
          </w:rPr>
        </w:r>
        <w:r w:rsidR="00D40582">
          <w:rPr>
            <w:noProof/>
          </w:rPr>
          <w:fldChar w:fldCharType="separate"/>
        </w:r>
        <w:r w:rsidR="00945CC0">
          <w:rPr>
            <w:noProof/>
          </w:rPr>
          <w:t>41</w:t>
        </w:r>
        <w:r w:rsidR="00D40582">
          <w:rPr>
            <w:noProof/>
          </w:rPr>
          <w:fldChar w:fldCharType="end"/>
        </w:r>
      </w:hyperlink>
    </w:p>
    <w:p w14:paraId="7D6741F3" w14:textId="20FD48FA" w:rsidR="00DE1B44" w:rsidRDefault="00E872C5">
      <w:pPr>
        <w:pStyle w:val="TOC2"/>
        <w:spacing w:before="24"/>
        <w:ind w:firstLine="480"/>
        <w:rPr>
          <w:rFonts w:asciiTheme="minorHAnsi" w:eastAsiaTheme="minorEastAsia" w:hAnsiTheme="minorHAnsi" w:cstheme="minorBidi"/>
          <w:noProof/>
          <w:sz w:val="21"/>
          <w:szCs w:val="22"/>
        </w:rPr>
      </w:pPr>
      <w:hyperlink w:anchor="_Toc89016915" w:history="1">
        <w:r w:rsidR="00D40582">
          <w:rPr>
            <w:rStyle w:val="afff6"/>
            <w:noProof/>
          </w:rPr>
          <w:t>九、本次发行前滚存未分配利润的处置方案</w:t>
        </w:r>
        <w:r w:rsidR="00D40582">
          <w:rPr>
            <w:noProof/>
          </w:rPr>
          <w:tab/>
        </w:r>
        <w:r w:rsidR="00D40582">
          <w:rPr>
            <w:noProof/>
          </w:rPr>
          <w:fldChar w:fldCharType="begin" w:fldLock="1"/>
        </w:r>
        <w:r w:rsidR="00D40582">
          <w:rPr>
            <w:noProof/>
          </w:rPr>
          <w:instrText xml:space="preserve"> PAGEREF _Toc89016915 \h </w:instrText>
        </w:r>
        <w:r w:rsidR="00D40582">
          <w:rPr>
            <w:noProof/>
          </w:rPr>
        </w:r>
        <w:r w:rsidR="00D40582">
          <w:rPr>
            <w:noProof/>
          </w:rPr>
          <w:fldChar w:fldCharType="separate"/>
        </w:r>
        <w:r w:rsidR="00945CC0">
          <w:rPr>
            <w:noProof/>
          </w:rPr>
          <w:t>42</w:t>
        </w:r>
        <w:r w:rsidR="00D40582">
          <w:rPr>
            <w:noProof/>
          </w:rPr>
          <w:fldChar w:fldCharType="end"/>
        </w:r>
      </w:hyperlink>
    </w:p>
    <w:p w14:paraId="7D5A04C7" w14:textId="4A6101D9" w:rsidR="00DE1B44" w:rsidRDefault="00E872C5">
      <w:pPr>
        <w:pStyle w:val="TOC2"/>
        <w:spacing w:before="24"/>
        <w:ind w:firstLine="480"/>
        <w:rPr>
          <w:rFonts w:asciiTheme="minorHAnsi" w:eastAsiaTheme="minorEastAsia" w:hAnsiTheme="minorHAnsi" w:cstheme="minorBidi"/>
          <w:noProof/>
          <w:sz w:val="21"/>
          <w:szCs w:val="22"/>
        </w:rPr>
      </w:pPr>
      <w:hyperlink w:anchor="_Toc89016916" w:history="1">
        <w:r w:rsidR="00D40582">
          <w:rPr>
            <w:rStyle w:val="afff6"/>
            <w:noProof/>
          </w:rPr>
          <w:t>十、本次发行的审议程序</w:t>
        </w:r>
        <w:r w:rsidR="00D40582">
          <w:rPr>
            <w:noProof/>
          </w:rPr>
          <w:tab/>
        </w:r>
        <w:r w:rsidR="00D40582">
          <w:rPr>
            <w:noProof/>
          </w:rPr>
          <w:fldChar w:fldCharType="begin" w:fldLock="1"/>
        </w:r>
        <w:r w:rsidR="00D40582">
          <w:rPr>
            <w:noProof/>
          </w:rPr>
          <w:instrText xml:space="preserve"> PAGEREF _Toc89016916 \h </w:instrText>
        </w:r>
        <w:r w:rsidR="00D40582">
          <w:rPr>
            <w:noProof/>
          </w:rPr>
        </w:r>
        <w:r w:rsidR="00D40582">
          <w:rPr>
            <w:noProof/>
          </w:rPr>
          <w:fldChar w:fldCharType="separate"/>
        </w:r>
        <w:r w:rsidR="00945CC0">
          <w:rPr>
            <w:noProof/>
          </w:rPr>
          <w:t>42</w:t>
        </w:r>
        <w:r w:rsidR="00D40582">
          <w:rPr>
            <w:noProof/>
          </w:rPr>
          <w:fldChar w:fldCharType="end"/>
        </w:r>
      </w:hyperlink>
    </w:p>
    <w:p w14:paraId="01765017" w14:textId="350FA65E" w:rsidR="00DE1B44" w:rsidRDefault="00E872C5">
      <w:pPr>
        <w:pStyle w:val="TOC2"/>
        <w:spacing w:before="24"/>
        <w:ind w:firstLine="480"/>
        <w:rPr>
          <w:rFonts w:asciiTheme="minorHAnsi" w:eastAsiaTheme="minorEastAsia" w:hAnsiTheme="minorHAnsi" w:cstheme="minorBidi"/>
          <w:noProof/>
          <w:sz w:val="21"/>
          <w:szCs w:val="22"/>
        </w:rPr>
      </w:pPr>
      <w:hyperlink w:anchor="_Toc89016917" w:history="1">
        <w:r w:rsidR="00D40582">
          <w:rPr>
            <w:rStyle w:val="afff6"/>
            <w:noProof/>
          </w:rPr>
          <w:t>十一、本次发行涉及的相关主管部门审批、核准或备案事项情况</w:t>
        </w:r>
        <w:r w:rsidR="00D40582">
          <w:rPr>
            <w:noProof/>
          </w:rPr>
          <w:tab/>
        </w:r>
        <w:r w:rsidR="00D40582">
          <w:rPr>
            <w:noProof/>
          </w:rPr>
          <w:fldChar w:fldCharType="begin" w:fldLock="1"/>
        </w:r>
        <w:r w:rsidR="00D40582">
          <w:rPr>
            <w:noProof/>
          </w:rPr>
          <w:instrText xml:space="preserve"> PAGEREF _Toc89016917 \h </w:instrText>
        </w:r>
        <w:r w:rsidR="00D40582">
          <w:rPr>
            <w:noProof/>
          </w:rPr>
        </w:r>
        <w:r w:rsidR="00D40582">
          <w:rPr>
            <w:noProof/>
          </w:rPr>
          <w:fldChar w:fldCharType="separate"/>
        </w:r>
        <w:r w:rsidR="00945CC0">
          <w:rPr>
            <w:noProof/>
          </w:rPr>
          <w:t>42</w:t>
        </w:r>
        <w:r w:rsidR="00D40582">
          <w:rPr>
            <w:noProof/>
          </w:rPr>
          <w:fldChar w:fldCharType="end"/>
        </w:r>
      </w:hyperlink>
    </w:p>
    <w:p w14:paraId="32EB3755" w14:textId="0F738F8B" w:rsidR="00DE1B44" w:rsidRDefault="00E872C5">
      <w:pPr>
        <w:pStyle w:val="TOC1"/>
        <w:ind w:firstLine="480"/>
        <w:rPr>
          <w:rFonts w:asciiTheme="minorHAnsi" w:eastAsiaTheme="minorEastAsia" w:hAnsiTheme="minorHAnsi" w:cstheme="minorBidi"/>
          <w:bCs w:val="0"/>
          <w:caps w:val="0"/>
          <w:noProof/>
          <w:sz w:val="21"/>
          <w:szCs w:val="22"/>
        </w:rPr>
      </w:pPr>
      <w:hyperlink w:anchor="_Toc89016918" w:history="1">
        <w:r w:rsidR="00D40582">
          <w:rPr>
            <w:rStyle w:val="afff6"/>
            <w:noProof/>
          </w:rPr>
          <w:t>第四节</w:t>
        </w:r>
        <w:r w:rsidR="00D40582">
          <w:rPr>
            <w:rStyle w:val="afff6"/>
            <w:noProof/>
          </w:rPr>
          <w:t xml:space="preserve"> </w:t>
        </w:r>
        <w:r w:rsidR="00D40582">
          <w:rPr>
            <w:rStyle w:val="afff6"/>
            <w:noProof/>
          </w:rPr>
          <w:t>附生效条件的股票认购合同的内容摘要</w:t>
        </w:r>
        <w:r w:rsidR="00D40582">
          <w:rPr>
            <w:noProof/>
          </w:rPr>
          <w:tab/>
        </w:r>
        <w:r w:rsidR="00D40582">
          <w:rPr>
            <w:noProof/>
          </w:rPr>
          <w:fldChar w:fldCharType="begin" w:fldLock="1"/>
        </w:r>
        <w:r w:rsidR="00D40582">
          <w:rPr>
            <w:noProof/>
          </w:rPr>
          <w:instrText xml:space="preserve"> PAGEREF _Toc89016918 \h </w:instrText>
        </w:r>
        <w:r w:rsidR="00D40582">
          <w:rPr>
            <w:noProof/>
          </w:rPr>
        </w:r>
        <w:r w:rsidR="00D40582">
          <w:rPr>
            <w:noProof/>
          </w:rPr>
          <w:fldChar w:fldCharType="separate"/>
        </w:r>
        <w:r w:rsidR="00945CC0">
          <w:rPr>
            <w:noProof/>
          </w:rPr>
          <w:t>44</w:t>
        </w:r>
        <w:r w:rsidR="00D40582">
          <w:rPr>
            <w:noProof/>
          </w:rPr>
          <w:fldChar w:fldCharType="end"/>
        </w:r>
      </w:hyperlink>
    </w:p>
    <w:p w14:paraId="04B67B78" w14:textId="6E8E2CAE" w:rsidR="00DE1B44" w:rsidRDefault="00E872C5">
      <w:pPr>
        <w:pStyle w:val="TOC2"/>
        <w:spacing w:before="24"/>
        <w:ind w:firstLine="480"/>
        <w:rPr>
          <w:rFonts w:asciiTheme="minorHAnsi" w:eastAsiaTheme="minorEastAsia" w:hAnsiTheme="minorHAnsi" w:cstheme="minorBidi"/>
          <w:noProof/>
          <w:sz w:val="21"/>
          <w:szCs w:val="22"/>
        </w:rPr>
      </w:pPr>
      <w:hyperlink w:anchor="_Toc89016919" w:history="1">
        <w:r w:rsidR="00D40582">
          <w:rPr>
            <w:rStyle w:val="afff6"/>
            <w:noProof/>
          </w:rPr>
          <w:t>一、合同主体和签订时间</w:t>
        </w:r>
        <w:r w:rsidR="00D40582">
          <w:rPr>
            <w:noProof/>
          </w:rPr>
          <w:tab/>
        </w:r>
        <w:r w:rsidR="00D40582">
          <w:rPr>
            <w:noProof/>
          </w:rPr>
          <w:fldChar w:fldCharType="begin" w:fldLock="1"/>
        </w:r>
        <w:r w:rsidR="00D40582">
          <w:rPr>
            <w:noProof/>
          </w:rPr>
          <w:instrText xml:space="preserve"> PAGEREF _Toc89016919 \h </w:instrText>
        </w:r>
        <w:r w:rsidR="00D40582">
          <w:rPr>
            <w:noProof/>
          </w:rPr>
        </w:r>
        <w:r w:rsidR="00D40582">
          <w:rPr>
            <w:noProof/>
          </w:rPr>
          <w:fldChar w:fldCharType="separate"/>
        </w:r>
        <w:r w:rsidR="00945CC0">
          <w:rPr>
            <w:noProof/>
          </w:rPr>
          <w:t>44</w:t>
        </w:r>
        <w:r w:rsidR="00D40582">
          <w:rPr>
            <w:noProof/>
          </w:rPr>
          <w:fldChar w:fldCharType="end"/>
        </w:r>
      </w:hyperlink>
    </w:p>
    <w:p w14:paraId="67AB636D" w14:textId="305EBFC5" w:rsidR="00DE1B44" w:rsidRDefault="00E872C5">
      <w:pPr>
        <w:pStyle w:val="TOC2"/>
        <w:spacing w:before="24"/>
        <w:ind w:firstLine="480"/>
        <w:rPr>
          <w:rFonts w:asciiTheme="minorHAnsi" w:eastAsiaTheme="minorEastAsia" w:hAnsiTheme="minorHAnsi" w:cstheme="minorBidi"/>
          <w:noProof/>
          <w:sz w:val="21"/>
          <w:szCs w:val="22"/>
        </w:rPr>
      </w:pPr>
      <w:hyperlink w:anchor="_Toc89016920" w:history="1">
        <w:r w:rsidR="00D40582">
          <w:rPr>
            <w:rStyle w:val="afff6"/>
            <w:noProof/>
          </w:rPr>
          <w:t>二、认购价格、认购方式和支付方式</w:t>
        </w:r>
        <w:r w:rsidR="00D40582">
          <w:rPr>
            <w:noProof/>
          </w:rPr>
          <w:tab/>
        </w:r>
        <w:r w:rsidR="00D40582">
          <w:rPr>
            <w:noProof/>
          </w:rPr>
          <w:fldChar w:fldCharType="begin" w:fldLock="1"/>
        </w:r>
        <w:r w:rsidR="00D40582">
          <w:rPr>
            <w:noProof/>
          </w:rPr>
          <w:instrText xml:space="preserve"> PAGEREF _Toc89016920 \h </w:instrText>
        </w:r>
        <w:r w:rsidR="00D40582">
          <w:rPr>
            <w:noProof/>
          </w:rPr>
        </w:r>
        <w:r w:rsidR="00D40582">
          <w:rPr>
            <w:noProof/>
          </w:rPr>
          <w:fldChar w:fldCharType="separate"/>
        </w:r>
        <w:r w:rsidR="00945CC0">
          <w:rPr>
            <w:noProof/>
          </w:rPr>
          <w:t>44</w:t>
        </w:r>
        <w:r w:rsidR="00D40582">
          <w:rPr>
            <w:noProof/>
          </w:rPr>
          <w:fldChar w:fldCharType="end"/>
        </w:r>
      </w:hyperlink>
    </w:p>
    <w:p w14:paraId="351230F7" w14:textId="76220D8C" w:rsidR="00DE1B44" w:rsidRDefault="00E872C5">
      <w:pPr>
        <w:pStyle w:val="TOC2"/>
        <w:spacing w:before="24"/>
        <w:ind w:firstLine="480"/>
        <w:rPr>
          <w:rFonts w:asciiTheme="minorHAnsi" w:eastAsiaTheme="minorEastAsia" w:hAnsiTheme="minorHAnsi" w:cstheme="minorBidi"/>
          <w:noProof/>
          <w:sz w:val="21"/>
          <w:szCs w:val="22"/>
        </w:rPr>
      </w:pPr>
      <w:hyperlink w:anchor="_Toc89016921" w:history="1">
        <w:r w:rsidR="00D40582">
          <w:rPr>
            <w:rStyle w:val="afff6"/>
            <w:noProof/>
          </w:rPr>
          <w:t>三、合同的生效条件和生效时间</w:t>
        </w:r>
        <w:r w:rsidR="00D40582">
          <w:rPr>
            <w:noProof/>
          </w:rPr>
          <w:tab/>
        </w:r>
        <w:r w:rsidR="00D40582">
          <w:rPr>
            <w:noProof/>
          </w:rPr>
          <w:fldChar w:fldCharType="begin" w:fldLock="1"/>
        </w:r>
        <w:r w:rsidR="00D40582">
          <w:rPr>
            <w:noProof/>
          </w:rPr>
          <w:instrText xml:space="preserve"> PAGEREF _Toc89016921 \h </w:instrText>
        </w:r>
        <w:r w:rsidR="00D40582">
          <w:rPr>
            <w:noProof/>
          </w:rPr>
        </w:r>
        <w:r w:rsidR="00D40582">
          <w:rPr>
            <w:noProof/>
          </w:rPr>
          <w:fldChar w:fldCharType="separate"/>
        </w:r>
        <w:r w:rsidR="00945CC0">
          <w:rPr>
            <w:noProof/>
          </w:rPr>
          <w:t>44</w:t>
        </w:r>
        <w:r w:rsidR="00D40582">
          <w:rPr>
            <w:noProof/>
          </w:rPr>
          <w:fldChar w:fldCharType="end"/>
        </w:r>
      </w:hyperlink>
    </w:p>
    <w:p w14:paraId="15ED4628" w14:textId="692A2148" w:rsidR="00DE1B44" w:rsidRDefault="00E872C5">
      <w:pPr>
        <w:pStyle w:val="TOC2"/>
        <w:spacing w:before="24"/>
        <w:ind w:firstLine="480"/>
        <w:rPr>
          <w:rFonts w:asciiTheme="minorHAnsi" w:eastAsiaTheme="minorEastAsia" w:hAnsiTheme="minorHAnsi" w:cstheme="minorBidi"/>
          <w:noProof/>
          <w:sz w:val="21"/>
          <w:szCs w:val="22"/>
        </w:rPr>
      </w:pPr>
      <w:hyperlink w:anchor="_Toc89016922" w:history="1">
        <w:r w:rsidR="00D40582">
          <w:rPr>
            <w:rStyle w:val="afff6"/>
            <w:noProof/>
          </w:rPr>
          <w:t>四、合同附带的任何保留条款、前置条件</w:t>
        </w:r>
        <w:r w:rsidR="00D40582">
          <w:rPr>
            <w:noProof/>
          </w:rPr>
          <w:tab/>
        </w:r>
        <w:r w:rsidR="00D40582">
          <w:rPr>
            <w:noProof/>
          </w:rPr>
          <w:fldChar w:fldCharType="begin" w:fldLock="1"/>
        </w:r>
        <w:r w:rsidR="00D40582">
          <w:rPr>
            <w:noProof/>
          </w:rPr>
          <w:instrText xml:space="preserve"> PAGEREF _Toc89016922 \h </w:instrText>
        </w:r>
        <w:r w:rsidR="00D40582">
          <w:rPr>
            <w:noProof/>
          </w:rPr>
        </w:r>
        <w:r w:rsidR="00D40582">
          <w:rPr>
            <w:noProof/>
          </w:rPr>
          <w:fldChar w:fldCharType="separate"/>
        </w:r>
        <w:r w:rsidR="00945CC0">
          <w:rPr>
            <w:noProof/>
          </w:rPr>
          <w:t>44</w:t>
        </w:r>
        <w:r w:rsidR="00D40582">
          <w:rPr>
            <w:noProof/>
          </w:rPr>
          <w:fldChar w:fldCharType="end"/>
        </w:r>
      </w:hyperlink>
    </w:p>
    <w:p w14:paraId="4AA91884" w14:textId="2BAE5FA0" w:rsidR="00DE1B44" w:rsidRDefault="00E872C5">
      <w:pPr>
        <w:pStyle w:val="TOC2"/>
        <w:spacing w:before="24"/>
        <w:ind w:firstLine="480"/>
        <w:rPr>
          <w:rFonts w:asciiTheme="minorHAnsi" w:eastAsiaTheme="minorEastAsia" w:hAnsiTheme="minorHAnsi" w:cstheme="minorBidi"/>
          <w:noProof/>
          <w:sz w:val="21"/>
          <w:szCs w:val="22"/>
        </w:rPr>
      </w:pPr>
      <w:hyperlink w:anchor="_Toc89016923" w:history="1">
        <w:r w:rsidR="00D40582">
          <w:rPr>
            <w:rStyle w:val="afff6"/>
            <w:noProof/>
          </w:rPr>
          <w:t>五、违约责任条款</w:t>
        </w:r>
        <w:r w:rsidR="00D40582">
          <w:rPr>
            <w:noProof/>
          </w:rPr>
          <w:tab/>
        </w:r>
        <w:r w:rsidR="00D40582">
          <w:rPr>
            <w:noProof/>
          </w:rPr>
          <w:fldChar w:fldCharType="begin" w:fldLock="1"/>
        </w:r>
        <w:r w:rsidR="00D40582">
          <w:rPr>
            <w:noProof/>
          </w:rPr>
          <w:instrText xml:space="preserve"> PAGEREF _Toc89016923 \h </w:instrText>
        </w:r>
        <w:r w:rsidR="00D40582">
          <w:rPr>
            <w:noProof/>
          </w:rPr>
        </w:r>
        <w:r w:rsidR="00D40582">
          <w:rPr>
            <w:noProof/>
          </w:rPr>
          <w:fldChar w:fldCharType="separate"/>
        </w:r>
        <w:r w:rsidR="00945CC0">
          <w:rPr>
            <w:noProof/>
          </w:rPr>
          <w:t>45</w:t>
        </w:r>
        <w:r w:rsidR="00D40582">
          <w:rPr>
            <w:noProof/>
          </w:rPr>
          <w:fldChar w:fldCharType="end"/>
        </w:r>
      </w:hyperlink>
    </w:p>
    <w:p w14:paraId="541E4B55" w14:textId="67771069" w:rsidR="00DE1B44" w:rsidRDefault="00E872C5">
      <w:pPr>
        <w:pStyle w:val="TOC2"/>
        <w:spacing w:before="24"/>
        <w:ind w:firstLine="480"/>
        <w:rPr>
          <w:rFonts w:asciiTheme="minorHAnsi" w:eastAsiaTheme="minorEastAsia" w:hAnsiTheme="minorHAnsi" w:cstheme="minorBidi"/>
          <w:noProof/>
          <w:sz w:val="21"/>
          <w:szCs w:val="22"/>
        </w:rPr>
      </w:pPr>
      <w:hyperlink w:anchor="_Toc89016924" w:history="1">
        <w:r w:rsidR="00D40582">
          <w:rPr>
            <w:rStyle w:val="afff6"/>
            <w:noProof/>
          </w:rPr>
          <w:t>六、相关股票限售安排</w:t>
        </w:r>
        <w:r w:rsidR="00D40582">
          <w:rPr>
            <w:noProof/>
          </w:rPr>
          <w:tab/>
        </w:r>
        <w:r w:rsidR="00D40582">
          <w:rPr>
            <w:noProof/>
          </w:rPr>
          <w:fldChar w:fldCharType="begin" w:fldLock="1"/>
        </w:r>
        <w:r w:rsidR="00D40582">
          <w:rPr>
            <w:noProof/>
          </w:rPr>
          <w:instrText xml:space="preserve"> PAGEREF _Toc89016924 \h </w:instrText>
        </w:r>
        <w:r w:rsidR="00D40582">
          <w:rPr>
            <w:noProof/>
          </w:rPr>
        </w:r>
        <w:r w:rsidR="00D40582">
          <w:rPr>
            <w:noProof/>
          </w:rPr>
          <w:fldChar w:fldCharType="separate"/>
        </w:r>
        <w:r w:rsidR="00945CC0">
          <w:rPr>
            <w:noProof/>
          </w:rPr>
          <w:t>46</w:t>
        </w:r>
        <w:r w:rsidR="00D40582">
          <w:rPr>
            <w:noProof/>
          </w:rPr>
          <w:fldChar w:fldCharType="end"/>
        </w:r>
      </w:hyperlink>
    </w:p>
    <w:p w14:paraId="293CCB61" w14:textId="307781C0" w:rsidR="00DE1B44" w:rsidRDefault="00E872C5">
      <w:pPr>
        <w:pStyle w:val="TOC1"/>
        <w:ind w:firstLine="480"/>
        <w:rPr>
          <w:rFonts w:asciiTheme="minorHAnsi" w:eastAsiaTheme="minorEastAsia" w:hAnsiTheme="minorHAnsi" w:cstheme="minorBidi"/>
          <w:bCs w:val="0"/>
          <w:caps w:val="0"/>
          <w:noProof/>
          <w:sz w:val="21"/>
          <w:szCs w:val="22"/>
        </w:rPr>
      </w:pPr>
      <w:hyperlink w:anchor="_Toc89016925" w:history="1">
        <w:r w:rsidR="00D40582">
          <w:rPr>
            <w:rStyle w:val="afff6"/>
            <w:noProof/>
          </w:rPr>
          <w:t>第五节</w:t>
        </w:r>
        <w:r w:rsidR="00D40582">
          <w:rPr>
            <w:rStyle w:val="afff6"/>
            <w:noProof/>
          </w:rPr>
          <w:t xml:space="preserve"> </w:t>
        </w:r>
        <w:r w:rsidR="00D40582">
          <w:rPr>
            <w:rStyle w:val="afff6"/>
            <w:noProof/>
          </w:rPr>
          <w:t>本次定向发行对申请人的影响</w:t>
        </w:r>
        <w:r w:rsidR="00D40582">
          <w:rPr>
            <w:noProof/>
          </w:rPr>
          <w:tab/>
        </w:r>
        <w:r w:rsidR="00D40582">
          <w:rPr>
            <w:noProof/>
          </w:rPr>
          <w:fldChar w:fldCharType="begin" w:fldLock="1"/>
        </w:r>
        <w:r w:rsidR="00D40582">
          <w:rPr>
            <w:noProof/>
          </w:rPr>
          <w:instrText xml:space="preserve"> PAGEREF _Toc89016925 \h </w:instrText>
        </w:r>
        <w:r w:rsidR="00D40582">
          <w:rPr>
            <w:noProof/>
          </w:rPr>
        </w:r>
        <w:r w:rsidR="00D40582">
          <w:rPr>
            <w:noProof/>
          </w:rPr>
          <w:fldChar w:fldCharType="separate"/>
        </w:r>
        <w:r w:rsidR="00945CC0">
          <w:rPr>
            <w:noProof/>
          </w:rPr>
          <w:t>47</w:t>
        </w:r>
        <w:r w:rsidR="00D40582">
          <w:rPr>
            <w:noProof/>
          </w:rPr>
          <w:fldChar w:fldCharType="end"/>
        </w:r>
      </w:hyperlink>
    </w:p>
    <w:p w14:paraId="1C53175D" w14:textId="2344CB74" w:rsidR="00DE1B44" w:rsidRDefault="00E872C5">
      <w:pPr>
        <w:pStyle w:val="TOC2"/>
        <w:spacing w:before="24"/>
        <w:ind w:firstLine="480"/>
        <w:rPr>
          <w:rFonts w:asciiTheme="minorHAnsi" w:eastAsiaTheme="minorEastAsia" w:hAnsiTheme="minorHAnsi" w:cstheme="minorBidi"/>
          <w:noProof/>
          <w:sz w:val="21"/>
          <w:szCs w:val="22"/>
        </w:rPr>
      </w:pPr>
      <w:hyperlink w:anchor="_Toc89016926" w:history="1">
        <w:r w:rsidR="00D40582">
          <w:rPr>
            <w:rStyle w:val="afff6"/>
            <w:noProof/>
          </w:rPr>
          <w:t>一、本次定向发行对申请人经营管理的影响</w:t>
        </w:r>
        <w:r w:rsidR="00D40582">
          <w:rPr>
            <w:noProof/>
          </w:rPr>
          <w:tab/>
        </w:r>
        <w:r w:rsidR="00D40582">
          <w:rPr>
            <w:noProof/>
          </w:rPr>
          <w:fldChar w:fldCharType="begin" w:fldLock="1"/>
        </w:r>
        <w:r w:rsidR="00D40582">
          <w:rPr>
            <w:noProof/>
          </w:rPr>
          <w:instrText xml:space="preserve"> PAGEREF _Toc89016926 \h </w:instrText>
        </w:r>
        <w:r w:rsidR="00D40582">
          <w:rPr>
            <w:noProof/>
          </w:rPr>
        </w:r>
        <w:r w:rsidR="00D40582">
          <w:rPr>
            <w:noProof/>
          </w:rPr>
          <w:fldChar w:fldCharType="separate"/>
        </w:r>
        <w:r w:rsidR="00945CC0">
          <w:rPr>
            <w:noProof/>
          </w:rPr>
          <w:t>47</w:t>
        </w:r>
        <w:r w:rsidR="00D40582">
          <w:rPr>
            <w:noProof/>
          </w:rPr>
          <w:fldChar w:fldCharType="end"/>
        </w:r>
      </w:hyperlink>
    </w:p>
    <w:p w14:paraId="3AB41D6F" w14:textId="37758A7A" w:rsidR="00DE1B44" w:rsidRDefault="00E872C5">
      <w:pPr>
        <w:pStyle w:val="TOC2"/>
        <w:spacing w:before="24"/>
        <w:ind w:firstLine="480"/>
        <w:rPr>
          <w:rFonts w:asciiTheme="minorHAnsi" w:eastAsiaTheme="minorEastAsia" w:hAnsiTheme="minorHAnsi" w:cstheme="minorBidi"/>
          <w:noProof/>
          <w:sz w:val="21"/>
          <w:szCs w:val="22"/>
        </w:rPr>
      </w:pPr>
      <w:hyperlink w:anchor="_Toc89016927" w:history="1">
        <w:r w:rsidR="00D40582">
          <w:rPr>
            <w:rStyle w:val="afff6"/>
            <w:noProof/>
          </w:rPr>
          <w:t>二、本次发行后申请人财务状况、盈利能力及现金流量的变动情况</w:t>
        </w:r>
        <w:r w:rsidR="00D40582">
          <w:rPr>
            <w:noProof/>
          </w:rPr>
          <w:tab/>
        </w:r>
        <w:r w:rsidR="00D40582">
          <w:rPr>
            <w:noProof/>
          </w:rPr>
          <w:fldChar w:fldCharType="begin" w:fldLock="1"/>
        </w:r>
        <w:r w:rsidR="00D40582">
          <w:rPr>
            <w:noProof/>
          </w:rPr>
          <w:instrText xml:space="preserve"> PAGEREF _Toc89016927 \h </w:instrText>
        </w:r>
        <w:r w:rsidR="00D40582">
          <w:rPr>
            <w:noProof/>
          </w:rPr>
        </w:r>
        <w:r w:rsidR="00D40582">
          <w:rPr>
            <w:noProof/>
          </w:rPr>
          <w:fldChar w:fldCharType="separate"/>
        </w:r>
        <w:r w:rsidR="00945CC0">
          <w:rPr>
            <w:noProof/>
          </w:rPr>
          <w:t>48</w:t>
        </w:r>
        <w:r w:rsidR="00D40582">
          <w:rPr>
            <w:noProof/>
          </w:rPr>
          <w:fldChar w:fldCharType="end"/>
        </w:r>
      </w:hyperlink>
    </w:p>
    <w:p w14:paraId="2AD9EC37" w14:textId="5CB33EC2" w:rsidR="00DE1B44" w:rsidRDefault="00E872C5">
      <w:pPr>
        <w:pStyle w:val="TOC2"/>
        <w:spacing w:before="24"/>
        <w:ind w:firstLine="480"/>
        <w:rPr>
          <w:rFonts w:asciiTheme="minorHAnsi" w:eastAsiaTheme="minorEastAsia" w:hAnsiTheme="minorHAnsi" w:cstheme="minorBidi"/>
          <w:noProof/>
          <w:sz w:val="21"/>
          <w:szCs w:val="22"/>
        </w:rPr>
      </w:pPr>
      <w:hyperlink w:anchor="_Toc89016928" w:history="1">
        <w:r w:rsidR="00D40582">
          <w:rPr>
            <w:rStyle w:val="afff6"/>
            <w:noProof/>
          </w:rPr>
          <w:t>三、申请人与控股股东及其关联人之间的业务关系、管理关系、关联交易及同业竞争等变化情况</w:t>
        </w:r>
        <w:r w:rsidR="00D40582">
          <w:rPr>
            <w:noProof/>
          </w:rPr>
          <w:tab/>
        </w:r>
        <w:r w:rsidR="00D40582">
          <w:rPr>
            <w:noProof/>
          </w:rPr>
          <w:fldChar w:fldCharType="begin" w:fldLock="1"/>
        </w:r>
        <w:r w:rsidR="00D40582">
          <w:rPr>
            <w:noProof/>
          </w:rPr>
          <w:instrText xml:space="preserve"> PAGEREF _Toc89016928 \h </w:instrText>
        </w:r>
        <w:r w:rsidR="00D40582">
          <w:rPr>
            <w:noProof/>
          </w:rPr>
        </w:r>
        <w:r w:rsidR="00D40582">
          <w:rPr>
            <w:noProof/>
          </w:rPr>
          <w:fldChar w:fldCharType="separate"/>
        </w:r>
        <w:r w:rsidR="00945CC0">
          <w:rPr>
            <w:noProof/>
          </w:rPr>
          <w:t>48</w:t>
        </w:r>
        <w:r w:rsidR="00D40582">
          <w:rPr>
            <w:noProof/>
          </w:rPr>
          <w:fldChar w:fldCharType="end"/>
        </w:r>
      </w:hyperlink>
    </w:p>
    <w:p w14:paraId="0547B900" w14:textId="2BA9C1DD" w:rsidR="00DE1B44" w:rsidRDefault="00E872C5">
      <w:pPr>
        <w:pStyle w:val="TOC2"/>
        <w:spacing w:before="24"/>
        <w:ind w:firstLine="480"/>
        <w:rPr>
          <w:rFonts w:asciiTheme="minorHAnsi" w:eastAsiaTheme="minorEastAsia" w:hAnsiTheme="minorHAnsi" w:cstheme="minorBidi"/>
          <w:noProof/>
          <w:sz w:val="21"/>
          <w:szCs w:val="22"/>
        </w:rPr>
      </w:pPr>
      <w:hyperlink w:anchor="_Toc89016929" w:history="1">
        <w:r w:rsidR="00D40582">
          <w:rPr>
            <w:rStyle w:val="afff6"/>
            <w:noProof/>
          </w:rPr>
          <w:t>四、发行对象以资产认购股票的行为是否导致增加债务或者或有负债</w:t>
        </w:r>
        <w:r w:rsidR="00D40582">
          <w:rPr>
            <w:noProof/>
          </w:rPr>
          <w:tab/>
        </w:r>
        <w:r w:rsidR="00D40582">
          <w:rPr>
            <w:noProof/>
          </w:rPr>
          <w:fldChar w:fldCharType="begin" w:fldLock="1"/>
        </w:r>
        <w:r w:rsidR="00D40582">
          <w:rPr>
            <w:noProof/>
          </w:rPr>
          <w:instrText xml:space="preserve"> PAGEREF _Toc89016929 \h </w:instrText>
        </w:r>
        <w:r w:rsidR="00D40582">
          <w:rPr>
            <w:noProof/>
          </w:rPr>
        </w:r>
        <w:r w:rsidR="00D40582">
          <w:rPr>
            <w:noProof/>
          </w:rPr>
          <w:fldChar w:fldCharType="separate"/>
        </w:r>
        <w:r w:rsidR="00945CC0">
          <w:rPr>
            <w:noProof/>
          </w:rPr>
          <w:t>48</w:t>
        </w:r>
        <w:r w:rsidR="00D40582">
          <w:rPr>
            <w:noProof/>
          </w:rPr>
          <w:fldChar w:fldCharType="end"/>
        </w:r>
      </w:hyperlink>
    </w:p>
    <w:p w14:paraId="2B90DF43" w14:textId="37D4E5E8" w:rsidR="00DE1B44" w:rsidRDefault="00E872C5">
      <w:pPr>
        <w:pStyle w:val="TOC2"/>
        <w:spacing w:before="24"/>
        <w:ind w:firstLine="480"/>
        <w:rPr>
          <w:rFonts w:asciiTheme="minorHAnsi" w:eastAsiaTheme="minorEastAsia" w:hAnsiTheme="minorHAnsi" w:cstheme="minorBidi"/>
          <w:noProof/>
          <w:sz w:val="21"/>
          <w:szCs w:val="22"/>
        </w:rPr>
      </w:pPr>
      <w:hyperlink w:anchor="_Toc89016930" w:history="1">
        <w:r w:rsidR="00D40582">
          <w:rPr>
            <w:rStyle w:val="afff6"/>
            <w:noProof/>
          </w:rPr>
          <w:t>五、本次定向发行对其他股东的权益的影响</w:t>
        </w:r>
        <w:r w:rsidR="00D40582">
          <w:rPr>
            <w:noProof/>
          </w:rPr>
          <w:tab/>
        </w:r>
        <w:r w:rsidR="00D40582">
          <w:rPr>
            <w:noProof/>
          </w:rPr>
          <w:fldChar w:fldCharType="begin" w:fldLock="1"/>
        </w:r>
        <w:r w:rsidR="00D40582">
          <w:rPr>
            <w:noProof/>
          </w:rPr>
          <w:instrText xml:space="preserve"> PAGEREF _Toc89016930 \h </w:instrText>
        </w:r>
        <w:r w:rsidR="00D40582">
          <w:rPr>
            <w:noProof/>
          </w:rPr>
        </w:r>
        <w:r w:rsidR="00D40582">
          <w:rPr>
            <w:noProof/>
          </w:rPr>
          <w:fldChar w:fldCharType="separate"/>
        </w:r>
        <w:r w:rsidR="00945CC0">
          <w:rPr>
            <w:noProof/>
          </w:rPr>
          <w:t>49</w:t>
        </w:r>
        <w:r w:rsidR="00D40582">
          <w:rPr>
            <w:noProof/>
          </w:rPr>
          <w:fldChar w:fldCharType="end"/>
        </w:r>
      </w:hyperlink>
    </w:p>
    <w:p w14:paraId="6FD1D1E6" w14:textId="5844A0C5" w:rsidR="00DE1B44" w:rsidRDefault="00E872C5">
      <w:pPr>
        <w:pStyle w:val="TOC2"/>
        <w:spacing w:before="24"/>
        <w:ind w:firstLine="480"/>
        <w:rPr>
          <w:rFonts w:asciiTheme="minorHAnsi" w:eastAsiaTheme="minorEastAsia" w:hAnsiTheme="minorHAnsi" w:cstheme="minorBidi"/>
          <w:noProof/>
          <w:sz w:val="21"/>
          <w:szCs w:val="22"/>
        </w:rPr>
      </w:pPr>
      <w:hyperlink w:anchor="_Toc89016931" w:history="1">
        <w:r w:rsidR="00D40582">
          <w:rPr>
            <w:rStyle w:val="afff6"/>
            <w:noProof/>
          </w:rPr>
          <w:t>六、本次定向发行相关特有风险的说明</w:t>
        </w:r>
        <w:r w:rsidR="00D40582">
          <w:rPr>
            <w:noProof/>
          </w:rPr>
          <w:tab/>
        </w:r>
        <w:r w:rsidR="00D40582">
          <w:rPr>
            <w:noProof/>
          </w:rPr>
          <w:fldChar w:fldCharType="begin" w:fldLock="1"/>
        </w:r>
        <w:r w:rsidR="00D40582">
          <w:rPr>
            <w:noProof/>
          </w:rPr>
          <w:instrText xml:space="preserve"> PAGEREF _Toc89016931 \h </w:instrText>
        </w:r>
        <w:r w:rsidR="00D40582">
          <w:rPr>
            <w:noProof/>
          </w:rPr>
        </w:r>
        <w:r w:rsidR="00D40582">
          <w:rPr>
            <w:noProof/>
          </w:rPr>
          <w:fldChar w:fldCharType="separate"/>
        </w:r>
        <w:r w:rsidR="00945CC0">
          <w:rPr>
            <w:noProof/>
          </w:rPr>
          <w:t>49</w:t>
        </w:r>
        <w:r w:rsidR="00D40582">
          <w:rPr>
            <w:noProof/>
          </w:rPr>
          <w:fldChar w:fldCharType="end"/>
        </w:r>
      </w:hyperlink>
    </w:p>
    <w:p w14:paraId="5F6E461C" w14:textId="10D757BC" w:rsidR="00DE1B44" w:rsidRDefault="00E872C5">
      <w:pPr>
        <w:pStyle w:val="TOC1"/>
        <w:ind w:firstLine="480"/>
        <w:rPr>
          <w:rFonts w:asciiTheme="minorHAnsi" w:eastAsiaTheme="minorEastAsia" w:hAnsiTheme="minorHAnsi" w:cstheme="minorBidi"/>
          <w:bCs w:val="0"/>
          <w:caps w:val="0"/>
          <w:noProof/>
          <w:sz w:val="21"/>
          <w:szCs w:val="22"/>
        </w:rPr>
      </w:pPr>
      <w:hyperlink w:anchor="_Toc89016932" w:history="1">
        <w:r w:rsidR="00D40582">
          <w:rPr>
            <w:rStyle w:val="afff6"/>
            <w:noProof/>
          </w:rPr>
          <w:t>第六节</w:t>
        </w:r>
        <w:r w:rsidR="00D40582">
          <w:rPr>
            <w:rStyle w:val="afff6"/>
            <w:noProof/>
          </w:rPr>
          <w:t xml:space="preserve"> </w:t>
        </w:r>
        <w:r w:rsidR="00D40582">
          <w:rPr>
            <w:rStyle w:val="afff6"/>
            <w:noProof/>
          </w:rPr>
          <w:t>其他需要披露的重大事项</w:t>
        </w:r>
        <w:r w:rsidR="00D40582">
          <w:rPr>
            <w:noProof/>
          </w:rPr>
          <w:tab/>
        </w:r>
        <w:r w:rsidR="00D40582">
          <w:rPr>
            <w:noProof/>
          </w:rPr>
          <w:fldChar w:fldCharType="begin" w:fldLock="1"/>
        </w:r>
        <w:r w:rsidR="00D40582">
          <w:rPr>
            <w:noProof/>
          </w:rPr>
          <w:instrText xml:space="preserve"> PAGEREF _Toc89016932 \h </w:instrText>
        </w:r>
        <w:r w:rsidR="00D40582">
          <w:rPr>
            <w:noProof/>
          </w:rPr>
        </w:r>
        <w:r w:rsidR="00D40582">
          <w:rPr>
            <w:noProof/>
          </w:rPr>
          <w:fldChar w:fldCharType="separate"/>
        </w:r>
        <w:r w:rsidR="00945CC0">
          <w:rPr>
            <w:noProof/>
          </w:rPr>
          <w:t>54</w:t>
        </w:r>
        <w:r w:rsidR="00D40582">
          <w:rPr>
            <w:noProof/>
          </w:rPr>
          <w:fldChar w:fldCharType="end"/>
        </w:r>
      </w:hyperlink>
    </w:p>
    <w:p w14:paraId="24848D32" w14:textId="2D14AE4E" w:rsidR="00DE1B44" w:rsidRDefault="00E872C5">
      <w:pPr>
        <w:pStyle w:val="TOC2"/>
        <w:spacing w:before="24"/>
        <w:ind w:firstLine="480"/>
        <w:rPr>
          <w:rFonts w:asciiTheme="minorHAnsi" w:eastAsiaTheme="minorEastAsia" w:hAnsiTheme="minorHAnsi" w:cstheme="minorBidi"/>
          <w:noProof/>
          <w:sz w:val="21"/>
          <w:szCs w:val="22"/>
        </w:rPr>
      </w:pPr>
      <w:hyperlink w:anchor="_Toc89016933" w:history="1">
        <w:r w:rsidR="00D40582">
          <w:rPr>
            <w:rStyle w:val="afff6"/>
            <w:noProof/>
          </w:rPr>
          <w:t>一、</w:t>
        </w:r>
        <w:r w:rsidR="00D40582">
          <w:rPr>
            <w:rStyle w:val="afff6"/>
            <w:rFonts w:hAnsi="黑体"/>
            <w:noProof/>
          </w:rPr>
          <w:t>报告期内资金占用情况</w:t>
        </w:r>
        <w:r w:rsidR="00D40582">
          <w:rPr>
            <w:noProof/>
          </w:rPr>
          <w:tab/>
        </w:r>
        <w:r w:rsidR="00D40582">
          <w:rPr>
            <w:noProof/>
          </w:rPr>
          <w:fldChar w:fldCharType="begin" w:fldLock="1"/>
        </w:r>
        <w:r w:rsidR="00D40582">
          <w:rPr>
            <w:noProof/>
          </w:rPr>
          <w:instrText xml:space="preserve"> PAGEREF _Toc89016933 \h </w:instrText>
        </w:r>
        <w:r w:rsidR="00D40582">
          <w:rPr>
            <w:noProof/>
          </w:rPr>
        </w:r>
        <w:r w:rsidR="00D40582">
          <w:rPr>
            <w:noProof/>
          </w:rPr>
          <w:fldChar w:fldCharType="separate"/>
        </w:r>
        <w:r w:rsidR="00945CC0">
          <w:rPr>
            <w:noProof/>
          </w:rPr>
          <w:t>54</w:t>
        </w:r>
        <w:r w:rsidR="00D40582">
          <w:rPr>
            <w:noProof/>
          </w:rPr>
          <w:fldChar w:fldCharType="end"/>
        </w:r>
      </w:hyperlink>
    </w:p>
    <w:p w14:paraId="0C2975A8" w14:textId="1CA351FF" w:rsidR="00DE1B44" w:rsidRDefault="00E872C5">
      <w:pPr>
        <w:pStyle w:val="TOC2"/>
        <w:spacing w:before="24"/>
        <w:ind w:firstLine="480"/>
        <w:rPr>
          <w:rFonts w:asciiTheme="minorHAnsi" w:eastAsiaTheme="minorEastAsia" w:hAnsiTheme="minorHAnsi" w:cstheme="minorBidi"/>
          <w:noProof/>
          <w:sz w:val="21"/>
          <w:szCs w:val="22"/>
        </w:rPr>
      </w:pPr>
      <w:hyperlink w:anchor="_Toc89016934" w:history="1">
        <w:r w:rsidR="00D40582">
          <w:rPr>
            <w:rStyle w:val="afff6"/>
            <w:noProof/>
          </w:rPr>
          <w:t>二、</w:t>
        </w:r>
        <w:r w:rsidR="00D40582">
          <w:rPr>
            <w:rStyle w:val="afff6"/>
            <w:rFonts w:hAnsi="黑体"/>
            <w:noProof/>
          </w:rPr>
          <w:t>报告期内提前使用募集资金的情形</w:t>
        </w:r>
        <w:r w:rsidR="00D40582">
          <w:rPr>
            <w:noProof/>
          </w:rPr>
          <w:tab/>
        </w:r>
        <w:r w:rsidR="00D40582">
          <w:rPr>
            <w:noProof/>
          </w:rPr>
          <w:fldChar w:fldCharType="begin" w:fldLock="1"/>
        </w:r>
        <w:r w:rsidR="00D40582">
          <w:rPr>
            <w:noProof/>
          </w:rPr>
          <w:instrText xml:space="preserve"> PAGEREF _Toc89016934 \h </w:instrText>
        </w:r>
        <w:r w:rsidR="00D40582">
          <w:rPr>
            <w:noProof/>
          </w:rPr>
        </w:r>
        <w:r w:rsidR="00D40582">
          <w:rPr>
            <w:noProof/>
          </w:rPr>
          <w:fldChar w:fldCharType="separate"/>
        </w:r>
        <w:r w:rsidR="00945CC0">
          <w:rPr>
            <w:noProof/>
          </w:rPr>
          <w:t>54</w:t>
        </w:r>
        <w:r w:rsidR="00D40582">
          <w:rPr>
            <w:noProof/>
          </w:rPr>
          <w:fldChar w:fldCharType="end"/>
        </w:r>
      </w:hyperlink>
    </w:p>
    <w:p w14:paraId="2D93743E" w14:textId="20A9E297" w:rsidR="00DE1B44" w:rsidRDefault="00E872C5">
      <w:pPr>
        <w:pStyle w:val="TOC2"/>
        <w:spacing w:before="24"/>
        <w:ind w:firstLine="480"/>
        <w:rPr>
          <w:rFonts w:asciiTheme="minorHAnsi" w:eastAsiaTheme="minorEastAsia" w:hAnsiTheme="minorHAnsi" w:cstheme="minorBidi"/>
          <w:noProof/>
          <w:sz w:val="21"/>
          <w:szCs w:val="22"/>
        </w:rPr>
      </w:pPr>
      <w:hyperlink w:anchor="_Toc89016935" w:history="1">
        <w:r w:rsidR="00D40582">
          <w:rPr>
            <w:rStyle w:val="afff6"/>
            <w:noProof/>
          </w:rPr>
          <w:t>三、</w:t>
        </w:r>
        <w:r w:rsidR="00D40582">
          <w:rPr>
            <w:rStyle w:val="afff6"/>
            <w:rFonts w:hAnsi="黑体"/>
            <w:noProof/>
          </w:rPr>
          <w:t>公司股权质押、冻结情况</w:t>
        </w:r>
        <w:r w:rsidR="00D40582">
          <w:rPr>
            <w:noProof/>
          </w:rPr>
          <w:tab/>
        </w:r>
        <w:r w:rsidR="00D40582">
          <w:rPr>
            <w:noProof/>
          </w:rPr>
          <w:fldChar w:fldCharType="begin" w:fldLock="1"/>
        </w:r>
        <w:r w:rsidR="00D40582">
          <w:rPr>
            <w:noProof/>
          </w:rPr>
          <w:instrText xml:space="preserve"> PAGEREF _Toc89016935 \h </w:instrText>
        </w:r>
        <w:r w:rsidR="00D40582">
          <w:rPr>
            <w:noProof/>
          </w:rPr>
        </w:r>
        <w:r w:rsidR="00D40582">
          <w:rPr>
            <w:noProof/>
          </w:rPr>
          <w:fldChar w:fldCharType="separate"/>
        </w:r>
        <w:r w:rsidR="00945CC0">
          <w:rPr>
            <w:noProof/>
          </w:rPr>
          <w:t>54</w:t>
        </w:r>
        <w:r w:rsidR="00D40582">
          <w:rPr>
            <w:noProof/>
          </w:rPr>
          <w:fldChar w:fldCharType="end"/>
        </w:r>
      </w:hyperlink>
    </w:p>
    <w:p w14:paraId="0CDF2992" w14:textId="1D35AC42" w:rsidR="00DE1B44" w:rsidRDefault="00E872C5">
      <w:pPr>
        <w:pStyle w:val="TOC2"/>
        <w:spacing w:before="24"/>
        <w:ind w:firstLine="480"/>
        <w:rPr>
          <w:rFonts w:asciiTheme="minorHAnsi" w:eastAsiaTheme="minorEastAsia" w:hAnsiTheme="minorHAnsi" w:cstheme="minorBidi"/>
          <w:noProof/>
          <w:sz w:val="21"/>
          <w:szCs w:val="22"/>
        </w:rPr>
      </w:pPr>
      <w:hyperlink w:anchor="_Toc89016936" w:history="1">
        <w:r w:rsidR="00D40582">
          <w:rPr>
            <w:rStyle w:val="afff6"/>
            <w:noProof/>
          </w:rPr>
          <w:t>四、</w:t>
        </w:r>
        <w:r w:rsidR="00D40582">
          <w:rPr>
            <w:rStyle w:val="afff6"/>
            <w:rFonts w:hAnsi="黑体"/>
            <w:noProof/>
          </w:rPr>
          <w:t>对外担保情况</w:t>
        </w:r>
        <w:r w:rsidR="00D40582">
          <w:rPr>
            <w:noProof/>
          </w:rPr>
          <w:tab/>
        </w:r>
        <w:r w:rsidR="00D40582">
          <w:rPr>
            <w:noProof/>
          </w:rPr>
          <w:fldChar w:fldCharType="begin" w:fldLock="1"/>
        </w:r>
        <w:r w:rsidR="00D40582">
          <w:rPr>
            <w:noProof/>
          </w:rPr>
          <w:instrText xml:space="preserve"> PAGEREF _Toc89016936 \h </w:instrText>
        </w:r>
        <w:r w:rsidR="00D40582">
          <w:rPr>
            <w:noProof/>
          </w:rPr>
        </w:r>
        <w:r w:rsidR="00D40582">
          <w:rPr>
            <w:noProof/>
          </w:rPr>
          <w:fldChar w:fldCharType="separate"/>
        </w:r>
        <w:r w:rsidR="00945CC0">
          <w:rPr>
            <w:noProof/>
          </w:rPr>
          <w:t>54</w:t>
        </w:r>
        <w:r w:rsidR="00D40582">
          <w:rPr>
            <w:noProof/>
          </w:rPr>
          <w:fldChar w:fldCharType="end"/>
        </w:r>
      </w:hyperlink>
    </w:p>
    <w:p w14:paraId="684A7E9C" w14:textId="6D200E1F" w:rsidR="00DE1B44" w:rsidRDefault="00E872C5">
      <w:pPr>
        <w:pStyle w:val="TOC2"/>
        <w:spacing w:before="24"/>
        <w:ind w:firstLine="480"/>
        <w:rPr>
          <w:rFonts w:asciiTheme="minorHAnsi" w:eastAsiaTheme="minorEastAsia" w:hAnsiTheme="minorHAnsi" w:cstheme="minorBidi"/>
          <w:noProof/>
          <w:sz w:val="21"/>
          <w:szCs w:val="22"/>
        </w:rPr>
      </w:pPr>
      <w:hyperlink w:anchor="_Toc89016937" w:history="1">
        <w:r w:rsidR="00D40582">
          <w:rPr>
            <w:rStyle w:val="afff6"/>
            <w:noProof/>
          </w:rPr>
          <w:t>五、</w:t>
        </w:r>
        <w:r w:rsidR="00D40582">
          <w:rPr>
            <w:rStyle w:val="afff6"/>
            <w:rFonts w:hAnsi="黑体"/>
            <w:noProof/>
          </w:rPr>
          <w:t>是否存在现任董事、监事、高级管理人员最近二十四个月内受到过中国银保监会、中国证监会行政处罚</w:t>
        </w:r>
        <w:r w:rsidR="00D40582">
          <w:rPr>
            <w:noProof/>
          </w:rPr>
          <w:tab/>
        </w:r>
        <w:r w:rsidR="00D40582">
          <w:rPr>
            <w:noProof/>
          </w:rPr>
          <w:fldChar w:fldCharType="begin" w:fldLock="1"/>
        </w:r>
        <w:r w:rsidR="00D40582">
          <w:rPr>
            <w:noProof/>
          </w:rPr>
          <w:instrText xml:space="preserve"> PAGEREF _Toc89016937 \h </w:instrText>
        </w:r>
        <w:r w:rsidR="00D40582">
          <w:rPr>
            <w:noProof/>
          </w:rPr>
        </w:r>
        <w:r w:rsidR="00D40582">
          <w:rPr>
            <w:noProof/>
          </w:rPr>
          <w:fldChar w:fldCharType="separate"/>
        </w:r>
        <w:r w:rsidR="00945CC0">
          <w:rPr>
            <w:noProof/>
          </w:rPr>
          <w:t>54</w:t>
        </w:r>
        <w:r w:rsidR="00D40582">
          <w:rPr>
            <w:noProof/>
          </w:rPr>
          <w:fldChar w:fldCharType="end"/>
        </w:r>
      </w:hyperlink>
    </w:p>
    <w:p w14:paraId="0CE805D6" w14:textId="33220EC8" w:rsidR="00DE1B44" w:rsidRDefault="00E872C5">
      <w:pPr>
        <w:pStyle w:val="TOC2"/>
        <w:spacing w:before="24"/>
        <w:ind w:firstLine="480"/>
        <w:rPr>
          <w:rFonts w:asciiTheme="minorHAnsi" w:eastAsiaTheme="minorEastAsia" w:hAnsiTheme="minorHAnsi" w:cstheme="minorBidi"/>
          <w:noProof/>
          <w:sz w:val="21"/>
          <w:szCs w:val="22"/>
        </w:rPr>
      </w:pPr>
      <w:hyperlink w:anchor="_Toc89016938" w:history="1">
        <w:r w:rsidR="00D40582">
          <w:rPr>
            <w:rStyle w:val="afff6"/>
            <w:noProof/>
          </w:rPr>
          <w:t>六、</w:t>
        </w:r>
        <w:r w:rsidR="00D40582">
          <w:rPr>
            <w:rStyle w:val="afff6"/>
            <w:rFonts w:hAnsi="黑体"/>
            <w:noProof/>
          </w:rPr>
          <w:t>公司股份托管情况</w:t>
        </w:r>
        <w:r w:rsidR="00D40582">
          <w:rPr>
            <w:noProof/>
          </w:rPr>
          <w:tab/>
        </w:r>
        <w:r w:rsidR="00D40582">
          <w:rPr>
            <w:noProof/>
          </w:rPr>
          <w:fldChar w:fldCharType="begin" w:fldLock="1"/>
        </w:r>
        <w:r w:rsidR="00D40582">
          <w:rPr>
            <w:noProof/>
          </w:rPr>
          <w:instrText xml:space="preserve"> PAGEREF _Toc89016938 \h </w:instrText>
        </w:r>
        <w:r w:rsidR="00D40582">
          <w:rPr>
            <w:noProof/>
          </w:rPr>
        </w:r>
        <w:r w:rsidR="00D40582">
          <w:rPr>
            <w:noProof/>
          </w:rPr>
          <w:fldChar w:fldCharType="separate"/>
        </w:r>
        <w:r w:rsidR="00945CC0">
          <w:rPr>
            <w:noProof/>
          </w:rPr>
          <w:t>55</w:t>
        </w:r>
        <w:r w:rsidR="00D40582">
          <w:rPr>
            <w:noProof/>
          </w:rPr>
          <w:fldChar w:fldCharType="end"/>
        </w:r>
      </w:hyperlink>
    </w:p>
    <w:p w14:paraId="3C348A15" w14:textId="102D94A9" w:rsidR="00DE1B44" w:rsidRDefault="00E872C5">
      <w:pPr>
        <w:pStyle w:val="TOC2"/>
        <w:spacing w:before="24"/>
        <w:ind w:firstLine="480"/>
        <w:rPr>
          <w:rFonts w:asciiTheme="minorHAnsi" w:eastAsiaTheme="minorEastAsia" w:hAnsiTheme="minorHAnsi" w:cstheme="minorBidi"/>
          <w:noProof/>
          <w:sz w:val="21"/>
          <w:szCs w:val="22"/>
        </w:rPr>
      </w:pPr>
      <w:hyperlink w:anchor="_Toc89016939" w:history="1">
        <w:r w:rsidR="00D40582">
          <w:rPr>
            <w:rStyle w:val="afff6"/>
            <w:noProof/>
          </w:rPr>
          <w:t>七、是否存在其他严重损害股东合法权益或者社会公共利益的情形</w:t>
        </w:r>
        <w:r w:rsidR="00D40582">
          <w:rPr>
            <w:noProof/>
          </w:rPr>
          <w:tab/>
        </w:r>
        <w:r w:rsidR="00D40582">
          <w:rPr>
            <w:noProof/>
          </w:rPr>
          <w:fldChar w:fldCharType="begin" w:fldLock="1"/>
        </w:r>
        <w:r w:rsidR="00D40582">
          <w:rPr>
            <w:noProof/>
          </w:rPr>
          <w:instrText xml:space="preserve"> PAGEREF _Toc89016939 \h </w:instrText>
        </w:r>
        <w:r w:rsidR="00D40582">
          <w:rPr>
            <w:noProof/>
          </w:rPr>
        </w:r>
        <w:r w:rsidR="00D40582">
          <w:rPr>
            <w:noProof/>
          </w:rPr>
          <w:fldChar w:fldCharType="separate"/>
        </w:r>
        <w:r w:rsidR="00945CC0">
          <w:rPr>
            <w:noProof/>
          </w:rPr>
          <w:t>55</w:t>
        </w:r>
        <w:r w:rsidR="00D40582">
          <w:rPr>
            <w:noProof/>
          </w:rPr>
          <w:fldChar w:fldCharType="end"/>
        </w:r>
      </w:hyperlink>
    </w:p>
    <w:p w14:paraId="46A208F7" w14:textId="0B525153" w:rsidR="00DE1B44" w:rsidRDefault="00E872C5">
      <w:pPr>
        <w:pStyle w:val="TOC1"/>
        <w:ind w:firstLine="480"/>
        <w:rPr>
          <w:rFonts w:asciiTheme="minorHAnsi" w:eastAsiaTheme="minorEastAsia" w:hAnsiTheme="minorHAnsi" w:cstheme="minorBidi"/>
          <w:bCs w:val="0"/>
          <w:caps w:val="0"/>
          <w:noProof/>
          <w:sz w:val="21"/>
          <w:szCs w:val="22"/>
        </w:rPr>
      </w:pPr>
      <w:hyperlink w:anchor="_Toc89016940" w:history="1">
        <w:r w:rsidR="00D40582">
          <w:rPr>
            <w:rStyle w:val="afff6"/>
            <w:noProof/>
          </w:rPr>
          <w:t>第七节</w:t>
        </w:r>
        <w:r w:rsidR="00D40582">
          <w:rPr>
            <w:rStyle w:val="afff6"/>
            <w:noProof/>
          </w:rPr>
          <w:t xml:space="preserve"> </w:t>
        </w:r>
        <w:r w:rsidR="00D40582">
          <w:rPr>
            <w:rStyle w:val="afff6"/>
            <w:noProof/>
          </w:rPr>
          <w:t>本次定向发行相关机构信息</w:t>
        </w:r>
        <w:r w:rsidR="00D40582">
          <w:rPr>
            <w:noProof/>
          </w:rPr>
          <w:tab/>
        </w:r>
        <w:r w:rsidR="00D40582">
          <w:rPr>
            <w:noProof/>
          </w:rPr>
          <w:fldChar w:fldCharType="begin" w:fldLock="1"/>
        </w:r>
        <w:r w:rsidR="00D40582">
          <w:rPr>
            <w:noProof/>
          </w:rPr>
          <w:instrText xml:space="preserve"> PAGEREF _Toc89016940 \h </w:instrText>
        </w:r>
        <w:r w:rsidR="00D40582">
          <w:rPr>
            <w:noProof/>
          </w:rPr>
        </w:r>
        <w:r w:rsidR="00D40582">
          <w:rPr>
            <w:noProof/>
          </w:rPr>
          <w:fldChar w:fldCharType="separate"/>
        </w:r>
        <w:r w:rsidR="00945CC0">
          <w:rPr>
            <w:noProof/>
          </w:rPr>
          <w:t>56</w:t>
        </w:r>
        <w:r w:rsidR="00D40582">
          <w:rPr>
            <w:noProof/>
          </w:rPr>
          <w:fldChar w:fldCharType="end"/>
        </w:r>
      </w:hyperlink>
    </w:p>
    <w:p w14:paraId="513ED48E" w14:textId="6A1ABD07" w:rsidR="00DE1B44" w:rsidRDefault="00E872C5">
      <w:pPr>
        <w:pStyle w:val="TOC2"/>
        <w:spacing w:before="24"/>
        <w:ind w:firstLine="480"/>
        <w:rPr>
          <w:rFonts w:asciiTheme="minorHAnsi" w:eastAsiaTheme="minorEastAsia" w:hAnsiTheme="minorHAnsi" w:cstheme="minorBidi"/>
          <w:noProof/>
          <w:sz w:val="21"/>
          <w:szCs w:val="22"/>
        </w:rPr>
      </w:pPr>
      <w:hyperlink w:anchor="_Toc89016941" w:history="1">
        <w:r w:rsidR="00D40582">
          <w:rPr>
            <w:rStyle w:val="afff6"/>
            <w:noProof/>
          </w:rPr>
          <w:t>一、律师事务所</w:t>
        </w:r>
        <w:r w:rsidR="00D40582">
          <w:rPr>
            <w:noProof/>
          </w:rPr>
          <w:tab/>
        </w:r>
        <w:r w:rsidR="00D40582">
          <w:rPr>
            <w:noProof/>
          </w:rPr>
          <w:fldChar w:fldCharType="begin" w:fldLock="1"/>
        </w:r>
        <w:r w:rsidR="00D40582">
          <w:rPr>
            <w:noProof/>
          </w:rPr>
          <w:instrText xml:space="preserve"> PAGEREF _Toc89016941 \h </w:instrText>
        </w:r>
        <w:r w:rsidR="00D40582">
          <w:rPr>
            <w:noProof/>
          </w:rPr>
        </w:r>
        <w:r w:rsidR="00D40582">
          <w:rPr>
            <w:noProof/>
          </w:rPr>
          <w:fldChar w:fldCharType="separate"/>
        </w:r>
        <w:r w:rsidR="00945CC0">
          <w:rPr>
            <w:noProof/>
          </w:rPr>
          <w:t>56</w:t>
        </w:r>
        <w:r w:rsidR="00D40582">
          <w:rPr>
            <w:noProof/>
          </w:rPr>
          <w:fldChar w:fldCharType="end"/>
        </w:r>
      </w:hyperlink>
    </w:p>
    <w:p w14:paraId="726D29D8" w14:textId="570274F7" w:rsidR="00DE1B44" w:rsidRDefault="00E872C5">
      <w:pPr>
        <w:pStyle w:val="TOC2"/>
        <w:spacing w:before="24"/>
        <w:ind w:firstLine="480"/>
        <w:rPr>
          <w:rFonts w:asciiTheme="minorHAnsi" w:eastAsiaTheme="minorEastAsia" w:hAnsiTheme="minorHAnsi" w:cstheme="minorBidi"/>
          <w:noProof/>
          <w:sz w:val="21"/>
          <w:szCs w:val="22"/>
        </w:rPr>
      </w:pPr>
      <w:hyperlink w:anchor="_Toc89016942" w:history="1">
        <w:r w:rsidR="00D40582">
          <w:rPr>
            <w:rStyle w:val="afff6"/>
            <w:noProof/>
          </w:rPr>
          <w:t>二、会计师事务所</w:t>
        </w:r>
        <w:r w:rsidR="00D40582">
          <w:rPr>
            <w:noProof/>
          </w:rPr>
          <w:tab/>
        </w:r>
        <w:r w:rsidR="00D40582">
          <w:rPr>
            <w:noProof/>
          </w:rPr>
          <w:fldChar w:fldCharType="begin" w:fldLock="1"/>
        </w:r>
        <w:r w:rsidR="00D40582">
          <w:rPr>
            <w:noProof/>
          </w:rPr>
          <w:instrText xml:space="preserve"> PAGEREF _Toc89016942 \h </w:instrText>
        </w:r>
        <w:r w:rsidR="00D40582">
          <w:rPr>
            <w:noProof/>
          </w:rPr>
        </w:r>
        <w:r w:rsidR="00D40582">
          <w:rPr>
            <w:noProof/>
          </w:rPr>
          <w:fldChar w:fldCharType="separate"/>
        </w:r>
        <w:r w:rsidR="00945CC0">
          <w:rPr>
            <w:noProof/>
          </w:rPr>
          <w:t>56</w:t>
        </w:r>
        <w:r w:rsidR="00D40582">
          <w:rPr>
            <w:noProof/>
          </w:rPr>
          <w:fldChar w:fldCharType="end"/>
        </w:r>
      </w:hyperlink>
    </w:p>
    <w:p w14:paraId="60EB30A3" w14:textId="601E902A" w:rsidR="00DE1B44" w:rsidRDefault="00E872C5">
      <w:pPr>
        <w:pStyle w:val="TOC1"/>
        <w:ind w:firstLine="480"/>
        <w:rPr>
          <w:rFonts w:asciiTheme="minorHAnsi" w:eastAsiaTheme="minorEastAsia" w:hAnsiTheme="minorHAnsi" w:cstheme="minorBidi"/>
          <w:bCs w:val="0"/>
          <w:caps w:val="0"/>
          <w:noProof/>
          <w:sz w:val="21"/>
          <w:szCs w:val="22"/>
        </w:rPr>
      </w:pPr>
      <w:hyperlink w:anchor="_Toc89016943" w:history="1">
        <w:r w:rsidR="00D40582">
          <w:rPr>
            <w:rStyle w:val="afff6"/>
            <w:noProof/>
          </w:rPr>
          <w:t>第八节</w:t>
        </w:r>
        <w:r w:rsidR="00D40582">
          <w:rPr>
            <w:rStyle w:val="afff6"/>
            <w:noProof/>
          </w:rPr>
          <w:t xml:space="preserve"> </w:t>
        </w:r>
        <w:r w:rsidR="00D40582">
          <w:rPr>
            <w:rStyle w:val="afff6"/>
            <w:noProof/>
          </w:rPr>
          <w:t>董事、监事、高级管理人员声明</w:t>
        </w:r>
        <w:r w:rsidR="00D40582">
          <w:rPr>
            <w:noProof/>
          </w:rPr>
          <w:tab/>
        </w:r>
        <w:r w:rsidR="00D40582">
          <w:rPr>
            <w:noProof/>
          </w:rPr>
          <w:fldChar w:fldCharType="begin" w:fldLock="1"/>
        </w:r>
        <w:r w:rsidR="00D40582">
          <w:rPr>
            <w:noProof/>
          </w:rPr>
          <w:instrText xml:space="preserve"> PAGEREF _Toc89016943 \h </w:instrText>
        </w:r>
        <w:r w:rsidR="00D40582">
          <w:rPr>
            <w:noProof/>
          </w:rPr>
        </w:r>
        <w:r w:rsidR="00D40582">
          <w:rPr>
            <w:noProof/>
          </w:rPr>
          <w:fldChar w:fldCharType="separate"/>
        </w:r>
        <w:r w:rsidR="00945CC0">
          <w:rPr>
            <w:noProof/>
          </w:rPr>
          <w:t>57</w:t>
        </w:r>
        <w:r w:rsidR="00D40582">
          <w:rPr>
            <w:noProof/>
          </w:rPr>
          <w:fldChar w:fldCharType="end"/>
        </w:r>
      </w:hyperlink>
    </w:p>
    <w:p w14:paraId="39B5D015" w14:textId="7D21C9BD" w:rsidR="00DE1B44" w:rsidRDefault="00E872C5">
      <w:pPr>
        <w:pStyle w:val="TOC1"/>
        <w:ind w:firstLine="480"/>
        <w:rPr>
          <w:rFonts w:asciiTheme="minorHAnsi" w:eastAsiaTheme="minorEastAsia" w:hAnsiTheme="minorHAnsi" w:cstheme="minorBidi"/>
          <w:bCs w:val="0"/>
          <w:caps w:val="0"/>
          <w:noProof/>
          <w:sz w:val="21"/>
          <w:szCs w:val="22"/>
        </w:rPr>
      </w:pPr>
      <w:hyperlink w:anchor="_Toc89016944" w:history="1">
        <w:r w:rsidR="00D40582">
          <w:rPr>
            <w:rStyle w:val="afff6"/>
            <w:noProof/>
          </w:rPr>
          <w:t>第九节</w:t>
        </w:r>
        <w:r w:rsidR="00D40582">
          <w:rPr>
            <w:rStyle w:val="afff6"/>
            <w:noProof/>
          </w:rPr>
          <w:t xml:space="preserve"> </w:t>
        </w:r>
        <w:r w:rsidR="00D40582">
          <w:rPr>
            <w:rStyle w:val="afff6"/>
            <w:noProof/>
          </w:rPr>
          <w:t>证券服务机构声明</w:t>
        </w:r>
        <w:r w:rsidR="00D40582">
          <w:rPr>
            <w:noProof/>
          </w:rPr>
          <w:tab/>
        </w:r>
        <w:r w:rsidR="00D40582">
          <w:rPr>
            <w:noProof/>
          </w:rPr>
          <w:fldChar w:fldCharType="begin" w:fldLock="1"/>
        </w:r>
        <w:r w:rsidR="00D40582">
          <w:rPr>
            <w:noProof/>
          </w:rPr>
          <w:instrText xml:space="preserve"> PAGEREF _Toc89016944 \h </w:instrText>
        </w:r>
        <w:r w:rsidR="00D40582">
          <w:rPr>
            <w:noProof/>
          </w:rPr>
        </w:r>
        <w:r w:rsidR="00D40582">
          <w:rPr>
            <w:noProof/>
          </w:rPr>
          <w:fldChar w:fldCharType="separate"/>
        </w:r>
        <w:r w:rsidR="00945CC0">
          <w:rPr>
            <w:noProof/>
          </w:rPr>
          <w:t>88</w:t>
        </w:r>
        <w:r w:rsidR="00D40582">
          <w:rPr>
            <w:noProof/>
          </w:rPr>
          <w:fldChar w:fldCharType="end"/>
        </w:r>
      </w:hyperlink>
    </w:p>
    <w:p w14:paraId="0EFC7A91" w14:textId="433DE164" w:rsidR="00DE1B44" w:rsidRDefault="00E872C5">
      <w:pPr>
        <w:pStyle w:val="TOC2"/>
        <w:spacing w:before="24"/>
        <w:ind w:firstLine="480"/>
        <w:rPr>
          <w:rFonts w:asciiTheme="minorHAnsi" w:eastAsiaTheme="minorEastAsia" w:hAnsiTheme="minorHAnsi" w:cstheme="minorBidi"/>
          <w:noProof/>
          <w:sz w:val="21"/>
          <w:szCs w:val="22"/>
        </w:rPr>
      </w:pPr>
      <w:hyperlink w:anchor="_Toc89016945" w:history="1">
        <w:r w:rsidR="00D40582">
          <w:rPr>
            <w:rStyle w:val="afff6"/>
            <w:noProof/>
          </w:rPr>
          <w:t>一、律师事务所声明</w:t>
        </w:r>
        <w:r w:rsidR="00D40582">
          <w:rPr>
            <w:noProof/>
          </w:rPr>
          <w:tab/>
        </w:r>
        <w:r w:rsidR="00D40582">
          <w:rPr>
            <w:noProof/>
          </w:rPr>
          <w:fldChar w:fldCharType="begin" w:fldLock="1"/>
        </w:r>
        <w:r w:rsidR="00D40582">
          <w:rPr>
            <w:noProof/>
          </w:rPr>
          <w:instrText xml:space="preserve"> PAGEREF _Toc89016945 \h </w:instrText>
        </w:r>
        <w:r w:rsidR="00D40582">
          <w:rPr>
            <w:noProof/>
          </w:rPr>
        </w:r>
        <w:r w:rsidR="00D40582">
          <w:rPr>
            <w:noProof/>
          </w:rPr>
          <w:fldChar w:fldCharType="separate"/>
        </w:r>
        <w:r w:rsidR="00945CC0">
          <w:rPr>
            <w:noProof/>
          </w:rPr>
          <w:t>89</w:t>
        </w:r>
        <w:r w:rsidR="00D40582">
          <w:rPr>
            <w:noProof/>
          </w:rPr>
          <w:fldChar w:fldCharType="end"/>
        </w:r>
      </w:hyperlink>
    </w:p>
    <w:p w14:paraId="06F6C45A" w14:textId="2D1D8739" w:rsidR="00DE1B44" w:rsidRDefault="00E872C5">
      <w:pPr>
        <w:pStyle w:val="TOC2"/>
        <w:spacing w:before="24"/>
        <w:ind w:firstLine="480"/>
        <w:rPr>
          <w:rFonts w:asciiTheme="minorHAnsi" w:eastAsiaTheme="minorEastAsia" w:hAnsiTheme="minorHAnsi" w:cstheme="minorBidi"/>
          <w:noProof/>
          <w:sz w:val="21"/>
          <w:szCs w:val="22"/>
        </w:rPr>
      </w:pPr>
      <w:hyperlink w:anchor="_Toc89016946" w:history="1">
        <w:r w:rsidR="00D40582">
          <w:rPr>
            <w:rStyle w:val="afff6"/>
            <w:noProof/>
          </w:rPr>
          <w:t>二、会计师事务所声明</w:t>
        </w:r>
        <w:r w:rsidR="00D40582">
          <w:rPr>
            <w:noProof/>
          </w:rPr>
          <w:tab/>
        </w:r>
        <w:r w:rsidR="00D40582">
          <w:rPr>
            <w:noProof/>
          </w:rPr>
          <w:fldChar w:fldCharType="begin" w:fldLock="1"/>
        </w:r>
        <w:r w:rsidR="00D40582">
          <w:rPr>
            <w:noProof/>
          </w:rPr>
          <w:instrText xml:space="preserve"> PAGEREF _Toc89016946 \h </w:instrText>
        </w:r>
        <w:r w:rsidR="00D40582">
          <w:rPr>
            <w:noProof/>
          </w:rPr>
        </w:r>
        <w:r w:rsidR="00D40582">
          <w:rPr>
            <w:noProof/>
          </w:rPr>
          <w:fldChar w:fldCharType="separate"/>
        </w:r>
        <w:r w:rsidR="00945CC0">
          <w:rPr>
            <w:noProof/>
          </w:rPr>
          <w:t>90</w:t>
        </w:r>
        <w:r w:rsidR="00D40582">
          <w:rPr>
            <w:noProof/>
          </w:rPr>
          <w:fldChar w:fldCharType="end"/>
        </w:r>
      </w:hyperlink>
    </w:p>
    <w:p w14:paraId="43D76299" w14:textId="7ADBC39B" w:rsidR="00DE1B44" w:rsidRDefault="00E872C5">
      <w:pPr>
        <w:pStyle w:val="TOC1"/>
        <w:ind w:firstLine="480"/>
        <w:rPr>
          <w:rFonts w:asciiTheme="minorHAnsi" w:eastAsiaTheme="minorEastAsia" w:hAnsiTheme="minorHAnsi" w:cstheme="minorBidi"/>
          <w:bCs w:val="0"/>
          <w:caps w:val="0"/>
          <w:noProof/>
          <w:sz w:val="21"/>
          <w:szCs w:val="22"/>
        </w:rPr>
      </w:pPr>
      <w:hyperlink w:anchor="_Toc89016947" w:history="1">
        <w:r w:rsidR="00D40582">
          <w:rPr>
            <w:rStyle w:val="afff6"/>
            <w:noProof/>
          </w:rPr>
          <w:t>第十节</w:t>
        </w:r>
        <w:r w:rsidR="00D40582">
          <w:rPr>
            <w:rStyle w:val="afff6"/>
            <w:noProof/>
          </w:rPr>
          <w:t xml:space="preserve"> </w:t>
        </w:r>
        <w:r w:rsidR="00D40582">
          <w:rPr>
            <w:rStyle w:val="afff6"/>
            <w:noProof/>
          </w:rPr>
          <w:t>备查文件</w:t>
        </w:r>
        <w:r w:rsidR="00D40582">
          <w:rPr>
            <w:noProof/>
          </w:rPr>
          <w:tab/>
        </w:r>
        <w:r w:rsidR="00D40582">
          <w:rPr>
            <w:noProof/>
          </w:rPr>
          <w:fldChar w:fldCharType="begin" w:fldLock="1"/>
        </w:r>
        <w:r w:rsidR="00D40582">
          <w:rPr>
            <w:noProof/>
          </w:rPr>
          <w:instrText xml:space="preserve"> PAGEREF _Toc89016947 \h </w:instrText>
        </w:r>
        <w:r w:rsidR="00D40582">
          <w:rPr>
            <w:noProof/>
          </w:rPr>
        </w:r>
        <w:r w:rsidR="00D40582">
          <w:rPr>
            <w:noProof/>
          </w:rPr>
          <w:fldChar w:fldCharType="separate"/>
        </w:r>
        <w:r w:rsidR="00945CC0">
          <w:rPr>
            <w:noProof/>
          </w:rPr>
          <w:t>91</w:t>
        </w:r>
        <w:r w:rsidR="00D40582">
          <w:rPr>
            <w:noProof/>
          </w:rPr>
          <w:fldChar w:fldCharType="end"/>
        </w:r>
      </w:hyperlink>
    </w:p>
    <w:p w14:paraId="38EE605F"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fldChar w:fldCharType="end"/>
      </w:r>
    </w:p>
    <w:p w14:paraId="2BF3FFB8" w14:textId="77777777" w:rsidR="00DE1B44" w:rsidRDefault="00D40582">
      <w:pPr>
        <w:pStyle w:val="1ff1"/>
        <w:spacing w:before="120"/>
        <w:ind w:firstLineChars="0" w:firstLine="0"/>
        <w:rPr>
          <w:rFonts w:ascii="Times New Roman" w:hAnsi="Times New Roman" w:cs="Times New Roman"/>
        </w:rPr>
      </w:pPr>
      <w:bookmarkStart w:id="21" w:name="_Toc497726067"/>
      <w:bookmarkStart w:id="22" w:name="_Toc89016897"/>
      <w:bookmarkStart w:id="23" w:name="_Toc457550446"/>
      <w:bookmarkStart w:id="24" w:name="_Toc457813832"/>
      <w:r>
        <w:rPr>
          <w:rFonts w:ascii="Times New Roman" w:hAnsi="Times New Roman" w:cs="Times New Roman" w:hint="eastAsia"/>
        </w:rPr>
        <w:lastRenderedPageBreak/>
        <w:t>第一节</w:t>
      </w:r>
      <w:r>
        <w:rPr>
          <w:rFonts w:ascii="Times New Roman" w:hAnsi="Times New Roman" w:cs="Times New Roman" w:hint="eastAsia"/>
        </w:rPr>
        <w:t xml:space="preserve"> </w:t>
      </w:r>
      <w:r>
        <w:rPr>
          <w:rFonts w:ascii="Times New Roman" w:hAnsi="Times New Roman" w:cs="Times New Roman"/>
        </w:rPr>
        <w:t>释</w:t>
      </w:r>
      <w:r>
        <w:rPr>
          <w:rFonts w:ascii="Times New Roman" w:hAnsi="Times New Roman" w:cs="Times New Roman"/>
        </w:rPr>
        <w:t xml:space="preserve">  </w:t>
      </w:r>
      <w:r>
        <w:rPr>
          <w:rFonts w:ascii="Times New Roman" w:hAnsi="Times New Roman" w:cs="Times New Roman"/>
        </w:rPr>
        <w:t>义</w:t>
      </w:r>
      <w:bookmarkEnd w:id="21"/>
      <w:bookmarkEnd w:id="22"/>
    </w:p>
    <w:p w14:paraId="4AA5FC33" w14:textId="77777777" w:rsidR="00DE1B44" w:rsidRDefault="00D40582">
      <w:pPr>
        <w:spacing w:before="120"/>
        <w:ind w:firstLine="480"/>
        <w:rPr>
          <w:rFonts w:ascii="Times New Roman" w:hAnsi="Times New Roman" w:cs="Times New Roman"/>
        </w:rPr>
      </w:pPr>
      <w:r>
        <w:rPr>
          <w:rFonts w:ascii="Times New Roman" w:hAnsi="Times New Roman" w:cs="Times New Roman"/>
        </w:rPr>
        <w:t>本定向发行说明书中，除非文义另有所指，下列简称具有如下</w:t>
      </w:r>
      <w:r>
        <w:rPr>
          <w:rFonts w:ascii="Times New Roman" w:hAnsi="Times New Roman" w:cs="Times New Roman" w:hint="eastAsia"/>
        </w:rPr>
        <w:t>涵义</w:t>
      </w:r>
      <w:r>
        <w:rPr>
          <w:rFonts w:ascii="Times New Roman" w:hAnsi="Times New Roman" w:cs="Times New Roman"/>
        </w:rPr>
        <w:t>：</w:t>
      </w:r>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44"/>
        <w:gridCol w:w="687"/>
        <w:gridCol w:w="5451"/>
      </w:tblGrid>
      <w:tr w:rsidR="00DE1B44" w14:paraId="5C3BC9A1" w14:textId="77777777">
        <w:trPr>
          <w:trHeight w:val="397"/>
        </w:trPr>
        <w:tc>
          <w:tcPr>
            <w:tcW w:w="2944" w:type="dxa"/>
            <w:shd w:val="clear" w:color="auto" w:fill="auto"/>
            <w:vAlign w:val="center"/>
          </w:tcPr>
          <w:p w14:paraId="5CC91FDF" w14:textId="77777777" w:rsidR="00DE1B44" w:rsidRDefault="00D40582">
            <w:pPr>
              <w:keepNext/>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广发银行、本行、公司、发行人、申请人</w:t>
            </w:r>
          </w:p>
        </w:tc>
        <w:tc>
          <w:tcPr>
            <w:tcW w:w="687" w:type="dxa"/>
            <w:shd w:val="clear" w:color="auto" w:fill="auto"/>
            <w:vAlign w:val="center"/>
          </w:tcPr>
          <w:p w14:paraId="2AD884B5" w14:textId="77777777" w:rsidR="00DE1B44" w:rsidRDefault="00D40582">
            <w:pPr>
              <w:keepNext/>
              <w:widowControl w:val="0"/>
              <w:adjustRightInd w:val="0"/>
              <w:snapToGrid w:val="0"/>
              <w:spacing w:beforeLines="0" w:before="0" w:line="240" w:lineRule="auto"/>
              <w:ind w:firstLineChars="0" w:firstLine="0"/>
              <w:jc w:val="center"/>
              <w:rPr>
                <w:rFonts w:ascii="Times New Roman" w:hAnsi="Times New Roman" w:cs="Times New Roman"/>
                <w:bCs/>
                <w:sz w:val="21"/>
                <w:szCs w:val="21"/>
              </w:rPr>
            </w:pPr>
            <w:r>
              <w:rPr>
                <w:rFonts w:ascii="Times New Roman" w:hAnsi="Times New Roman" w:cs="Times New Roman" w:hint="eastAsia"/>
                <w:bCs/>
                <w:sz w:val="21"/>
                <w:szCs w:val="21"/>
              </w:rPr>
              <w:t>指</w:t>
            </w:r>
          </w:p>
        </w:tc>
        <w:tc>
          <w:tcPr>
            <w:tcW w:w="5451" w:type="dxa"/>
            <w:shd w:val="clear" w:color="auto" w:fill="auto"/>
            <w:vAlign w:val="center"/>
          </w:tcPr>
          <w:p w14:paraId="4F67CD4C" w14:textId="77777777" w:rsidR="00DE1B44" w:rsidRDefault="00D40582">
            <w:pPr>
              <w:keepNext/>
              <w:widowControl w:val="0"/>
              <w:adjustRightInd w:val="0"/>
              <w:snapToGrid w:val="0"/>
              <w:spacing w:beforeLines="0" w:before="0" w:line="240" w:lineRule="auto"/>
              <w:ind w:firstLineChars="0" w:firstLine="0"/>
              <w:rPr>
                <w:rFonts w:ascii="Times New Roman" w:hAnsi="Times New Roman" w:cs="Times New Roman"/>
                <w:bCs/>
                <w:sz w:val="21"/>
                <w:szCs w:val="21"/>
              </w:rPr>
            </w:pPr>
            <w:r>
              <w:rPr>
                <w:rFonts w:ascii="Times New Roman" w:hAnsi="Times New Roman" w:cs="Times New Roman" w:hint="eastAsia"/>
                <w:bCs/>
                <w:sz w:val="21"/>
                <w:szCs w:val="21"/>
              </w:rPr>
              <w:t>广发银行股份有限公司</w:t>
            </w:r>
          </w:p>
        </w:tc>
      </w:tr>
      <w:tr w:rsidR="00DE1B44" w14:paraId="6436C5FE" w14:textId="77777777">
        <w:trPr>
          <w:trHeight w:val="397"/>
        </w:trPr>
        <w:tc>
          <w:tcPr>
            <w:tcW w:w="2944" w:type="dxa"/>
            <w:shd w:val="clear" w:color="auto" w:fill="auto"/>
            <w:vAlign w:val="center"/>
          </w:tcPr>
          <w:p w14:paraId="7CB30A57"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董事会</w:t>
            </w:r>
          </w:p>
        </w:tc>
        <w:tc>
          <w:tcPr>
            <w:tcW w:w="687" w:type="dxa"/>
            <w:shd w:val="clear" w:color="auto" w:fill="auto"/>
            <w:vAlign w:val="center"/>
          </w:tcPr>
          <w:p w14:paraId="7BA0982C" w14:textId="77777777" w:rsidR="00DE1B44" w:rsidRDefault="00D40582" w:rsidP="00F677C4">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5AFAD7D4"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广发银行股份有限公司董事会</w:t>
            </w:r>
          </w:p>
        </w:tc>
      </w:tr>
      <w:tr w:rsidR="00DE1B44" w14:paraId="58717144" w14:textId="77777777">
        <w:trPr>
          <w:trHeight w:val="397"/>
        </w:trPr>
        <w:tc>
          <w:tcPr>
            <w:tcW w:w="2944" w:type="dxa"/>
            <w:shd w:val="clear" w:color="auto" w:fill="auto"/>
            <w:vAlign w:val="center"/>
          </w:tcPr>
          <w:p w14:paraId="24568348"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股东大会</w:t>
            </w:r>
          </w:p>
        </w:tc>
        <w:tc>
          <w:tcPr>
            <w:tcW w:w="687" w:type="dxa"/>
            <w:shd w:val="clear" w:color="auto" w:fill="auto"/>
            <w:vAlign w:val="center"/>
          </w:tcPr>
          <w:p w14:paraId="25F72B1D" w14:textId="77777777" w:rsidR="00DE1B44" w:rsidRDefault="00D40582" w:rsidP="00F677C4">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163DB5BB"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广发银行股份有限公司股东大会</w:t>
            </w:r>
          </w:p>
        </w:tc>
      </w:tr>
      <w:tr w:rsidR="00DE1B44" w14:paraId="2E32DA68" w14:textId="77777777">
        <w:trPr>
          <w:trHeight w:val="397"/>
        </w:trPr>
        <w:tc>
          <w:tcPr>
            <w:tcW w:w="2944" w:type="dxa"/>
            <w:shd w:val="clear" w:color="auto" w:fill="auto"/>
            <w:vAlign w:val="center"/>
          </w:tcPr>
          <w:p w14:paraId="13132F99"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本次发行</w:t>
            </w:r>
          </w:p>
        </w:tc>
        <w:tc>
          <w:tcPr>
            <w:tcW w:w="687" w:type="dxa"/>
            <w:shd w:val="clear" w:color="auto" w:fill="auto"/>
            <w:vAlign w:val="center"/>
          </w:tcPr>
          <w:p w14:paraId="6215B7A7"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76336EE9"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发行人根据</w:t>
            </w:r>
            <w:r>
              <w:rPr>
                <w:rFonts w:ascii="Times New Roman" w:hAnsi="Times New Roman" w:cs="Times New Roman" w:hint="eastAsia"/>
                <w:sz w:val="21"/>
                <w:szCs w:val="21"/>
              </w:rPr>
              <w:t>20</w:t>
            </w:r>
            <w:r>
              <w:rPr>
                <w:rFonts w:ascii="Times New Roman" w:hAnsi="Times New Roman" w:cs="Times New Roman"/>
                <w:sz w:val="21"/>
                <w:szCs w:val="21"/>
              </w:rPr>
              <w:t>21</w:t>
            </w:r>
            <w:r>
              <w:rPr>
                <w:rFonts w:ascii="Times New Roman" w:hAnsi="Times New Roman" w:cs="Times New Roman" w:hint="eastAsia"/>
                <w:sz w:val="21"/>
                <w:szCs w:val="21"/>
              </w:rPr>
              <w:t>年第一次临时股东大会决议及本定向发行说明书所载条件拟实施的股份增发行为</w:t>
            </w:r>
          </w:p>
        </w:tc>
      </w:tr>
      <w:tr w:rsidR="00DE1B44" w14:paraId="79392553" w14:textId="77777777">
        <w:trPr>
          <w:trHeight w:val="397"/>
        </w:trPr>
        <w:tc>
          <w:tcPr>
            <w:tcW w:w="2944" w:type="dxa"/>
            <w:shd w:val="clear" w:color="auto" w:fill="auto"/>
            <w:vAlign w:val="center"/>
          </w:tcPr>
          <w:p w14:paraId="6FF181B3"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本定向发行说明书</w:t>
            </w:r>
          </w:p>
        </w:tc>
        <w:tc>
          <w:tcPr>
            <w:tcW w:w="687" w:type="dxa"/>
            <w:shd w:val="clear" w:color="auto" w:fill="auto"/>
            <w:vAlign w:val="center"/>
          </w:tcPr>
          <w:p w14:paraId="1F099987"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4E53A04A"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广发银行股份有限公司定向发行说明书（申报稿）</w:t>
            </w:r>
          </w:p>
        </w:tc>
      </w:tr>
      <w:tr w:rsidR="00DE1B44" w14:paraId="66532918" w14:textId="77777777">
        <w:trPr>
          <w:trHeight w:val="397"/>
        </w:trPr>
        <w:tc>
          <w:tcPr>
            <w:tcW w:w="2944" w:type="dxa"/>
            <w:shd w:val="clear" w:color="auto" w:fill="auto"/>
            <w:vAlign w:val="center"/>
          </w:tcPr>
          <w:p w14:paraId="2059D751"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《公司章程》</w:t>
            </w:r>
          </w:p>
        </w:tc>
        <w:tc>
          <w:tcPr>
            <w:tcW w:w="687" w:type="dxa"/>
            <w:shd w:val="clear" w:color="auto" w:fill="auto"/>
            <w:vAlign w:val="center"/>
          </w:tcPr>
          <w:p w14:paraId="31A60323"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48D31ED8"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《广发银行股份有限公司章程》</w:t>
            </w:r>
          </w:p>
        </w:tc>
      </w:tr>
      <w:tr w:rsidR="00DE1B44" w14:paraId="2F3AFB55" w14:textId="77777777">
        <w:trPr>
          <w:trHeight w:val="397"/>
        </w:trPr>
        <w:tc>
          <w:tcPr>
            <w:tcW w:w="2944" w:type="dxa"/>
            <w:shd w:val="clear" w:color="auto" w:fill="auto"/>
            <w:vAlign w:val="center"/>
          </w:tcPr>
          <w:p w14:paraId="1F5C7BC0"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《资本管理办法》</w:t>
            </w:r>
          </w:p>
        </w:tc>
        <w:tc>
          <w:tcPr>
            <w:tcW w:w="687" w:type="dxa"/>
            <w:shd w:val="clear" w:color="auto" w:fill="auto"/>
            <w:vAlign w:val="center"/>
          </w:tcPr>
          <w:p w14:paraId="3A043C28"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4F84A857"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《商业银行资本管理办法（试行）》</w:t>
            </w:r>
          </w:p>
        </w:tc>
      </w:tr>
      <w:tr w:rsidR="00DE1B44" w14:paraId="389BBEFF" w14:textId="77777777">
        <w:trPr>
          <w:trHeight w:val="397"/>
        </w:trPr>
        <w:tc>
          <w:tcPr>
            <w:tcW w:w="2944" w:type="dxa"/>
            <w:shd w:val="clear" w:color="auto" w:fill="auto"/>
            <w:vAlign w:val="center"/>
          </w:tcPr>
          <w:p w14:paraId="04C8AAAC"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《公司法》</w:t>
            </w:r>
          </w:p>
        </w:tc>
        <w:tc>
          <w:tcPr>
            <w:tcW w:w="687" w:type="dxa"/>
            <w:shd w:val="clear" w:color="auto" w:fill="auto"/>
            <w:vAlign w:val="center"/>
          </w:tcPr>
          <w:p w14:paraId="21484434"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6C6D4FD0"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《中华人民共和国公司法》</w:t>
            </w:r>
          </w:p>
        </w:tc>
      </w:tr>
      <w:tr w:rsidR="00DE1B44" w14:paraId="319DA477" w14:textId="77777777">
        <w:trPr>
          <w:trHeight w:val="397"/>
        </w:trPr>
        <w:tc>
          <w:tcPr>
            <w:tcW w:w="2944" w:type="dxa"/>
            <w:shd w:val="clear" w:color="auto" w:fill="auto"/>
            <w:vAlign w:val="center"/>
          </w:tcPr>
          <w:p w14:paraId="49FB0DC9"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《证券法》</w:t>
            </w:r>
          </w:p>
        </w:tc>
        <w:tc>
          <w:tcPr>
            <w:tcW w:w="687" w:type="dxa"/>
            <w:shd w:val="clear" w:color="auto" w:fill="auto"/>
            <w:vAlign w:val="center"/>
          </w:tcPr>
          <w:p w14:paraId="3F4CA6FF"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7AAF4958"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《中华人民共和国证券法》</w:t>
            </w:r>
          </w:p>
        </w:tc>
      </w:tr>
      <w:tr w:rsidR="00DE1B44" w14:paraId="2B5E5056" w14:textId="77777777">
        <w:trPr>
          <w:trHeight w:val="397"/>
        </w:trPr>
        <w:tc>
          <w:tcPr>
            <w:tcW w:w="2944" w:type="dxa"/>
            <w:shd w:val="clear" w:color="auto" w:fill="auto"/>
            <w:vAlign w:val="center"/>
          </w:tcPr>
          <w:p w14:paraId="07BB2780"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资本充足率</w:t>
            </w:r>
          </w:p>
        </w:tc>
        <w:tc>
          <w:tcPr>
            <w:tcW w:w="687" w:type="dxa"/>
            <w:shd w:val="clear" w:color="auto" w:fill="auto"/>
            <w:vAlign w:val="center"/>
          </w:tcPr>
          <w:p w14:paraId="31E70ACE"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0796483F"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根据《资本管理办法》规定，商业银行持有的、符合规定的资本与商业银行风险加权资产之间的比率</w:t>
            </w:r>
          </w:p>
        </w:tc>
      </w:tr>
      <w:tr w:rsidR="00DE1B44" w14:paraId="4A76A82E" w14:textId="77777777">
        <w:trPr>
          <w:trHeight w:val="397"/>
        </w:trPr>
        <w:tc>
          <w:tcPr>
            <w:tcW w:w="2944" w:type="dxa"/>
            <w:shd w:val="clear" w:color="auto" w:fill="auto"/>
            <w:vAlign w:val="center"/>
          </w:tcPr>
          <w:p w14:paraId="5C3CB69A"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一级资本充足率</w:t>
            </w:r>
          </w:p>
        </w:tc>
        <w:tc>
          <w:tcPr>
            <w:tcW w:w="687" w:type="dxa"/>
            <w:shd w:val="clear" w:color="auto" w:fill="auto"/>
            <w:vAlign w:val="center"/>
          </w:tcPr>
          <w:p w14:paraId="2036171A"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5620FC2A"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根据《资本管理办法》规定，商业银行持有的、符合规定的一级资本与商业银行风险加权资产之间的比率</w:t>
            </w:r>
          </w:p>
        </w:tc>
      </w:tr>
      <w:tr w:rsidR="00DE1B44" w14:paraId="1F57D633" w14:textId="77777777">
        <w:trPr>
          <w:trHeight w:val="397"/>
        </w:trPr>
        <w:tc>
          <w:tcPr>
            <w:tcW w:w="2944" w:type="dxa"/>
            <w:shd w:val="clear" w:color="auto" w:fill="auto"/>
            <w:vAlign w:val="center"/>
          </w:tcPr>
          <w:p w14:paraId="451ECD25"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核心一级资本充足率</w:t>
            </w:r>
          </w:p>
        </w:tc>
        <w:tc>
          <w:tcPr>
            <w:tcW w:w="687" w:type="dxa"/>
            <w:shd w:val="clear" w:color="auto" w:fill="auto"/>
            <w:vAlign w:val="center"/>
          </w:tcPr>
          <w:p w14:paraId="49B0D583"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1FFBF0F6"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根据《资本管理办法》规定，商业银行持有的、符合规定的核心一级资本与商业银行风险加权资产之间的比率</w:t>
            </w:r>
          </w:p>
        </w:tc>
      </w:tr>
      <w:tr w:rsidR="00DE1B44" w14:paraId="2D9F6B35" w14:textId="77777777">
        <w:trPr>
          <w:trHeight w:val="397"/>
        </w:trPr>
        <w:tc>
          <w:tcPr>
            <w:tcW w:w="2944" w:type="dxa"/>
            <w:shd w:val="clear" w:color="auto" w:fill="auto"/>
            <w:vAlign w:val="center"/>
          </w:tcPr>
          <w:p w14:paraId="07C12B49"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财政部</w:t>
            </w:r>
          </w:p>
        </w:tc>
        <w:tc>
          <w:tcPr>
            <w:tcW w:w="687" w:type="dxa"/>
            <w:shd w:val="clear" w:color="auto" w:fill="auto"/>
            <w:vAlign w:val="center"/>
          </w:tcPr>
          <w:p w14:paraId="18A6514F"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3F8A099C"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中华人民共和国财政部</w:t>
            </w:r>
          </w:p>
        </w:tc>
      </w:tr>
      <w:tr w:rsidR="00DE1B44" w14:paraId="017520A7" w14:textId="77777777">
        <w:trPr>
          <w:trHeight w:val="397"/>
        </w:trPr>
        <w:tc>
          <w:tcPr>
            <w:tcW w:w="2944" w:type="dxa"/>
            <w:shd w:val="clear" w:color="auto" w:fill="auto"/>
            <w:vAlign w:val="center"/>
          </w:tcPr>
          <w:p w14:paraId="57E0994F"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人民银行</w:t>
            </w:r>
          </w:p>
        </w:tc>
        <w:tc>
          <w:tcPr>
            <w:tcW w:w="687" w:type="dxa"/>
            <w:shd w:val="clear" w:color="auto" w:fill="auto"/>
            <w:vAlign w:val="center"/>
          </w:tcPr>
          <w:p w14:paraId="5E66495C"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15192A36"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中国人民银行</w:t>
            </w:r>
          </w:p>
        </w:tc>
      </w:tr>
      <w:tr w:rsidR="00DE1B44" w14:paraId="1BDD48C3" w14:textId="77777777">
        <w:trPr>
          <w:trHeight w:val="397"/>
        </w:trPr>
        <w:tc>
          <w:tcPr>
            <w:tcW w:w="2944" w:type="dxa"/>
            <w:shd w:val="clear" w:color="auto" w:fill="auto"/>
            <w:vAlign w:val="center"/>
          </w:tcPr>
          <w:p w14:paraId="057261A4"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中国证监会、证监会</w:t>
            </w:r>
          </w:p>
        </w:tc>
        <w:tc>
          <w:tcPr>
            <w:tcW w:w="687" w:type="dxa"/>
            <w:shd w:val="clear" w:color="auto" w:fill="auto"/>
            <w:vAlign w:val="center"/>
          </w:tcPr>
          <w:p w14:paraId="1018822F"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17470D7E"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中国证券监督管理委员会</w:t>
            </w:r>
          </w:p>
        </w:tc>
      </w:tr>
      <w:tr w:rsidR="00DE1B44" w14:paraId="4888EBA4" w14:textId="77777777">
        <w:trPr>
          <w:trHeight w:val="397"/>
        </w:trPr>
        <w:tc>
          <w:tcPr>
            <w:tcW w:w="2944" w:type="dxa"/>
            <w:shd w:val="clear" w:color="auto" w:fill="auto"/>
            <w:vAlign w:val="center"/>
          </w:tcPr>
          <w:p w14:paraId="133D3066"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中国银保监会</w:t>
            </w:r>
          </w:p>
        </w:tc>
        <w:tc>
          <w:tcPr>
            <w:tcW w:w="687" w:type="dxa"/>
            <w:shd w:val="clear" w:color="auto" w:fill="auto"/>
            <w:vAlign w:val="center"/>
          </w:tcPr>
          <w:p w14:paraId="2D7670A7"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33CC87F7"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中国银行保险监督管理委员会</w:t>
            </w:r>
          </w:p>
        </w:tc>
      </w:tr>
      <w:tr w:rsidR="00DE1B44" w14:paraId="08AF6A07" w14:textId="77777777">
        <w:trPr>
          <w:trHeight w:val="397"/>
        </w:trPr>
        <w:tc>
          <w:tcPr>
            <w:tcW w:w="2944" w:type="dxa"/>
            <w:shd w:val="clear" w:color="auto" w:fill="auto"/>
            <w:vAlign w:val="center"/>
          </w:tcPr>
          <w:p w14:paraId="47C4D569"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中国银监会、银监会</w:t>
            </w:r>
          </w:p>
        </w:tc>
        <w:tc>
          <w:tcPr>
            <w:tcW w:w="687" w:type="dxa"/>
            <w:shd w:val="clear" w:color="auto" w:fill="auto"/>
            <w:vAlign w:val="center"/>
          </w:tcPr>
          <w:p w14:paraId="653BE706"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461AAEC4"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原中国银行业监督管理委员会，根据《深化党和国家机构改革方案》于</w:t>
            </w:r>
            <w:r>
              <w:rPr>
                <w:rFonts w:ascii="Times New Roman" w:hAnsi="Times New Roman" w:cs="Times New Roman" w:hint="eastAsia"/>
                <w:sz w:val="21"/>
                <w:szCs w:val="21"/>
              </w:rPr>
              <w:t>2018</w:t>
            </w:r>
            <w:r>
              <w:rPr>
                <w:rFonts w:ascii="Times New Roman" w:hAnsi="Times New Roman" w:cs="Times New Roman" w:hint="eastAsia"/>
                <w:sz w:val="21"/>
                <w:szCs w:val="21"/>
              </w:rPr>
              <w:t>年</w:t>
            </w:r>
            <w:r>
              <w:rPr>
                <w:rFonts w:ascii="Times New Roman" w:hAnsi="Times New Roman" w:cs="Times New Roman" w:hint="eastAsia"/>
                <w:sz w:val="21"/>
                <w:szCs w:val="21"/>
              </w:rPr>
              <w:t>3</w:t>
            </w:r>
            <w:r>
              <w:rPr>
                <w:rFonts w:ascii="Times New Roman" w:hAnsi="Times New Roman" w:cs="Times New Roman" w:hint="eastAsia"/>
                <w:sz w:val="21"/>
                <w:szCs w:val="21"/>
              </w:rPr>
              <w:t>月与中国保险监督管理委员会组建为中国银行保险监督管理委员会</w:t>
            </w:r>
          </w:p>
        </w:tc>
      </w:tr>
      <w:tr w:rsidR="00DE1B44" w14:paraId="000305F6" w14:textId="77777777">
        <w:trPr>
          <w:trHeight w:val="397"/>
        </w:trPr>
        <w:tc>
          <w:tcPr>
            <w:tcW w:w="2944" w:type="dxa"/>
            <w:shd w:val="clear" w:color="auto" w:fill="auto"/>
            <w:vAlign w:val="center"/>
          </w:tcPr>
          <w:p w14:paraId="4C833355"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国家审计署</w:t>
            </w:r>
          </w:p>
        </w:tc>
        <w:tc>
          <w:tcPr>
            <w:tcW w:w="687" w:type="dxa"/>
            <w:shd w:val="clear" w:color="auto" w:fill="auto"/>
            <w:vAlign w:val="center"/>
          </w:tcPr>
          <w:p w14:paraId="605524D6"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3D73013B"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中华人民共和国审计署</w:t>
            </w:r>
          </w:p>
        </w:tc>
      </w:tr>
      <w:tr w:rsidR="00DE1B44" w14:paraId="7BA615FD" w14:textId="77777777">
        <w:trPr>
          <w:trHeight w:val="397"/>
        </w:trPr>
        <w:tc>
          <w:tcPr>
            <w:tcW w:w="2944" w:type="dxa"/>
            <w:shd w:val="clear" w:color="auto" w:fill="auto"/>
            <w:vAlign w:val="center"/>
          </w:tcPr>
          <w:p w14:paraId="0F085376"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股权登记日</w:t>
            </w:r>
          </w:p>
        </w:tc>
        <w:tc>
          <w:tcPr>
            <w:tcW w:w="687" w:type="dxa"/>
            <w:shd w:val="clear" w:color="auto" w:fill="auto"/>
            <w:vAlign w:val="center"/>
          </w:tcPr>
          <w:p w14:paraId="4D7685F9"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56FE7A49"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20</w:t>
            </w:r>
            <w:r>
              <w:rPr>
                <w:rFonts w:ascii="Times New Roman" w:hAnsi="Times New Roman" w:cs="Times New Roman"/>
                <w:sz w:val="21"/>
                <w:szCs w:val="21"/>
              </w:rPr>
              <w:t>20</w:t>
            </w:r>
            <w:r>
              <w:rPr>
                <w:rFonts w:ascii="Times New Roman" w:hAnsi="Times New Roman" w:cs="Times New Roman" w:hint="eastAsia"/>
                <w:sz w:val="21"/>
                <w:szCs w:val="21"/>
              </w:rPr>
              <w:t>年</w:t>
            </w:r>
            <w:r>
              <w:rPr>
                <w:rFonts w:ascii="Times New Roman" w:hAnsi="Times New Roman" w:cs="Times New Roman"/>
                <w:sz w:val="21"/>
                <w:szCs w:val="21"/>
              </w:rPr>
              <w:t>12</w:t>
            </w:r>
            <w:r>
              <w:rPr>
                <w:rFonts w:ascii="Times New Roman" w:hAnsi="Times New Roman" w:cs="Times New Roman" w:hint="eastAsia"/>
                <w:sz w:val="21"/>
                <w:szCs w:val="21"/>
              </w:rPr>
              <w:t>月</w:t>
            </w:r>
            <w:r>
              <w:rPr>
                <w:rFonts w:ascii="Times New Roman" w:hAnsi="Times New Roman" w:cs="Times New Roman"/>
                <w:sz w:val="21"/>
                <w:szCs w:val="21"/>
              </w:rPr>
              <w:t>23</w:t>
            </w:r>
            <w:r>
              <w:rPr>
                <w:rFonts w:ascii="Times New Roman" w:hAnsi="Times New Roman" w:cs="Times New Roman" w:hint="eastAsia"/>
                <w:sz w:val="21"/>
                <w:szCs w:val="21"/>
              </w:rPr>
              <w:t>日</w:t>
            </w:r>
          </w:p>
        </w:tc>
      </w:tr>
      <w:tr w:rsidR="00DE1B44" w14:paraId="7CB96154" w14:textId="77777777">
        <w:trPr>
          <w:trHeight w:val="397"/>
        </w:trPr>
        <w:tc>
          <w:tcPr>
            <w:tcW w:w="2944" w:type="dxa"/>
            <w:shd w:val="clear" w:color="auto" w:fill="auto"/>
            <w:vAlign w:val="center"/>
          </w:tcPr>
          <w:p w14:paraId="2DA67216"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董事会决议日</w:t>
            </w:r>
          </w:p>
        </w:tc>
        <w:tc>
          <w:tcPr>
            <w:tcW w:w="687" w:type="dxa"/>
            <w:shd w:val="clear" w:color="auto" w:fill="auto"/>
            <w:vAlign w:val="center"/>
          </w:tcPr>
          <w:p w14:paraId="6573947A"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1E13E809"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20</w:t>
            </w:r>
            <w:r>
              <w:rPr>
                <w:rFonts w:ascii="Times New Roman" w:hAnsi="Times New Roman" w:cs="Times New Roman"/>
                <w:sz w:val="21"/>
                <w:szCs w:val="21"/>
              </w:rPr>
              <w:t>20</w:t>
            </w:r>
            <w:r>
              <w:rPr>
                <w:rFonts w:ascii="Times New Roman" w:hAnsi="Times New Roman" w:cs="Times New Roman" w:hint="eastAsia"/>
                <w:sz w:val="21"/>
                <w:szCs w:val="21"/>
              </w:rPr>
              <w:t>年</w:t>
            </w:r>
            <w:r>
              <w:rPr>
                <w:rFonts w:ascii="Times New Roman" w:hAnsi="Times New Roman" w:cs="Times New Roman"/>
                <w:sz w:val="21"/>
                <w:szCs w:val="21"/>
              </w:rPr>
              <w:t>12</w:t>
            </w:r>
            <w:r>
              <w:rPr>
                <w:rFonts w:ascii="Times New Roman" w:hAnsi="Times New Roman" w:cs="Times New Roman" w:hint="eastAsia"/>
                <w:sz w:val="21"/>
                <w:szCs w:val="21"/>
              </w:rPr>
              <w:t>月</w:t>
            </w:r>
            <w:r>
              <w:rPr>
                <w:rFonts w:ascii="Times New Roman" w:hAnsi="Times New Roman" w:cs="Times New Roman" w:hint="eastAsia"/>
                <w:sz w:val="21"/>
                <w:szCs w:val="21"/>
              </w:rPr>
              <w:t>2</w:t>
            </w:r>
            <w:r>
              <w:rPr>
                <w:rFonts w:ascii="Times New Roman" w:hAnsi="Times New Roman" w:cs="Times New Roman"/>
                <w:sz w:val="21"/>
                <w:szCs w:val="21"/>
              </w:rPr>
              <w:t>3</w:t>
            </w:r>
            <w:r>
              <w:rPr>
                <w:rFonts w:ascii="Times New Roman" w:hAnsi="Times New Roman" w:cs="Times New Roman" w:hint="eastAsia"/>
                <w:sz w:val="21"/>
                <w:szCs w:val="21"/>
              </w:rPr>
              <w:t>日</w:t>
            </w:r>
          </w:p>
        </w:tc>
      </w:tr>
      <w:tr w:rsidR="00DE1B44" w14:paraId="1A386147" w14:textId="77777777">
        <w:trPr>
          <w:trHeight w:val="397"/>
        </w:trPr>
        <w:tc>
          <w:tcPr>
            <w:tcW w:w="2944" w:type="dxa"/>
            <w:shd w:val="clear" w:color="auto" w:fill="auto"/>
            <w:vAlign w:val="center"/>
          </w:tcPr>
          <w:p w14:paraId="6ED7DF54"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交割日</w:t>
            </w:r>
          </w:p>
        </w:tc>
        <w:tc>
          <w:tcPr>
            <w:tcW w:w="687" w:type="dxa"/>
            <w:shd w:val="clear" w:color="auto" w:fill="auto"/>
            <w:vAlign w:val="center"/>
          </w:tcPr>
          <w:p w14:paraId="6A9F979E"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07887D37"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本次发行经监管部门核准后完成股份发行的当日</w:t>
            </w:r>
          </w:p>
        </w:tc>
      </w:tr>
      <w:tr w:rsidR="00DE1B44" w14:paraId="1107C9CD" w14:textId="77777777">
        <w:trPr>
          <w:trHeight w:val="397"/>
        </w:trPr>
        <w:tc>
          <w:tcPr>
            <w:tcW w:w="2944" w:type="dxa"/>
            <w:shd w:val="clear" w:color="auto" w:fill="auto"/>
            <w:vAlign w:val="center"/>
          </w:tcPr>
          <w:p w14:paraId="7FF8A067"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最近两年及一期</w:t>
            </w:r>
            <w:r>
              <w:rPr>
                <w:rFonts w:ascii="Times New Roman" w:hAnsi="Times New Roman" w:cs="Times New Roman" w:hint="eastAsia"/>
                <w:sz w:val="21"/>
                <w:szCs w:val="21"/>
              </w:rPr>
              <w:t>/</w:t>
            </w:r>
            <w:r>
              <w:rPr>
                <w:rFonts w:ascii="Times New Roman" w:hAnsi="Times New Roman" w:cs="Times New Roman" w:hint="eastAsia"/>
                <w:sz w:val="21"/>
                <w:szCs w:val="21"/>
              </w:rPr>
              <w:t>报告期</w:t>
            </w:r>
          </w:p>
        </w:tc>
        <w:tc>
          <w:tcPr>
            <w:tcW w:w="687" w:type="dxa"/>
            <w:shd w:val="clear" w:color="auto" w:fill="auto"/>
            <w:vAlign w:val="center"/>
          </w:tcPr>
          <w:p w14:paraId="002E97CB"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1681EA57"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201</w:t>
            </w:r>
            <w:r>
              <w:rPr>
                <w:rFonts w:ascii="Times New Roman" w:hAnsi="Times New Roman" w:cs="Times New Roman"/>
                <w:sz w:val="21"/>
                <w:szCs w:val="21"/>
              </w:rPr>
              <w:t>9</w:t>
            </w:r>
            <w:r>
              <w:rPr>
                <w:rFonts w:ascii="Times New Roman" w:hAnsi="Times New Roman" w:cs="Times New Roman" w:hint="eastAsia"/>
                <w:sz w:val="21"/>
                <w:szCs w:val="21"/>
              </w:rPr>
              <w:t>年、</w:t>
            </w:r>
            <w:r>
              <w:rPr>
                <w:rFonts w:ascii="Times New Roman" w:hAnsi="Times New Roman" w:cs="Times New Roman" w:hint="eastAsia"/>
                <w:sz w:val="21"/>
                <w:szCs w:val="21"/>
              </w:rPr>
              <w:t>20</w:t>
            </w:r>
            <w:r>
              <w:rPr>
                <w:rFonts w:ascii="Times New Roman" w:hAnsi="Times New Roman" w:cs="Times New Roman"/>
                <w:sz w:val="21"/>
                <w:szCs w:val="21"/>
              </w:rPr>
              <w:t>20</w:t>
            </w:r>
            <w:r>
              <w:rPr>
                <w:rFonts w:ascii="Times New Roman" w:hAnsi="Times New Roman" w:cs="Times New Roman" w:hint="eastAsia"/>
                <w:sz w:val="21"/>
                <w:szCs w:val="21"/>
              </w:rPr>
              <w:t>年和</w:t>
            </w:r>
            <w:r>
              <w:rPr>
                <w:rFonts w:ascii="Times New Roman" w:hAnsi="Times New Roman" w:cs="Times New Roman" w:hint="eastAsia"/>
                <w:sz w:val="21"/>
                <w:szCs w:val="21"/>
              </w:rPr>
              <w:t>20</w:t>
            </w:r>
            <w:r>
              <w:rPr>
                <w:rFonts w:ascii="Times New Roman" w:hAnsi="Times New Roman" w:cs="Times New Roman"/>
                <w:sz w:val="21"/>
                <w:szCs w:val="21"/>
              </w:rPr>
              <w:t>21</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sz w:val="21"/>
                <w:szCs w:val="21"/>
              </w:rPr>
              <w:t>6</w:t>
            </w:r>
            <w:r>
              <w:rPr>
                <w:rFonts w:ascii="Times New Roman" w:hAnsi="Times New Roman" w:cs="Times New Roman" w:hint="eastAsia"/>
                <w:sz w:val="21"/>
                <w:szCs w:val="21"/>
              </w:rPr>
              <w:t>月</w:t>
            </w:r>
          </w:p>
        </w:tc>
      </w:tr>
      <w:tr w:rsidR="00DE1B44" w14:paraId="16EADA76" w14:textId="77777777">
        <w:trPr>
          <w:trHeight w:val="397"/>
        </w:trPr>
        <w:tc>
          <w:tcPr>
            <w:tcW w:w="2944" w:type="dxa"/>
            <w:shd w:val="clear" w:color="auto" w:fill="auto"/>
            <w:vAlign w:val="center"/>
          </w:tcPr>
          <w:p w14:paraId="72D5762C"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安永华明会计师</w:t>
            </w:r>
          </w:p>
        </w:tc>
        <w:tc>
          <w:tcPr>
            <w:tcW w:w="687" w:type="dxa"/>
            <w:shd w:val="clear" w:color="auto" w:fill="auto"/>
            <w:vAlign w:val="center"/>
          </w:tcPr>
          <w:p w14:paraId="02236AEF"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23C9FC90"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安永华明会计师事务所（特殊普通合伙）</w:t>
            </w:r>
          </w:p>
        </w:tc>
      </w:tr>
      <w:tr w:rsidR="00DE1B44" w14:paraId="61F08AB4" w14:textId="77777777">
        <w:trPr>
          <w:trHeight w:val="397"/>
        </w:trPr>
        <w:tc>
          <w:tcPr>
            <w:tcW w:w="2944" w:type="dxa"/>
            <w:shd w:val="clear" w:color="auto" w:fill="auto"/>
            <w:vAlign w:val="center"/>
          </w:tcPr>
          <w:p w14:paraId="4ACBA98C"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元、百万元、亿元</w:t>
            </w:r>
          </w:p>
        </w:tc>
        <w:tc>
          <w:tcPr>
            <w:tcW w:w="687" w:type="dxa"/>
            <w:shd w:val="clear" w:color="auto" w:fill="auto"/>
            <w:vAlign w:val="center"/>
          </w:tcPr>
          <w:p w14:paraId="0234410C"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指</w:t>
            </w:r>
          </w:p>
        </w:tc>
        <w:tc>
          <w:tcPr>
            <w:tcW w:w="5451" w:type="dxa"/>
            <w:shd w:val="clear" w:color="auto" w:fill="auto"/>
            <w:vAlign w:val="center"/>
          </w:tcPr>
          <w:p w14:paraId="29B00D07" w14:textId="77777777" w:rsidR="00DE1B44" w:rsidRDefault="00D40582">
            <w:pPr>
              <w:widowControl w:val="0"/>
              <w:adjustRightInd w:val="0"/>
              <w:snapToGrid w:val="0"/>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人民币元、人民币百万元、人民币亿元</w:t>
            </w:r>
          </w:p>
        </w:tc>
      </w:tr>
    </w:tbl>
    <w:p w14:paraId="6405FEF8" w14:textId="77777777" w:rsidR="00DE1B44" w:rsidRDefault="00D40582">
      <w:pPr>
        <w:snapToGrid w:val="0"/>
        <w:spacing w:before="120" w:line="240" w:lineRule="auto"/>
        <w:ind w:firstLineChars="0" w:firstLine="0"/>
        <w:rPr>
          <w:rFonts w:ascii="Times New Roman" w:hAnsi="Times New Roman" w:cs="Times New Roman"/>
          <w:sz w:val="21"/>
          <w:szCs w:val="20"/>
        </w:rPr>
      </w:pPr>
      <w:r>
        <w:rPr>
          <w:rFonts w:ascii="Times New Roman" w:hAnsi="Times New Roman" w:cs="Times New Roman" w:hint="eastAsia"/>
          <w:sz w:val="21"/>
          <w:szCs w:val="20"/>
        </w:rPr>
        <w:t>注：本定向发行说明书中所列出的部分合计数与相关单项数据直接相加之和在尾数上可能因四舍五入存在差异。</w:t>
      </w:r>
    </w:p>
    <w:p w14:paraId="5513594B" w14:textId="77777777" w:rsidR="00DE1B44" w:rsidRDefault="00D40582">
      <w:pPr>
        <w:pStyle w:val="1ff1"/>
        <w:spacing w:before="120"/>
        <w:ind w:firstLine="720"/>
        <w:rPr>
          <w:rFonts w:ascii="Times New Roman" w:hAnsi="Times New Roman" w:cs="Times New Roman"/>
        </w:rPr>
      </w:pPr>
      <w:bookmarkStart w:id="25" w:name="_Toc459839961"/>
      <w:bookmarkStart w:id="26" w:name="_Toc497726068"/>
      <w:bookmarkStart w:id="27" w:name="_Toc391122232"/>
      <w:bookmarkStart w:id="28" w:name="_Toc457524023"/>
      <w:bookmarkStart w:id="29" w:name="_Toc456023433"/>
      <w:bookmarkStart w:id="30" w:name="_Toc457813833"/>
      <w:bookmarkStart w:id="31" w:name="_Toc457550447"/>
      <w:bookmarkStart w:id="32" w:name="_Toc89016898"/>
      <w:r>
        <w:rPr>
          <w:rFonts w:ascii="Times New Roman" w:hAnsi="Times New Roman" w:cs="Times New Roman"/>
        </w:rPr>
        <w:lastRenderedPageBreak/>
        <w:t>第</w:t>
      </w:r>
      <w:r>
        <w:rPr>
          <w:rFonts w:ascii="Times New Roman" w:hAnsi="Times New Roman" w:cs="Times New Roman" w:hint="eastAsia"/>
        </w:rPr>
        <w:t>二</w:t>
      </w:r>
      <w:r>
        <w:rPr>
          <w:rFonts w:ascii="Times New Roman" w:hAnsi="Times New Roman" w:cs="Times New Roman"/>
        </w:rPr>
        <w:t>节</w:t>
      </w:r>
      <w:r>
        <w:rPr>
          <w:rFonts w:ascii="Times New Roman" w:hAnsi="Times New Roman" w:cs="Times New Roman"/>
        </w:rPr>
        <w:t xml:space="preserve"> </w:t>
      </w:r>
      <w:bookmarkEnd w:id="25"/>
      <w:bookmarkEnd w:id="26"/>
      <w:bookmarkEnd w:id="27"/>
      <w:bookmarkEnd w:id="28"/>
      <w:bookmarkEnd w:id="29"/>
      <w:bookmarkEnd w:id="30"/>
      <w:bookmarkEnd w:id="31"/>
      <w:r>
        <w:rPr>
          <w:rFonts w:ascii="Times New Roman" w:hAnsi="Times New Roman" w:cs="Times New Roman" w:hint="eastAsia"/>
        </w:rPr>
        <w:t>本行</w:t>
      </w:r>
      <w:r>
        <w:rPr>
          <w:rFonts w:ascii="Times New Roman" w:hAnsi="Times New Roman" w:cs="Times New Roman"/>
        </w:rPr>
        <w:t>基本信息</w:t>
      </w:r>
      <w:bookmarkEnd w:id="32"/>
    </w:p>
    <w:p w14:paraId="62556CFC" w14:textId="77777777" w:rsidR="00DE1B44" w:rsidRDefault="00D40582">
      <w:pPr>
        <w:pStyle w:val="2f0"/>
        <w:spacing w:before="120"/>
        <w:rPr>
          <w:rFonts w:ascii="Times New Roman" w:hAnsi="Times New Roman"/>
        </w:rPr>
      </w:pPr>
      <w:bookmarkStart w:id="33" w:name="_Toc391122233"/>
      <w:bookmarkStart w:id="34" w:name="_Toc457524024"/>
      <w:bookmarkStart w:id="35" w:name="_Toc459839962"/>
      <w:bookmarkStart w:id="36" w:name="_Toc497726069"/>
      <w:bookmarkStart w:id="37" w:name="_Toc89016899"/>
      <w:bookmarkStart w:id="38" w:name="_Toc457550448"/>
      <w:bookmarkStart w:id="39" w:name="_Toc456023434"/>
      <w:bookmarkStart w:id="40" w:name="_Toc457813834"/>
      <w:r>
        <w:rPr>
          <w:rFonts w:ascii="Times New Roman" w:hAnsi="Times New Roman"/>
        </w:rPr>
        <w:t>一、</w:t>
      </w:r>
      <w:r>
        <w:rPr>
          <w:rFonts w:ascii="Times New Roman" w:hAnsi="Times New Roman" w:hint="eastAsia"/>
        </w:rPr>
        <w:t>本行</w:t>
      </w:r>
      <w:r>
        <w:rPr>
          <w:rFonts w:ascii="Times New Roman" w:hAnsi="Times New Roman"/>
        </w:rPr>
        <w:t>基本情况</w:t>
      </w:r>
      <w:bookmarkEnd w:id="33"/>
      <w:bookmarkEnd w:id="34"/>
      <w:bookmarkEnd w:id="35"/>
      <w:bookmarkEnd w:id="36"/>
      <w:bookmarkEnd w:id="37"/>
      <w:bookmarkEnd w:id="38"/>
      <w:bookmarkEnd w:id="39"/>
      <w:bookmarkEnd w:id="40"/>
    </w:p>
    <w:p w14:paraId="0242D81E" w14:textId="77777777" w:rsidR="00DE1B44" w:rsidRDefault="00D40582">
      <w:pPr>
        <w:spacing w:before="120"/>
        <w:ind w:firstLine="480"/>
        <w:rPr>
          <w:rFonts w:ascii="Times New Roman" w:hAnsi="Times New Roman" w:cs="Times New Roman"/>
        </w:rPr>
      </w:pPr>
      <w:r>
        <w:rPr>
          <w:rFonts w:ascii="Times New Roman" w:hAnsi="Times New Roman" w:cs="Times New Roman"/>
        </w:rPr>
        <w:t>中文名称：广发银行股份有限公司</w:t>
      </w:r>
    </w:p>
    <w:p w14:paraId="59699ED6" w14:textId="77777777" w:rsidR="00DE1B44" w:rsidRDefault="00D40582">
      <w:pPr>
        <w:spacing w:before="120"/>
        <w:ind w:firstLine="480"/>
        <w:rPr>
          <w:rFonts w:ascii="Times New Roman" w:hAnsi="Times New Roman" w:cs="Times New Roman"/>
        </w:rPr>
      </w:pPr>
      <w:r>
        <w:rPr>
          <w:rFonts w:ascii="Times New Roman" w:hAnsi="Times New Roman" w:cs="Times New Roman"/>
        </w:rPr>
        <w:t>英文名称：</w:t>
      </w:r>
      <w:r>
        <w:rPr>
          <w:rFonts w:ascii="Times New Roman" w:hAnsi="Times New Roman" w:cs="Times New Roman"/>
        </w:rPr>
        <w:t xml:space="preserve">China </w:t>
      </w:r>
      <w:proofErr w:type="spellStart"/>
      <w:r>
        <w:rPr>
          <w:rFonts w:ascii="Times New Roman" w:hAnsi="Times New Roman" w:cs="Times New Roman"/>
        </w:rPr>
        <w:t>Guangfa</w:t>
      </w:r>
      <w:proofErr w:type="spellEnd"/>
      <w:r>
        <w:rPr>
          <w:rFonts w:ascii="Times New Roman" w:hAnsi="Times New Roman" w:cs="Times New Roman"/>
        </w:rPr>
        <w:t xml:space="preserve"> Bank Co., Ltd.</w:t>
      </w:r>
    </w:p>
    <w:p w14:paraId="43FF4A77" w14:textId="77777777" w:rsidR="00DE1B44" w:rsidRDefault="00D40582">
      <w:pPr>
        <w:spacing w:before="120"/>
        <w:ind w:firstLine="480"/>
        <w:rPr>
          <w:rFonts w:ascii="Times New Roman" w:hAnsi="Times New Roman" w:cs="Times New Roman"/>
        </w:rPr>
      </w:pPr>
      <w:r>
        <w:rPr>
          <w:rFonts w:ascii="Times New Roman" w:hAnsi="Times New Roman" w:cs="Times New Roman"/>
        </w:rPr>
        <w:t>统一社会信用代码：</w:t>
      </w:r>
      <w:r>
        <w:rPr>
          <w:rFonts w:ascii="Times New Roman" w:hAnsi="Times New Roman" w:cs="Times New Roman"/>
        </w:rPr>
        <w:t>91440000190336428Q</w:t>
      </w:r>
    </w:p>
    <w:p w14:paraId="33D89617" w14:textId="77777777" w:rsidR="00DE1B44" w:rsidRDefault="00D40582">
      <w:pPr>
        <w:spacing w:before="120"/>
        <w:ind w:firstLine="480"/>
        <w:rPr>
          <w:rFonts w:ascii="Times New Roman" w:hAnsi="Times New Roman" w:cs="Times New Roman"/>
        </w:rPr>
      </w:pPr>
      <w:r>
        <w:rPr>
          <w:rFonts w:ascii="Times New Roman" w:hAnsi="Times New Roman" w:cs="Times New Roman"/>
        </w:rPr>
        <w:t>设立日期：</w:t>
      </w:r>
      <w:r>
        <w:rPr>
          <w:rFonts w:ascii="Times New Roman" w:hAnsi="Times New Roman" w:cs="Times New Roman"/>
        </w:rPr>
        <w:t>1988</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8</w:t>
      </w:r>
      <w:r>
        <w:rPr>
          <w:rFonts w:ascii="Times New Roman" w:hAnsi="Times New Roman" w:cs="Times New Roman"/>
        </w:rPr>
        <w:t>日</w:t>
      </w:r>
    </w:p>
    <w:p w14:paraId="1702C88D" w14:textId="77777777" w:rsidR="00DE1B44" w:rsidRDefault="00D40582">
      <w:pPr>
        <w:spacing w:before="120"/>
        <w:ind w:firstLine="480"/>
        <w:rPr>
          <w:rFonts w:ascii="Times New Roman" w:hAnsi="Times New Roman" w:cs="Times New Roman"/>
        </w:rPr>
      </w:pPr>
      <w:r>
        <w:rPr>
          <w:rFonts w:ascii="Times New Roman" w:hAnsi="Times New Roman" w:cs="Times New Roman"/>
        </w:rPr>
        <w:t>住所：广州市越秀区东风东路</w:t>
      </w:r>
      <w:r>
        <w:rPr>
          <w:rFonts w:ascii="Times New Roman" w:hAnsi="Times New Roman" w:cs="Times New Roman"/>
        </w:rPr>
        <w:t>713</w:t>
      </w:r>
      <w:r>
        <w:rPr>
          <w:rFonts w:ascii="Times New Roman" w:hAnsi="Times New Roman" w:cs="Times New Roman"/>
        </w:rPr>
        <w:t>号</w:t>
      </w:r>
    </w:p>
    <w:p w14:paraId="60D474AE" w14:textId="77777777" w:rsidR="00DE1B44" w:rsidRDefault="00D40582">
      <w:pPr>
        <w:spacing w:before="120"/>
        <w:ind w:firstLine="480"/>
        <w:rPr>
          <w:rFonts w:ascii="Times New Roman" w:hAnsi="Times New Roman" w:cs="Times New Roman"/>
        </w:rPr>
      </w:pPr>
      <w:r>
        <w:rPr>
          <w:rFonts w:ascii="Times New Roman" w:hAnsi="Times New Roman" w:cs="Times New Roman"/>
        </w:rPr>
        <w:t>注册资本：人民币</w:t>
      </w:r>
      <w:r>
        <w:rPr>
          <w:rFonts w:ascii="Times New Roman" w:hAnsi="Times New Roman" w:cs="Times New Roman"/>
        </w:rPr>
        <w:t>19,687,196,272</w:t>
      </w:r>
      <w:r>
        <w:rPr>
          <w:rFonts w:ascii="Times New Roman" w:hAnsi="Times New Roman" w:cs="Times New Roman"/>
        </w:rPr>
        <w:t>元</w:t>
      </w:r>
    </w:p>
    <w:p w14:paraId="518D1E89" w14:textId="77777777" w:rsidR="00DE1B44" w:rsidRDefault="00D40582">
      <w:pPr>
        <w:spacing w:before="120"/>
        <w:ind w:firstLine="480"/>
        <w:rPr>
          <w:rFonts w:ascii="Times New Roman" w:hAnsi="Times New Roman" w:cs="Times New Roman"/>
        </w:rPr>
      </w:pPr>
      <w:r>
        <w:rPr>
          <w:rFonts w:ascii="Times New Roman" w:hAnsi="Times New Roman" w:cs="Times New Roman"/>
        </w:rPr>
        <w:t>目前总股本：人民币</w:t>
      </w:r>
      <w:r>
        <w:rPr>
          <w:rFonts w:ascii="Times New Roman" w:hAnsi="Times New Roman" w:cs="Times New Roman"/>
        </w:rPr>
        <w:t>19,687,196,272</w:t>
      </w:r>
      <w:r>
        <w:rPr>
          <w:rFonts w:ascii="Times New Roman" w:hAnsi="Times New Roman" w:cs="Times New Roman"/>
        </w:rPr>
        <w:t>元</w:t>
      </w:r>
    </w:p>
    <w:p w14:paraId="2DD95A1E" w14:textId="77777777" w:rsidR="00DE1B44" w:rsidRDefault="00D40582">
      <w:pPr>
        <w:spacing w:before="120"/>
        <w:ind w:firstLine="480"/>
        <w:rPr>
          <w:rFonts w:ascii="Times New Roman" w:hAnsi="Times New Roman" w:cs="Times New Roman"/>
        </w:rPr>
      </w:pPr>
      <w:r>
        <w:rPr>
          <w:rFonts w:ascii="Times New Roman" w:hAnsi="Times New Roman" w:cs="Times New Roman"/>
        </w:rPr>
        <w:t>法定代表人：</w:t>
      </w:r>
      <w:r>
        <w:rPr>
          <w:rFonts w:ascii="Times New Roman" w:hAnsi="Times New Roman" w:cs="Times New Roman" w:hint="eastAsia"/>
        </w:rPr>
        <w:t>王凯</w:t>
      </w:r>
    </w:p>
    <w:p w14:paraId="0662FD67" w14:textId="77777777" w:rsidR="00DE1B44" w:rsidRDefault="00D40582">
      <w:pPr>
        <w:spacing w:before="120"/>
        <w:ind w:firstLine="480"/>
        <w:rPr>
          <w:rFonts w:ascii="Times New Roman" w:hAnsi="Times New Roman" w:cs="Times New Roman"/>
        </w:rPr>
      </w:pPr>
      <w:r>
        <w:rPr>
          <w:rFonts w:ascii="Times New Roman" w:hAnsi="Times New Roman" w:cs="Times New Roman"/>
        </w:rPr>
        <w:t>董事会秘书：李广新</w:t>
      </w:r>
    </w:p>
    <w:p w14:paraId="1EA01D5B" w14:textId="77777777" w:rsidR="00DE1B44" w:rsidRDefault="00D40582">
      <w:pPr>
        <w:spacing w:before="120"/>
        <w:ind w:firstLine="480"/>
        <w:rPr>
          <w:rFonts w:ascii="Times New Roman" w:hAnsi="Times New Roman" w:cs="Times New Roman"/>
        </w:rPr>
      </w:pPr>
      <w:r>
        <w:rPr>
          <w:rFonts w:ascii="Times New Roman" w:hAnsi="Times New Roman" w:cs="Times New Roman"/>
        </w:rPr>
        <w:t>联系电话：</w:t>
      </w:r>
      <w:r>
        <w:rPr>
          <w:rFonts w:ascii="Times New Roman" w:hAnsi="Times New Roman" w:cs="Times New Roman"/>
        </w:rPr>
        <w:t>020-38322888</w:t>
      </w:r>
    </w:p>
    <w:p w14:paraId="7F92E3BA" w14:textId="77777777" w:rsidR="00DE1B44" w:rsidRDefault="00D40582">
      <w:pPr>
        <w:spacing w:before="120"/>
        <w:ind w:firstLine="480"/>
        <w:rPr>
          <w:rFonts w:ascii="Times New Roman" w:hAnsi="Times New Roman" w:cs="Times New Roman"/>
        </w:rPr>
      </w:pPr>
      <w:r>
        <w:rPr>
          <w:rFonts w:ascii="Times New Roman" w:hAnsi="Times New Roman" w:cs="Times New Roman"/>
        </w:rPr>
        <w:t>传真：</w:t>
      </w:r>
      <w:r>
        <w:rPr>
          <w:rFonts w:ascii="Times New Roman" w:hAnsi="Times New Roman" w:cs="Times New Roman"/>
        </w:rPr>
        <w:t>020-87310779</w:t>
      </w:r>
    </w:p>
    <w:p w14:paraId="41375533" w14:textId="77777777" w:rsidR="00DE1B44" w:rsidRDefault="00D40582">
      <w:pPr>
        <w:spacing w:before="120"/>
        <w:ind w:firstLine="480"/>
        <w:rPr>
          <w:rFonts w:ascii="Times New Roman" w:hAnsi="Times New Roman" w:cs="Times New Roman"/>
        </w:rPr>
      </w:pPr>
      <w:r>
        <w:rPr>
          <w:rFonts w:ascii="Times New Roman" w:hAnsi="Times New Roman" w:cs="Times New Roman"/>
        </w:rPr>
        <w:t>电子邮箱：</w:t>
      </w:r>
      <w:r>
        <w:rPr>
          <w:rFonts w:ascii="Times New Roman" w:hAnsi="Times New Roman" w:cs="Times New Roman"/>
        </w:rPr>
        <w:t>bodoffice@cgbchina.com.cn</w:t>
      </w:r>
    </w:p>
    <w:p w14:paraId="02CC5E79" w14:textId="77777777" w:rsidR="00DE1B44" w:rsidRDefault="00D40582">
      <w:pPr>
        <w:spacing w:before="120"/>
        <w:ind w:firstLine="480"/>
        <w:rPr>
          <w:rFonts w:ascii="Times New Roman" w:hAnsi="Times New Roman" w:cs="Times New Roman"/>
        </w:rPr>
      </w:pPr>
      <w:r>
        <w:rPr>
          <w:rFonts w:ascii="Times New Roman" w:hAnsi="Times New Roman" w:cs="Times New Roman"/>
        </w:rPr>
        <w:t>邮编：</w:t>
      </w:r>
      <w:r>
        <w:rPr>
          <w:rFonts w:ascii="Times New Roman" w:hAnsi="Times New Roman" w:cs="Times New Roman"/>
        </w:rPr>
        <w:t>510080</w:t>
      </w:r>
    </w:p>
    <w:p w14:paraId="7550EC5F" w14:textId="77777777" w:rsidR="00DE1B44" w:rsidRDefault="00D40582">
      <w:pPr>
        <w:spacing w:before="120"/>
        <w:ind w:firstLine="480"/>
        <w:rPr>
          <w:rFonts w:ascii="Times New Roman" w:hAnsi="Times New Roman" w:cs="Times New Roman"/>
        </w:rPr>
      </w:pPr>
      <w:r>
        <w:rPr>
          <w:rFonts w:ascii="Times New Roman" w:hAnsi="Times New Roman" w:cs="Times New Roman"/>
        </w:rPr>
        <w:t>公司网址：</w:t>
      </w:r>
      <w:r>
        <w:rPr>
          <w:rFonts w:ascii="Times New Roman" w:hAnsi="Times New Roman" w:cs="Times New Roman"/>
        </w:rPr>
        <w:t>http://www.cgbchina.com.cn</w:t>
      </w:r>
    </w:p>
    <w:p w14:paraId="3C88DCFE" w14:textId="77777777" w:rsidR="00DE1B44" w:rsidRDefault="00D40582">
      <w:pPr>
        <w:spacing w:before="120"/>
        <w:ind w:firstLine="480"/>
        <w:rPr>
          <w:rFonts w:ascii="Times New Roman" w:hAnsi="Times New Roman" w:cs="Times New Roman"/>
        </w:rPr>
      </w:pPr>
      <w:r>
        <w:rPr>
          <w:rFonts w:ascii="Times New Roman" w:hAnsi="Times New Roman" w:cs="Times New Roman"/>
        </w:rPr>
        <w:t>经营范围：吸收公众存款；发放短期、中期和长期贷款；办理国内外结算；办理票据承兑与贴现；发行金融债券；代理发行、代理兑付、承销政府债券；买卖政府债券、金融债券等有价证券；从事同业拆借；提供信用证服务及担保；从事银行卡业务；代理收付款项及代理保险业务；提供保管箱服务；外汇存、贷款；外汇汇款；外币兑换；国际结算；结汇、售汇；同业外汇拆借；外汇票据的承兑和贴现；外汇借款；外汇担保；买卖和代理买卖股票以外的外币有价证券；发行和代理发行股票以外的外币有价证券；自营和代客外汇买卖；代理国外信用卡的发行及付款业务；离岸金融业务；资信调查、</w:t>
      </w:r>
      <w:r>
        <w:rPr>
          <w:rFonts w:ascii="Times New Roman" w:hAnsi="Times New Roman" w:cs="Times New Roman"/>
        </w:rPr>
        <w:lastRenderedPageBreak/>
        <w:t>咨询、见证业务；经中国银</w:t>
      </w:r>
      <w:r>
        <w:rPr>
          <w:rFonts w:ascii="Times New Roman" w:hAnsi="Times New Roman" w:cs="Times New Roman" w:hint="eastAsia"/>
        </w:rPr>
        <w:t>保</w:t>
      </w:r>
      <w:r>
        <w:rPr>
          <w:rFonts w:ascii="Times New Roman" w:hAnsi="Times New Roman" w:cs="Times New Roman"/>
        </w:rPr>
        <w:t>监会等批准的其他业务。</w:t>
      </w:r>
      <w:r>
        <w:rPr>
          <w:rFonts w:ascii="Times New Roman" w:hAnsi="Times New Roman" w:cs="Times New Roman" w:hint="eastAsia"/>
        </w:rPr>
        <w:t>（</w:t>
      </w:r>
      <w:r>
        <w:rPr>
          <w:rFonts w:ascii="Times New Roman" w:hAnsi="Times New Roman" w:cs="Times New Roman"/>
        </w:rPr>
        <w:t>依法须经批准的项目，经相关部门批准后方可开展经营活动</w:t>
      </w:r>
      <w:r>
        <w:rPr>
          <w:rFonts w:ascii="Times New Roman" w:hAnsi="Times New Roman" w:cs="Times New Roman" w:hint="eastAsia"/>
        </w:rPr>
        <w:t>）</w:t>
      </w:r>
    </w:p>
    <w:p w14:paraId="6992DD01" w14:textId="77777777" w:rsidR="00DE1B44" w:rsidRDefault="00D40582">
      <w:pPr>
        <w:pStyle w:val="2f0"/>
        <w:spacing w:before="120"/>
      </w:pPr>
      <w:bookmarkStart w:id="41" w:name="_Toc89016900"/>
      <w:r>
        <w:rPr>
          <w:rFonts w:hint="eastAsia"/>
        </w:rPr>
        <w:t>二、本行历史沿革</w:t>
      </w:r>
      <w:bookmarkEnd w:id="41"/>
    </w:p>
    <w:p w14:paraId="42355C4F" w14:textId="77777777" w:rsidR="00DE1B44" w:rsidRDefault="00D40582">
      <w:pPr>
        <w:pStyle w:val="4a"/>
        <w:spacing w:before="120"/>
        <w:rPr>
          <w:rFonts w:ascii="Times New Roman" w:hAnsi="Times New Roman"/>
        </w:rPr>
      </w:pPr>
      <w:r>
        <w:rPr>
          <w:rFonts w:ascii="Times New Roman" w:hAnsi="Times New Roman"/>
        </w:rPr>
        <w:t>（一）本行设立情况</w:t>
      </w:r>
    </w:p>
    <w:p w14:paraId="14232096" w14:textId="77777777" w:rsidR="00DE1B44" w:rsidRDefault="00D40582">
      <w:pPr>
        <w:spacing w:before="120"/>
        <w:ind w:firstLine="480"/>
        <w:rPr>
          <w:rFonts w:ascii="Times New Roman" w:hAnsi="Times New Roman" w:cs="Times New Roman"/>
        </w:rPr>
      </w:pPr>
      <w:r>
        <w:rPr>
          <w:rFonts w:ascii="Times New Roman" w:hAnsi="Times New Roman" w:cs="Times New Roman"/>
        </w:rPr>
        <w:t>本行的前身为广东发展银行，于</w:t>
      </w:r>
      <w:r>
        <w:rPr>
          <w:rFonts w:ascii="Times New Roman" w:hAnsi="Times New Roman" w:cs="Times New Roman"/>
        </w:rPr>
        <w:t>1988</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25</w:t>
      </w:r>
      <w:r>
        <w:rPr>
          <w:rFonts w:ascii="Times New Roman" w:hAnsi="Times New Roman" w:cs="Times New Roman"/>
        </w:rPr>
        <w:t>日经中国人民银行批准成立，同年</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8</w:t>
      </w:r>
      <w:r>
        <w:rPr>
          <w:rFonts w:ascii="Times New Roman" w:hAnsi="Times New Roman" w:cs="Times New Roman"/>
        </w:rPr>
        <w:t>日经广东省工商行政管理局核准正式注册登记，注册资本为人民币</w:t>
      </w:r>
      <w:r>
        <w:rPr>
          <w:rFonts w:ascii="Times New Roman" w:hAnsi="Times New Roman" w:cs="Times New Roman"/>
        </w:rPr>
        <w:t>150,000</w:t>
      </w:r>
      <w:r>
        <w:rPr>
          <w:rFonts w:ascii="Times New Roman" w:hAnsi="Times New Roman" w:cs="Times New Roman"/>
        </w:rPr>
        <w:t>万元。</w:t>
      </w:r>
    </w:p>
    <w:p w14:paraId="22A5E4D3" w14:textId="77777777" w:rsidR="00DE1B44" w:rsidRDefault="00D40582">
      <w:pPr>
        <w:pStyle w:val="4a"/>
        <w:spacing w:before="120"/>
        <w:rPr>
          <w:rFonts w:ascii="Times New Roman" w:hAnsi="Times New Roman"/>
        </w:rPr>
      </w:pPr>
      <w:r>
        <w:rPr>
          <w:rFonts w:ascii="Times New Roman" w:hAnsi="Times New Roman"/>
        </w:rPr>
        <w:t>（</w:t>
      </w:r>
      <w:r>
        <w:rPr>
          <w:rFonts w:ascii="Times New Roman" w:hAnsi="Times New Roman" w:hint="eastAsia"/>
        </w:rPr>
        <w:t>二</w:t>
      </w:r>
      <w:r>
        <w:rPr>
          <w:rFonts w:ascii="Times New Roman" w:hAnsi="Times New Roman"/>
        </w:rPr>
        <w:t>）本行的股本演变情况</w:t>
      </w:r>
    </w:p>
    <w:p w14:paraId="51482D52" w14:textId="77777777" w:rsidR="00DE1B44" w:rsidRDefault="00D40582">
      <w:pPr>
        <w:spacing w:before="120"/>
        <w:ind w:firstLine="480"/>
        <w:rPr>
          <w:rFonts w:ascii="Times New Roman" w:hAnsi="Times New Roman" w:cs="Times New Roman"/>
        </w:rPr>
      </w:pPr>
      <w:r>
        <w:rPr>
          <w:rFonts w:ascii="Times New Roman" w:hAnsi="Times New Roman" w:cs="Times New Roman"/>
        </w:rPr>
        <w:t>1998</w:t>
      </w:r>
      <w:r>
        <w:rPr>
          <w:rFonts w:ascii="Times New Roman" w:hAnsi="Times New Roman" w:cs="Times New Roman"/>
        </w:rPr>
        <w:t>年</w:t>
      </w:r>
      <w:r>
        <w:rPr>
          <w:rFonts w:ascii="Times New Roman" w:hAnsi="Times New Roman" w:cs="Times New Roman" w:hint="eastAsia"/>
        </w:rPr>
        <w:t>，</w:t>
      </w:r>
      <w:r>
        <w:rPr>
          <w:rFonts w:ascii="Times New Roman" w:hAnsi="Times New Roman" w:cs="Times New Roman"/>
        </w:rPr>
        <w:t>中国人民银行批准本行注册资本增至</w:t>
      </w:r>
      <w:r>
        <w:rPr>
          <w:rFonts w:ascii="Times New Roman" w:hAnsi="Times New Roman" w:cs="Times New Roman"/>
        </w:rPr>
        <w:t>35</w:t>
      </w:r>
      <w:r>
        <w:rPr>
          <w:rFonts w:ascii="Times New Roman" w:hAnsi="Times New Roman" w:cs="Times New Roman"/>
        </w:rPr>
        <w:t>亿元。</w:t>
      </w:r>
      <w:r>
        <w:rPr>
          <w:rFonts w:ascii="Times New Roman" w:hAnsi="Times New Roman" w:cs="Times New Roman"/>
        </w:rPr>
        <w:t>2003</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18</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本行根据《公司法》规范登记为股份有限公司。</w:t>
      </w:r>
    </w:p>
    <w:p w14:paraId="58FF853E" w14:textId="77777777" w:rsidR="00DE1B44" w:rsidRDefault="00D40582">
      <w:pPr>
        <w:spacing w:before="120"/>
        <w:ind w:firstLine="480"/>
        <w:rPr>
          <w:rFonts w:ascii="Times New Roman" w:hAnsi="Times New Roman" w:cs="Times New Roman"/>
        </w:rPr>
      </w:pPr>
      <w:r>
        <w:rPr>
          <w:rFonts w:ascii="Times New Roman" w:hAnsi="Times New Roman" w:cs="Times New Roman"/>
        </w:rPr>
        <w:t>2006</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9</w:t>
      </w:r>
      <w:r>
        <w:rPr>
          <w:rFonts w:ascii="Times New Roman" w:hAnsi="Times New Roman" w:cs="Times New Roman"/>
        </w:rPr>
        <w:t>日，中国银监会以《中国银行业监督管理委员会关于广东发展银行增资扩股有关事项的批复》</w:t>
      </w:r>
      <w:r>
        <w:rPr>
          <w:rFonts w:ascii="Times New Roman" w:hAnsi="Times New Roman" w:cs="Times New Roman" w:hint="eastAsia"/>
        </w:rPr>
        <w:t>（</w:t>
      </w:r>
      <w:proofErr w:type="gramStart"/>
      <w:r>
        <w:rPr>
          <w:rFonts w:ascii="Times New Roman" w:hAnsi="Times New Roman" w:cs="Times New Roman"/>
        </w:rPr>
        <w:t>银监复〔</w:t>
      </w:r>
      <w:r>
        <w:rPr>
          <w:rFonts w:ascii="Times New Roman" w:hAnsi="Times New Roman" w:cs="Times New Roman"/>
        </w:rPr>
        <w:t>2006</w:t>
      </w:r>
      <w:r>
        <w:rPr>
          <w:rFonts w:ascii="Times New Roman" w:hAnsi="Times New Roman" w:cs="Times New Roman"/>
        </w:rPr>
        <w:t>〕</w:t>
      </w:r>
      <w:proofErr w:type="gramEnd"/>
      <w:r>
        <w:rPr>
          <w:rFonts w:ascii="Times New Roman" w:hAnsi="Times New Roman" w:cs="Times New Roman"/>
        </w:rPr>
        <w:t>420</w:t>
      </w:r>
      <w:r>
        <w:rPr>
          <w:rFonts w:ascii="Times New Roman" w:hAnsi="Times New Roman" w:cs="Times New Roman"/>
        </w:rPr>
        <w:t>号</w:t>
      </w:r>
      <w:r>
        <w:rPr>
          <w:rFonts w:ascii="Times New Roman" w:hAnsi="Times New Roman" w:cs="Times New Roman" w:hint="eastAsia"/>
        </w:rPr>
        <w:t>），</w:t>
      </w:r>
      <w:r>
        <w:rPr>
          <w:rFonts w:ascii="Times New Roman" w:hAnsi="Times New Roman" w:cs="Times New Roman"/>
        </w:rPr>
        <w:t>同意本行增资扩股。</w:t>
      </w:r>
    </w:p>
    <w:p w14:paraId="5DA78F49" w14:textId="77777777" w:rsidR="00DE1B44" w:rsidRDefault="00D40582">
      <w:pPr>
        <w:spacing w:before="120"/>
        <w:ind w:firstLine="480"/>
        <w:rPr>
          <w:rFonts w:ascii="Times New Roman" w:hAnsi="Times New Roman" w:cs="Times New Roman"/>
        </w:rPr>
      </w:pPr>
      <w:r>
        <w:rPr>
          <w:rFonts w:ascii="Times New Roman" w:hAnsi="Times New Roman" w:cs="Times New Roman"/>
        </w:rPr>
        <w:t>2006</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16</w:t>
      </w:r>
      <w:r>
        <w:rPr>
          <w:rFonts w:ascii="Times New Roman" w:hAnsi="Times New Roman" w:cs="Times New Roman"/>
        </w:rPr>
        <w:t>日，中国银监会以《中国银行业监督管理委员会关于广东发展银行吸收花旗集团、中国人寿保险股份有限公司等境内外投资者投资入股的批复》</w:t>
      </w:r>
      <w:r>
        <w:rPr>
          <w:rFonts w:ascii="Times New Roman" w:hAnsi="Times New Roman" w:cs="Times New Roman" w:hint="eastAsia"/>
        </w:rPr>
        <w:t>（</w:t>
      </w:r>
      <w:proofErr w:type="gramStart"/>
      <w:r>
        <w:rPr>
          <w:rFonts w:ascii="Times New Roman" w:hAnsi="Times New Roman" w:cs="Times New Roman"/>
        </w:rPr>
        <w:t>银监复〔</w:t>
      </w:r>
      <w:r>
        <w:rPr>
          <w:rFonts w:ascii="Times New Roman" w:hAnsi="Times New Roman" w:cs="Times New Roman"/>
        </w:rPr>
        <w:t>2006</w:t>
      </w:r>
      <w:r>
        <w:rPr>
          <w:rFonts w:ascii="Times New Roman" w:hAnsi="Times New Roman" w:cs="Times New Roman"/>
        </w:rPr>
        <w:t>〕</w:t>
      </w:r>
      <w:proofErr w:type="gramEnd"/>
      <w:r>
        <w:rPr>
          <w:rFonts w:ascii="Times New Roman" w:hAnsi="Times New Roman" w:cs="Times New Roman"/>
        </w:rPr>
        <w:t>434</w:t>
      </w:r>
      <w:r>
        <w:rPr>
          <w:rFonts w:ascii="Times New Roman" w:hAnsi="Times New Roman" w:cs="Times New Roman"/>
        </w:rPr>
        <w:t>号</w:t>
      </w:r>
      <w:r>
        <w:rPr>
          <w:rFonts w:ascii="Times New Roman" w:hAnsi="Times New Roman" w:cs="Times New Roman" w:hint="eastAsia"/>
        </w:rPr>
        <w:t>）</w:t>
      </w:r>
      <w:r>
        <w:rPr>
          <w:rFonts w:ascii="Times New Roman" w:hAnsi="Times New Roman" w:cs="Times New Roman"/>
        </w:rPr>
        <w:t>，同意本行增发股份</w:t>
      </w:r>
      <w:r>
        <w:rPr>
          <w:rFonts w:ascii="Times New Roman" w:hAnsi="Times New Roman" w:cs="Times New Roman"/>
        </w:rPr>
        <w:t>9,764,332,000</w:t>
      </w:r>
      <w:r>
        <w:rPr>
          <w:rFonts w:ascii="Times New Roman" w:hAnsi="Times New Roman" w:cs="Times New Roman"/>
        </w:rPr>
        <w:t>股，吸收花旗集团、中国人寿保险股份有限公司、国家电网公司、中信信托投资有限责任公司、</w:t>
      </w:r>
      <w:r>
        <w:rPr>
          <w:rFonts w:ascii="Times New Roman" w:hAnsi="Times New Roman" w:cs="Times New Roman"/>
        </w:rPr>
        <w:t>IBM</w:t>
      </w:r>
      <w:r>
        <w:rPr>
          <w:rFonts w:ascii="Times New Roman" w:hAnsi="Times New Roman" w:cs="Times New Roman"/>
        </w:rPr>
        <w:t>信贷有限责任公司</w:t>
      </w:r>
      <w:r>
        <w:rPr>
          <w:rFonts w:ascii="Times New Roman" w:hAnsi="Times New Roman" w:cs="Times New Roman" w:hint="eastAsia"/>
        </w:rPr>
        <w:t>（</w:t>
      </w:r>
      <w:r>
        <w:rPr>
          <w:rFonts w:ascii="Times New Roman" w:hAnsi="Times New Roman" w:cs="Times New Roman"/>
        </w:rPr>
        <w:t>IBM Credit LLC</w:t>
      </w:r>
      <w:r>
        <w:rPr>
          <w:rFonts w:ascii="Times New Roman" w:hAnsi="Times New Roman" w:cs="Times New Roman" w:hint="eastAsia"/>
        </w:rPr>
        <w:t>）</w:t>
      </w:r>
      <w:r>
        <w:rPr>
          <w:rFonts w:ascii="Times New Roman" w:hAnsi="Times New Roman" w:cs="Times New Roman"/>
        </w:rPr>
        <w:t>等境内外投资者入股。经广东正中珠江会计师事务所以广会所验字</w:t>
      </w:r>
      <w:r>
        <w:rPr>
          <w:rFonts w:ascii="Times New Roman" w:hAnsi="Times New Roman" w:cs="Times New Roman" w:hint="eastAsia"/>
        </w:rPr>
        <w:t>（</w:t>
      </w:r>
      <w:r>
        <w:rPr>
          <w:rFonts w:ascii="Times New Roman" w:hAnsi="Times New Roman" w:cs="Times New Roman"/>
        </w:rPr>
        <w:t>2006</w:t>
      </w:r>
      <w:r>
        <w:rPr>
          <w:rFonts w:ascii="Times New Roman" w:hAnsi="Times New Roman" w:cs="Times New Roman" w:hint="eastAsia"/>
        </w:rPr>
        <w:t>）</w:t>
      </w:r>
      <w:r>
        <w:rPr>
          <w:rFonts w:ascii="Times New Roman" w:hAnsi="Times New Roman" w:cs="Times New Roman"/>
        </w:rPr>
        <w:t>第</w:t>
      </w:r>
      <w:r>
        <w:rPr>
          <w:rFonts w:ascii="Times New Roman" w:hAnsi="Times New Roman" w:cs="Times New Roman"/>
        </w:rPr>
        <w:t>0625220014</w:t>
      </w:r>
      <w:r>
        <w:rPr>
          <w:rFonts w:ascii="Times New Roman" w:hAnsi="Times New Roman" w:cs="Times New Roman"/>
        </w:rPr>
        <w:t>号《验资报告》审验，本行变更后的实收注册资本为</w:t>
      </w:r>
      <w:r>
        <w:rPr>
          <w:rFonts w:ascii="Times New Roman" w:hAnsi="Times New Roman" w:cs="Times New Roman"/>
        </w:rPr>
        <w:t>1,140,842.2597</w:t>
      </w:r>
      <w:r>
        <w:rPr>
          <w:rFonts w:ascii="Times New Roman" w:hAnsi="Times New Roman" w:cs="Times New Roman"/>
        </w:rPr>
        <w:t>万元。根据</w:t>
      </w:r>
      <w:r>
        <w:rPr>
          <w:rFonts w:ascii="Times New Roman" w:hAnsi="Times New Roman" w:cs="Times New Roman"/>
        </w:rPr>
        <w:t>2005</w:t>
      </w:r>
      <w:r>
        <w:rPr>
          <w:rFonts w:ascii="Times New Roman" w:hAnsi="Times New Roman" w:cs="Times New Roman"/>
        </w:rPr>
        <w:t>年</w:t>
      </w:r>
      <w:r>
        <w:rPr>
          <w:rFonts w:ascii="Times New Roman" w:hAnsi="Times New Roman" w:cs="Times New Roman"/>
        </w:rPr>
        <w:t>11</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日本行</w:t>
      </w:r>
      <w:r>
        <w:rPr>
          <w:rFonts w:ascii="Times New Roman" w:hAnsi="Times New Roman" w:cs="Times New Roman"/>
        </w:rPr>
        <w:t>2005</w:t>
      </w:r>
      <w:r>
        <w:rPr>
          <w:rFonts w:ascii="Times New Roman" w:hAnsi="Times New Roman" w:cs="Times New Roman"/>
        </w:rPr>
        <w:t>年第一次临时股东大会决议以及</w:t>
      </w:r>
      <w:r>
        <w:rPr>
          <w:rFonts w:ascii="Times New Roman" w:hAnsi="Times New Roman" w:cs="Times New Roman"/>
        </w:rPr>
        <w:t>2006</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2</w:t>
      </w:r>
      <w:r>
        <w:rPr>
          <w:rFonts w:ascii="Times New Roman" w:hAnsi="Times New Roman" w:cs="Times New Roman"/>
        </w:rPr>
        <w:t>日董事会执行委员会通过的《广东发展银行董事会执行委员会关于改革重组中增发新股给境内外投资者和现有股东折股的决议》，本行原股东以持有股份的原始入股金额按照新引进投资者入股价格进行折算，原股东所持有的本行股份从</w:t>
      </w:r>
      <w:r>
        <w:rPr>
          <w:rFonts w:ascii="Times New Roman" w:hAnsi="Times New Roman" w:cs="Times New Roman"/>
        </w:rPr>
        <w:t>3,585,658,600</w:t>
      </w:r>
      <w:r>
        <w:rPr>
          <w:rFonts w:ascii="Times New Roman" w:hAnsi="Times New Roman" w:cs="Times New Roman"/>
        </w:rPr>
        <w:t>股折为</w:t>
      </w:r>
      <w:r>
        <w:rPr>
          <w:rFonts w:ascii="Times New Roman" w:hAnsi="Times New Roman" w:cs="Times New Roman"/>
        </w:rPr>
        <w:t>1,644,090,597</w:t>
      </w:r>
      <w:r>
        <w:rPr>
          <w:rFonts w:ascii="Times New Roman" w:hAnsi="Times New Roman" w:cs="Times New Roman"/>
        </w:rPr>
        <w:t>股，占本行重组后股份总数的</w:t>
      </w:r>
      <w:r>
        <w:rPr>
          <w:rFonts w:ascii="Times New Roman" w:hAnsi="Times New Roman" w:cs="Times New Roman"/>
        </w:rPr>
        <w:t>14.4112%</w:t>
      </w:r>
      <w:r>
        <w:rPr>
          <w:rFonts w:ascii="Times New Roman" w:hAnsi="Times New Roman" w:cs="Times New Roman"/>
        </w:rPr>
        <w:t>。同时本行向合格的投资者发行</w:t>
      </w:r>
      <w:r>
        <w:rPr>
          <w:rFonts w:ascii="Times New Roman" w:hAnsi="Times New Roman" w:cs="Times New Roman"/>
        </w:rPr>
        <w:t>9,764,332,000</w:t>
      </w:r>
      <w:r>
        <w:rPr>
          <w:rFonts w:ascii="Times New Roman" w:hAnsi="Times New Roman" w:cs="Times New Roman"/>
        </w:rPr>
        <w:t>股每股面值</w:t>
      </w:r>
      <w:r>
        <w:rPr>
          <w:rFonts w:ascii="Times New Roman" w:hAnsi="Times New Roman" w:cs="Times New Roman"/>
        </w:rPr>
        <w:t>1</w:t>
      </w:r>
      <w:r>
        <w:rPr>
          <w:rFonts w:ascii="Times New Roman" w:hAnsi="Times New Roman" w:cs="Times New Roman"/>
        </w:rPr>
        <w:t>元的股份，投资者所持股份占本行重组后股份总数的</w:t>
      </w:r>
      <w:r>
        <w:rPr>
          <w:rFonts w:ascii="Times New Roman" w:hAnsi="Times New Roman" w:cs="Times New Roman"/>
        </w:rPr>
        <w:t>85.5888%</w:t>
      </w:r>
      <w:r>
        <w:rPr>
          <w:rFonts w:ascii="Times New Roman" w:hAnsi="Times New Roman" w:cs="Times New Roman"/>
        </w:rPr>
        <w:t>。</w:t>
      </w:r>
    </w:p>
    <w:p w14:paraId="0030D5B7" w14:textId="77777777" w:rsidR="00DE1B44" w:rsidRDefault="00D40582">
      <w:pPr>
        <w:spacing w:before="120"/>
        <w:ind w:firstLine="480"/>
        <w:rPr>
          <w:rFonts w:ascii="Times New Roman" w:hAnsi="Times New Roman" w:cs="Times New Roman"/>
        </w:rPr>
      </w:pPr>
      <w:r>
        <w:rPr>
          <w:rFonts w:ascii="Times New Roman" w:hAnsi="Times New Roman" w:cs="Times New Roman"/>
        </w:rPr>
        <w:t>2007</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29</w:t>
      </w:r>
      <w:r>
        <w:rPr>
          <w:rFonts w:ascii="Times New Roman" w:hAnsi="Times New Roman" w:cs="Times New Roman"/>
        </w:rPr>
        <w:t>日，中国银监会以《中国银监会关于广东发展银行变更注册资本的批复》</w:t>
      </w:r>
      <w:r>
        <w:rPr>
          <w:rFonts w:ascii="Times New Roman" w:hAnsi="Times New Roman" w:cs="Times New Roman" w:hint="eastAsia"/>
        </w:rPr>
        <w:t>（</w:t>
      </w:r>
      <w:proofErr w:type="gramStart"/>
      <w:r>
        <w:rPr>
          <w:rFonts w:ascii="Times New Roman" w:hAnsi="Times New Roman" w:cs="Times New Roman"/>
        </w:rPr>
        <w:t>银监复〔</w:t>
      </w:r>
      <w:r>
        <w:rPr>
          <w:rFonts w:ascii="Times New Roman" w:hAnsi="Times New Roman" w:cs="Times New Roman"/>
        </w:rPr>
        <w:t>2007</w:t>
      </w:r>
      <w:r>
        <w:rPr>
          <w:rFonts w:ascii="Times New Roman" w:hAnsi="Times New Roman" w:cs="Times New Roman"/>
        </w:rPr>
        <w:t>〕</w:t>
      </w:r>
      <w:proofErr w:type="gramEnd"/>
      <w:r>
        <w:rPr>
          <w:rFonts w:ascii="Times New Roman" w:hAnsi="Times New Roman" w:cs="Times New Roman"/>
        </w:rPr>
        <w:t>624</w:t>
      </w:r>
      <w:r>
        <w:rPr>
          <w:rFonts w:ascii="Times New Roman" w:hAnsi="Times New Roman" w:cs="Times New Roman"/>
        </w:rPr>
        <w:t>号</w:t>
      </w:r>
      <w:r>
        <w:rPr>
          <w:rFonts w:ascii="Times New Roman" w:hAnsi="Times New Roman" w:cs="Times New Roman" w:hint="eastAsia"/>
        </w:rPr>
        <w:t>）</w:t>
      </w:r>
      <w:r>
        <w:rPr>
          <w:rFonts w:ascii="Times New Roman" w:hAnsi="Times New Roman" w:cs="Times New Roman"/>
        </w:rPr>
        <w:t>，同意本行将注册资本由</w:t>
      </w:r>
      <w:r>
        <w:rPr>
          <w:rFonts w:ascii="Times New Roman" w:hAnsi="Times New Roman" w:cs="Times New Roman"/>
        </w:rPr>
        <w:t>358,565.86</w:t>
      </w:r>
      <w:r>
        <w:rPr>
          <w:rFonts w:ascii="Times New Roman" w:hAnsi="Times New Roman" w:cs="Times New Roman"/>
        </w:rPr>
        <w:t>万元变更为</w:t>
      </w:r>
      <w:r>
        <w:rPr>
          <w:rFonts w:ascii="Times New Roman" w:hAnsi="Times New Roman" w:cs="Times New Roman"/>
        </w:rPr>
        <w:t>1,140,842.2597</w:t>
      </w:r>
      <w:r>
        <w:rPr>
          <w:rFonts w:ascii="Times New Roman" w:hAnsi="Times New Roman" w:cs="Times New Roman"/>
        </w:rPr>
        <w:t>万元。</w:t>
      </w:r>
    </w:p>
    <w:p w14:paraId="6C837A0F" w14:textId="77777777" w:rsidR="00DE1B44" w:rsidRDefault="00D40582">
      <w:pPr>
        <w:spacing w:before="120"/>
        <w:ind w:firstLine="480"/>
        <w:rPr>
          <w:rFonts w:ascii="Times New Roman" w:hAnsi="Times New Roman" w:cs="Times New Roman"/>
        </w:rPr>
      </w:pPr>
      <w:r>
        <w:rPr>
          <w:rFonts w:ascii="Times New Roman" w:hAnsi="Times New Roman" w:cs="Times New Roman"/>
        </w:rPr>
        <w:lastRenderedPageBreak/>
        <w:t>2008</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4</w:t>
      </w:r>
      <w:r>
        <w:rPr>
          <w:rFonts w:ascii="Times New Roman" w:hAnsi="Times New Roman" w:cs="Times New Roman"/>
        </w:rPr>
        <w:t>日，广东省工商行政管理局正式核准本行上述增资扩股及注册资本的变更登记。</w:t>
      </w:r>
    </w:p>
    <w:p w14:paraId="0AEE9494" w14:textId="77777777" w:rsidR="00DE1B44" w:rsidRDefault="00D40582">
      <w:pPr>
        <w:spacing w:before="120"/>
        <w:ind w:firstLine="480"/>
        <w:rPr>
          <w:rFonts w:ascii="Times New Roman" w:hAnsi="Times New Roman" w:cs="Times New Roman"/>
        </w:rPr>
      </w:pPr>
      <w:r>
        <w:rPr>
          <w:rFonts w:ascii="Times New Roman" w:hAnsi="Times New Roman" w:cs="Times New Roman"/>
        </w:rPr>
        <w:t>2009</w:t>
      </w:r>
      <w:r>
        <w:rPr>
          <w:rFonts w:ascii="Times New Roman" w:hAnsi="Times New Roman" w:cs="Times New Roman"/>
        </w:rPr>
        <w:t>年，本行实施了</w:t>
      </w:r>
      <w:r>
        <w:rPr>
          <w:rFonts w:ascii="Times New Roman" w:hAnsi="Times New Roman" w:cs="Times New Roman"/>
        </w:rPr>
        <w:t>2008</w:t>
      </w:r>
      <w:r>
        <w:rPr>
          <w:rFonts w:ascii="Times New Roman" w:hAnsi="Times New Roman" w:cs="Times New Roman"/>
        </w:rPr>
        <w:t>年度利润分配方案，以总股本</w:t>
      </w:r>
      <w:r>
        <w:rPr>
          <w:rFonts w:ascii="Times New Roman" w:hAnsi="Times New Roman" w:cs="Times New Roman"/>
        </w:rPr>
        <w:t>11,408,422,597</w:t>
      </w:r>
      <w:r>
        <w:rPr>
          <w:rFonts w:ascii="Times New Roman" w:hAnsi="Times New Roman" w:cs="Times New Roman"/>
        </w:rPr>
        <w:t>股为基数，按每</w:t>
      </w:r>
      <w:r>
        <w:rPr>
          <w:rFonts w:ascii="Times New Roman" w:hAnsi="Times New Roman" w:cs="Times New Roman"/>
        </w:rPr>
        <w:t>10</w:t>
      </w:r>
      <w:r>
        <w:rPr>
          <w:rFonts w:ascii="Times New Roman" w:hAnsi="Times New Roman" w:cs="Times New Roman"/>
        </w:rPr>
        <w:t>股转增</w:t>
      </w:r>
      <w:r>
        <w:rPr>
          <w:rFonts w:ascii="Times New Roman" w:hAnsi="Times New Roman" w:cs="Times New Roman"/>
        </w:rPr>
        <w:t>0.5</w:t>
      </w:r>
      <w:r>
        <w:rPr>
          <w:rFonts w:ascii="Times New Roman" w:hAnsi="Times New Roman" w:cs="Times New Roman"/>
        </w:rPr>
        <w:t>股的比例，以未分配利润向</w:t>
      </w:r>
      <w:r>
        <w:rPr>
          <w:rFonts w:ascii="Times New Roman" w:hAnsi="Times New Roman" w:cs="Times New Roman"/>
        </w:rPr>
        <w:t>2009</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w:t>
      </w:r>
      <w:r>
        <w:rPr>
          <w:rFonts w:ascii="Times New Roman" w:hAnsi="Times New Roman" w:cs="Times New Roman"/>
        </w:rPr>
        <w:t>3</w:t>
      </w:r>
      <w:r>
        <w:rPr>
          <w:rFonts w:ascii="Times New Roman" w:hAnsi="Times New Roman" w:cs="Times New Roman"/>
        </w:rPr>
        <w:t>日在册的股东转增股份总额</w:t>
      </w:r>
      <w:r>
        <w:rPr>
          <w:rFonts w:ascii="Times New Roman" w:hAnsi="Times New Roman" w:cs="Times New Roman"/>
        </w:rPr>
        <w:t>570,421,130</w:t>
      </w:r>
      <w:r>
        <w:rPr>
          <w:rFonts w:ascii="Times New Roman" w:hAnsi="Times New Roman" w:cs="Times New Roman"/>
        </w:rPr>
        <w:t>股，每股面值</w:t>
      </w:r>
      <w:r>
        <w:rPr>
          <w:rFonts w:ascii="Times New Roman" w:hAnsi="Times New Roman" w:cs="Times New Roman"/>
        </w:rPr>
        <w:t>1</w:t>
      </w:r>
      <w:r>
        <w:rPr>
          <w:rFonts w:ascii="Times New Roman" w:hAnsi="Times New Roman" w:cs="Times New Roman"/>
        </w:rPr>
        <w:t>元，合计增加实收股本</w:t>
      </w:r>
      <w:r>
        <w:rPr>
          <w:rFonts w:ascii="Times New Roman" w:hAnsi="Times New Roman" w:cs="Times New Roman"/>
        </w:rPr>
        <w:t>570,421,130</w:t>
      </w:r>
      <w:r>
        <w:rPr>
          <w:rFonts w:ascii="Times New Roman" w:hAnsi="Times New Roman" w:cs="Times New Roman"/>
        </w:rPr>
        <w:t>元，总股本由</w:t>
      </w:r>
      <w:r>
        <w:rPr>
          <w:rFonts w:ascii="Times New Roman" w:hAnsi="Times New Roman" w:cs="Times New Roman"/>
        </w:rPr>
        <w:t>11,408,422,597</w:t>
      </w:r>
      <w:r>
        <w:rPr>
          <w:rFonts w:ascii="Times New Roman" w:hAnsi="Times New Roman" w:cs="Times New Roman"/>
        </w:rPr>
        <w:t>股增加到</w:t>
      </w:r>
      <w:r>
        <w:rPr>
          <w:rFonts w:ascii="Times New Roman" w:hAnsi="Times New Roman" w:cs="Times New Roman"/>
        </w:rPr>
        <w:t>11,978,843,727</w:t>
      </w:r>
      <w:r>
        <w:rPr>
          <w:rFonts w:ascii="Times New Roman" w:hAnsi="Times New Roman" w:cs="Times New Roman"/>
        </w:rPr>
        <w:t>股。</w:t>
      </w:r>
      <w:r>
        <w:rPr>
          <w:rFonts w:ascii="Times New Roman" w:hAnsi="Times New Roman" w:cs="Times New Roman" w:hint="eastAsia"/>
        </w:rPr>
        <w:t>中国银监会以</w:t>
      </w:r>
      <w:r>
        <w:rPr>
          <w:rFonts w:ascii="Times New Roman" w:hAnsi="Times New Roman" w:cs="Times New Roman"/>
        </w:rPr>
        <w:t>《中国银监会关于广东发展银行变更注册资本及修改章程部分条款的批复》</w:t>
      </w:r>
      <w:r>
        <w:rPr>
          <w:rFonts w:ascii="Times New Roman" w:hAnsi="Times New Roman" w:cs="Times New Roman" w:hint="eastAsia"/>
        </w:rPr>
        <w:t>（</w:t>
      </w:r>
      <w:proofErr w:type="gramStart"/>
      <w:r>
        <w:rPr>
          <w:rFonts w:ascii="Times New Roman" w:hAnsi="Times New Roman" w:cs="Times New Roman"/>
        </w:rPr>
        <w:t>银监复〔</w:t>
      </w:r>
      <w:r>
        <w:rPr>
          <w:rFonts w:ascii="Times New Roman" w:hAnsi="Times New Roman" w:cs="Times New Roman"/>
        </w:rPr>
        <w:t>2010</w:t>
      </w:r>
      <w:r>
        <w:rPr>
          <w:rFonts w:ascii="Times New Roman" w:hAnsi="Times New Roman" w:cs="Times New Roman"/>
        </w:rPr>
        <w:t>〕</w:t>
      </w:r>
      <w:proofErr w:type="gramEnd"/>
      <w:r>
        <w:rPr>
          <w:rFonts w:ascii="Times New Roman" w:hAnsi="Times New Roman" w:cs="Times New Roman"/>
        </w:rPr>
        <w:t>131</w:t>
      </w:r>
      <w:r>
        <w:rPr>
          <w:rFonts w:ascii="Times New Roman" w:hAnsi="Times New Roman" w:cs="Times New Roman"/>
        </w:rPr>
        <w:t>号</w:t>
      </w:r>
      <w:r>
        <w:rPr>
          <w:rFonts w:ascii="Times New Roman" w:hAnsi="Times New Roman" w:cs="Times New Roman" w:hint="eastAsia"/>
        </w:rPr>
        <w:t>）</w:t>
      </w:r>
      <w:r>
        <w:rPr>
          <w:rFonts w:ascii="Times New Roman" w:hAnsi="Times New Roman" w:cs="Times New Roman"/>
        </w:rPr>
        <w:t>，同意本行将注册资本由人民币</w:t>
      </w:r>
      <w:r>
        <w:rPr>
          <w:rFonts w:ascii="Times New Roman" w:hAnsi="Times New Roman" w:cs="Times New Roman"/>
        </w:rPr>
        <w:t>11,408,422,597</w:t>
      </w:r>
      <w:r>
        <w:rPr>
          <w:rFonts w:ascii="Times New Roman" w:hAnsi="Times New Roman" w:cs="Times New Roman"/>
        </w:rPr>
        <w:t>元变更为人民币</w:t>
      </w:r>
      <w:r>
        <w:rPr>
          <w:rFonts w:ascii="Times New Roman" w:hAnsi="Times New Roman" w:cs="Times New Roman"/>
        </w:rPr>
        <w:t>11,978,843,727</w:t>
      </w:r>
      <w:r>
        <w:rPr>
          <w:rFonts w:ascii="Times New Roman" w:hAnsi="Times New Roman" w:cs="Times New Roman"/>
        </w:rPr>
        <w:t>元</w:t>
      </w:r>
      <w:r>
        <w:rPr>
          <w:rFonts w:ascii="Times New Roman" w:hAnsi="Times New Roman" w:cs="Times New Roman" w:hint="eastAsia"/>
        </w:rPr>
        <w:t>。</w:t>
      </w:r>
      <w:r>
        <w:rPr>
          <w:rFonts w:ascii="Times New Roman" w:hAnsi="Times New Roman" w:cs="Times New Roman"/>
        </w:rPr>
        <w:t>2010</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广东省工商行政管理局正式核准本行上述增资扩股及注册资本的变更登记。</w:t>
      </w:r>
      <w:r>
        <w:rPr>
          <w:rFonts w:ascii="Times New Roman" w:hAnsi="Times New Roman" w:cs="Times New Roman"/>
        </w:rPr>
        <w:t>2010</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5</w:t>
      </w:r>
      <w:r>
        <w:rPr>
          <w:rFonts w:ascii="Times New Roman" w:hAnsi="Times New Roman" w:cs="Times New Roman"/>
        </w:rPr>
        <w:t>日，中国银监会批复同意国家电网将所持本行</w:t>
      </w:r>
      <w:r>
        <w:rPr>
          <w:rFonts w:ascii="Times New Roman" w:hAnsi="Times New Roman" w:cs="Times New Roman"/>
        </w:rPr>
        <w:t>20%</w:t>
      </w:r>
      <w:r>
        <w:rPr>
          <w:rFonts w:ascii="Times New Roman" w:hAnsi="Times New Roman" w:cs="Times New Roman"/>
        </w:rPr>
        <w:t>股份转让给</w:t>
      </w:r>
      <w:proofErr w:type="gramStart"/>
      <w:r>
        <w:rPr>
          <w:rFonts w:ascii="Times New Roman" w:hAnsi="Times New Roman" w:cs="Times New Roman"/>
        </w:rPr>
        <w:t>国网资产</w:t>
      </w:r>
      <w:proofErr w:type="gramEnd"/>
      <w:r>
        <w:rPr>
          <w:rFonts w:ascii="Times New Roman" w:hAnsi="Times New Roman" w:cs="Times New Roman"/>
        </w:rPr>
        <w:t>管理有限公司。</w:t>
      </w:r>
    </w:p>
    <w:p w14:paraId="7DC6AEAE" w14:textId="77777777" w:rsidR="00DE1B44" w:rsidRDefault="00D40582">
      <w:pPr>
        <w:spacing w:before="120"/>
        <w:ind w:firstLine="480"/>
        <w:rPr>
          <w:rFonts w:ascii="Times New Roman" w:hAnsi="Times New Roman" w:cs="Times New Roman"/>
        </w:rPr>
      </w:pPr>
      <w:r>
        <w:rPr>
          <w:rFonts w:ascii="Times New Roman" w:hAnsi="Times New Roman" w:cs="Times New Roman"/>
        </w:rPr>
        <w:t>2010</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7</w:t>
      </w:r>
      <w:r>
        <w:rPr>
          <w:rFonts w:ascii="Times New Roman" w:hAnsi="Times New Roman" w:cs="Times New Roman"/>
        </w:rPr>
        <w:t>日，本行按照每</w:t>
      </w:r>
      <w:r>
        <w:rPr>
          <w:rFonts w:ascii="Times New Roman" w:hAnsi="Times New Roman" w:cs="Times New Roman"/>
        </w:rPr>
        <w:t>10</w:t>
      </w:r>
      <w:r>
        <w:rPr>
          <w:rFonts w:ascii="Times New Roman" w:hAnsi="Times New Roman" w:cs="Times New Roman"/>
        </w:rPr>
        <w:t>股向股东增发</w:t>
      </w:r>
      <w:r>
        <w:rPr>
          <w:rFonts w:ascii="Times New Roman" w:hAnsi="Times New Roman" w:cs="Times New Roman"/>
        </w:rPr>
        <w:t>2.858</w:t>
      </w:r>
      <w:r>
        <w:rPr>
          <w:rFonts w:ascii="Times New Roman" w:hAnsi="Times New Roman" w:cs="Times New Roman"/>
        </w:rPr>
        <w:t>股的原则，共增发不超过</w:t>
      </w:r>
      <w:r>
        <w:rPr>
          <w:rFonts w:ascii="Times New Roman" w:hAnsi="Times New Roman" w:cs="Times New Roman"/>
        </w:rPr>
        <w:t>3,423,553,537</w:t>
      </w:r>
      <w:r>
        <w:rPr>
          <w:rFonts w:ascii="Times New Roman" w:hAnsi="Times New Roman" w:cs="Times New Roman"/>
        </w:rPr>
        <w:t>股，增发后的公司总股本由</w:t>
      </w:r>
      <w:r>
        <w:rPr>
          <w:rFonts w:ascii="Times New Roman" w:hAnsi="Times New Roman" w:cs="Times New Roman"/>
        </w:rPr>
        <w:t>11,978,843,727</w:t>
      </w:r>
      <w:r>
        <w:rPr>
          <w:rFonts w:ascii="Times New Roman" w:hAnsi="Times New Roman" w:cs="Times New Roman"/>
        </w:rPr>
        <w:t>股增加到</w:t>
      </w:r>
      <w:r>
        <w:rPr>
          <w:rFonts w:ascii="Times New Roman" w:hAnsi="Times New Roman" w:cs="Times New Roman"/>
        </w:rPr>
        <w:t>15,402,397,264</w:t>
      </w:r>
      <w:r>
        <w:rPr>
          <w:rFonts w:ascii="Times New Roman" w:hAnsi="Times New Roman" w:cs="Times New Roman"/>
        </w:rPr>
        <w:t>股。</w:t>
      </w:r>
      <w:r>
        <w:rPr>
          <w:rFonts w:ascii="Times New Roman" w:hAnsi="Times New Roman" w:cs="Times New Roman" w:hint="eastAsia"/>
        </w:rPr>
        <w:t>中国银监会以</w:t>
      </w:r>
      <w:r>
        <w:rPr>
          <w:rFonts w:ascii="Times New Roman" w:hAnsi="Times New Roman" w:cs="Times New Roman"/>
        </w:rPr>
        <w:t>《中国银监会关于广东发展银行变更注册资本及修改公司章程的批复》</w:t>
      </w:r>
      <w:r>
        <w:rPr>
          <w:rFonts w:ascii="Times New Roman" w:hAnsi="Times New Roman" w:cs="Times New Roman" w:hint="eastAsia"/>
        </w:rPr>
        <w:t>（</w:t>
      </w:r>
      <w:proofErr w:type="gramStart"/>
      <w:r>
        <w:rPr>
          <w:rFonts w:ascii="Times New Roman" w:hAnsi="Times New Roman" w:cs="Times New Roman"/>
        </w:rPr>
        <w:t>银监复〔</w:t>
      </w:r>
      <w:r>
        <w:rPr>
          <w:rFonts w:ascii="Times New Roman" w:hAnsi="Times New Roman" w:cs="Times New Roman"/>
        </w:rPr>
        <w:t>2010</w:t>
      </w:r>
      <w:r>
        <w:rPr>
          <w:rFonts w:ascii="Times New Roman" w:hAnsi="Times New Roman" w:cs="Times New Roman"/>
        </w:rPr>
        <w:t>〕</w:t>
      </w:r>
      <w:proofErr w:type="gramEnd"/>
      <w:r>
        <w:rPr>
          <w:rFonts w:ascii="Times New Roman" w:hAnsi="Times New Roman" w:cs="Times New Roman"/>
        </w:rPr>
        <w:t>556</w:t>
      </w:r>
      <w:r>
        <w:rPr>
          <w:rFonts w:ascii="Times New Roman" w:hAnsi="Times New Roman" w:cs="Times New Roman"/>
        </w:rPr>
        <w:t>号</w:t>
      </w:r>
      <w:r>
        <w:rPr>
          <w:rFonts w:ascii="Times New Roman" w:hAnsi="Times New Roman" w:cs="Times New Roman" w:hint="eastAsia"/>
        </w:rPr>
        <w:t>）</w:t>
      </w:r>
      <w:r>
        <w:rPr>
          <w:rFonts w:ascii="Times New Roman" w:hAnsi="Times New Roman" w:cs="Times New Roman"/>
        </w:rPr>
        <w:t>，同意本行将注册资本由人民币</w:t>
      </w:r>
      <w:r>
        <w:rPr>
          <w:rFonts w:ascii="Times New Roman" w:hAnsi="Times New Roman" w:cs="Times New Roman"/>
        </w:rPr>
        <w:t>11,978,843,727</w:t>
      </w:r>
      <w:r>
        <w:rPr>
          <w:rFonts w:ascii="Times New Roman" w:hAnsi="Times New Roman" w:cs="Times New Roman"/>
        </w:rPr>
        <w:t>元变更为人民币</w:t>
      </w:r>
      <w:r>
        <w:rPr>
          <w:rFonts w:ascii="Times New Roman" w:hAnsi="Times New Roman" w:cs="Times New Roman"/>
        </w:rPr>
        <w:t>15,402,397,264</w:t>
      </w:r>
      <w:r>
        <w:rPr>
          <w:rFonts w:ascii="Times New Roman" w:hAnsi="Times New Roman" w:cs="Times New Roman"/>
        </w:rPr>
        <w:t>元</w:t>
      </w:r>
      <w:r>
        <w:rPr>
          <w:rFonts w:ascii="Times New Roman" w:hAnsi="Times New Roman" w:cs="Times New Roman" w:hint="eastAsia"/>
        </w:rPr>
        <w:t>。</w:t>
      </w:r>
      <w:r>
        <w:rPr>
          <w:rFonts w:ascii="Times New Roman" w:hAnsi="Times New Roman" w:cs="Times New Roman"/>
        </w:rPr>
        <w:t>2011</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13</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广东省工商行政管理局正式核准本行上述增资扩股及注册资本的变更登记。</w:t>
      </w:r>
    </w:p>
    <w:p w14:paraId="4A283CE6" w14:textId="77777777" w:rsidR="00DE1B44" w:rsidRDefault="00D40582">
      <w:pPr>
        <w:spacing w:before="120"/>
        <w:ind w:firstLine="480"/>
        <w:rPr>
          <w:rFonts w:ascii="Times New Roman" w:hAnsi="Times New Roman" w:cs="Times New Roman"/>
        </w:rPr>
      </w:pPr>
      <w:r>
        <w:rPr>
          <w:rFonts w:ascii="Times New Roman" w:hAnsi="Times New Roman" w:cs="Times New Roman"/>
        </w:rPr>
        <w:t>2010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月，经国家工商行政管理总局核准，</w:t>
      </w:r>
      <w:proofErr w:type="gramStart"/>
      <w:r>
        <w:rPr>
          <w:rFonts w:ascii="Times New Roman" w:hAnsi="Times New Roman" w:cs="Times New Roman"/>
        </w:rPr>
        <w:t>股东国网资产</w:t>
      </w:r>
      <w:proofErr w:type="gramEnd"/>
      <w:r>
        <w:rPr>
          <w:rFonts w:ascii="Times New Roman" w:hAnsi="Times New Roman" w:cs="Times New Roman"/>
        </w:rPr>
        <w:t>管理有限公司更名为英大国际控股集团有限公司。</w:t>
      </w:r>
      <w:r>
        <w:rPr>
          <w:rFonts w:ascii="Times New Roman" w:hAnsi="Times New Roman" w:cs="Times New Roman"/>
        </w:rPr>
        <w:t>2011</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月，本行将</w:t>
      </w:r>
      <w:r>
        <w:rPr>
          <w:rFonts w:ascii="Times New Roman" w:hAnsi="Times New Roman" w:cs="Times New Roman" w:hint="eastAsia"/>
        </w:rPr>
        <w:t>“</w:t>
      </w:r>
      <w:r>
        <w:rPr>
          <w:rFonts w:ascii="Times New Roman" w:hAnsi="Times New Roman" w:cs="Times New Roman"/>
        </w:rPr>
        <w:t>广东发展银行股份有限公司</w:t>
      </w:r>
      <w:r>
        <w:rPr>
          <w:rFonts w:ascii="Times New Roman" w:hAnsi="Times New Roman" w:cs="Times New Roman" w:hint="eastAsia"/>
        </w:rPr>
        <w:t>”</w:t>
      </w:r>
      <w:r>
        <w:rPr>
          <w:rFonts w:ascii="Times New Roman" w:hAnsi="Times New Roman" w:cs="Times New Roman"/>
        </w:rPr>
        <w:t>更名为</w:t>
      </w:r>
      <w:r>
        <w:rPr>
          <w:rFonts w:ascii="Times New Roman" w:hAnsi="Times New Roman" w:cs="Times New Roman" w:hint="eastAsia"/>
        </w:rPr>
        <w:t>“</w:t>
      </w:r>
      <w:r>
        <w:rPr>
          <w:rFonts w:ascii="Times New Roman" w:hAnsi="Times New Roman" w:cs="Times New Roman"/>
        </w:rPr>
        <w:t>广发银行股份有限公司</w:t>
      </w:r>
      <w:r>
        <w:rPr>
          <w:rFonts w:ascii="Times New Roman" w:hAnsi="Times New Roman" w:cs="Times New Roman" w:hint="eastAsia"/>
        </w:rPr>
        <w:t>”</w:t>
      </w:r>
      <w:r>
        <w:rPr>
          <w:rFonts w:ascii="Times New Roman" w:hAnsi="Times New Roman" w:cs="Times New Roman"/>
        </w:rPr>
        <w:t>。</w:t>
      </w:r>
    </w:p>
    <w:p w14:paraId="04B52EC8" w14:textId="77777777" w:rsidR="00DE1B44" w:rsidRDefault="00D40582">
      <w:pPr>
        <w:spacing w:before="120"/>
        <w:ind w:firstLine="480"/>
        <w:rPr>
          <w:rFonts w:ascii="Times New Roman" w:hAnsi="Times New Roman" w:cs="Times New Roman"/>
        </w:rPr>
      </w:pPr>
      <w:r>
        <w:rPr>
          <w:rFonts w:ascii="Times New Roman" w:hAnsi="Times New Roman" w:cs="Times New Roman"/>
        </w:rPr>
        <w:t>2012</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月，经国家工商行政管理总局核准，股东英大国际控股集团有限公司更名为国网英大国际控股集团有限公司。</w:t>
      </w:r>
    </w:p>
    <w:p w14:paraId="35D05F5C" w14:textId="77777777" w:rsidR="00DE1B44" w:rsidRDefault="00D40582">
      <w:pPr>
        <w:spacing w:before="120"/>
        <w:ind w:firstLine="480"/>
        <w:rPr>
          <w:rFonts w:ascii="Times New Roman" w:hAnsi="Times New Roman" w:cs="Times New Roman"/>
        </w:rPr>
      </w:pPr>
      <w:r>
        <w:rPr>
          <w:rFonts w:ascii="Times New Roman" w:hAnsi="Times New Roman" w:cs="Times New Roman"/>
        </w:rPr>
        <w:t>截至</w:t>
      </w:r>
      <w:r>
        <w:rPr>
          <w:rFonts w:ascii="Times New Roman" w:hAnsi="Times New Roman" w:cs="Times New Roman"/>
        </w:rPr>
        <w:t>2015</w:t>
      </w:r>
      <w:r>
        <w:rPr>
          <w:rFonts w:ascii="Times New Roman" w:hAnsi="Times New Roman" w:cs="Times New Roman"/>
        </w:rPr>
        <w:t>年末，花旗集团、中国人寿保险股份有限公司、</w:t>
      </w:r>
      <w:proofErr w:type="gramStart"/>
      <w:r>
        <w:rPr>
          <w:rFonts w:ascii="Times New Roman" w:hAnsi="Times New Roman" w:cs="Times New Roman"/>
        </w:rPr>
        <w:t>国网英</w:t>
      </w:r>
      <w:proofErr w:type="gramEnd"/>
      <w:r>
        <w:rPr>
          <w:rFonts w:ascii="Times New Roman" w:hAnsi="Times New Roman" w:cs="Times New Roman"/>
        </w:rPr>
        <w:t>大国际控股集团有限公司、中</w:t>
      </w:r>
      <w:proofErr w:type="gramStart"/>
      <w:r>
        <w:rPr>
          <w:rFonts w:ascii="Times New Roman" w:hAnsi="Times New Roman" w:cs="Times New Roman"/>
        </w:rPr>
        <w:t>信</w:t>
      </w:r>
      <w:proofErr w:type="gramEnd"/>
      <w:r>
        <w:rPr>
          <w:rFonts w:ascii="Times New Roman" w:hAnsi="Times New Roman" w:cs="Times New Roman"/>
        </w:rPr>
        <w:t>信托有限责任公司分别持有本行股份</w:t>
      </w:r>
      <w:r>
        <w:rPr>
          <w:rFonts w:ascii="Times New Roman" w:hAnsi="Times New Roman" w:cs="Times New Roman"/>
        </w:rPr>
        <w:t>3,080,479,452</w:t>
      </w:r>
      <w:r>
        <w:rPr>
          <w:rFonts w:ascii="Times New Roman" w:hAnsi="Times New Roman" w:cs="Times New Roman"/>
        </w:rPr>
        <w:t>股，持股比例均为</w:t>
      </w:r>
      <w:r>
        <w:rPr>
          <w:rFonts w:ascii="Times New Roman" w:hAnsi="Times New Roman" w:cs="Times New Roman"/>
        </w:rPr>
        <w:t>20%</w:t>
      </w:r>
      <w:r>
        <w:rPr>
          <w:rFonts w:ascii="Times New Roman" w:hAnsi="Times New Roman" w:cs="Times New Roman"/>
        </w:rPr>
        <w:t>。其余股东合计持股</w:t>
      </w:r>
      <w:r>
        <w:rPr>
          <w:rFonts w:ascii="Times New Roman" w:hAnsi="Times New Roman" w:cs="Times New Roman"/>
        </w:rPr>
        <w:t>20%</w:t>
      </w:r>
      <w:r>
        <w:rPr>
          <w:rFonts w:ascii="Times New Roman" w:hAnsi="Times New Roman" w:cs="Times New Roman"/>
        </w:rPr>
        <w:t>。</w:t>
      </w:r>
    </w:p>
    <w:p w14:paraId="15E728D0" w14:textId="77777777" w:rsidR="00DE1B44" w:rsidRDefault="00D40582">
      <w:pPr>
        <w:spacing w:before="120"/>
        <w:ind w:firstLine="480"/>
        <w:rPr>
          <w:rFonts w:ascii="Times New Roman" w:hAnsi="Times New Roman" w:cs="Times New Roman"/>
        </w:rPr>
      </w:pPr>
      <w:proofErr w:type="gramStart"/>
      <w:r>
        <w:rPr>
          <w:rFonts w:ascii="Times New Roman" w:hAnsi="Times New Roman" w:cs="Times New Roman"/>
        </w:rPr>
        <w:t>经银监</w:t>
      </w:r>
      <w:proofErr w:type="gramEnd"/>
      <w:r>
        <w:rPr>
          <w:rFonts w:ascii="Times New Roman" w:hAnsi="Times New Roman" w:cs="Times New Roman"/>
        </w:rPr>
        <w:t>批复同意</w:t>
      </w:r>
      <w:r>
        <w:rPr>
          <w:rFonts w:ascii="Times New Roman" w:hAnsi="Times New Roman" w:cs="Times New Roman" w:hint="eastAsia"/>
        </w:rPr>
        <w:t>（</w:t>
      </w:r>
      <w:proofErr w:type="gramStart"/>
      <w:r>
        <w:rPr>
          <w:rFonts w:ascii="Times New Roman" w:hAnsi="Times New Roman" w:cs="Times New Roman"/>
        </w:rPr>
        <w:t>银监复〔</w:t>
      </w:r>
      <w:r>
        <w:rPr>
          <w:rFonts w:ascii="Times New Roman" w:hAnsi="Times New Roman" w:cs="Times New Roman"/>
        </w:rPr>
        <w:t>2016</w:t>
      </w:r>
      <w:r>
        <w:rPr>
          <w:rFonts w:ascii="Times New Roman" w:hAnsi="Times New Roman" w:cs="Times New Roman"/>
        </w:rPr>
        <w:t>〕</w:t>
      </w:r>
      <w:proofErr w:type="gramEnd"/>
      <w:r>
        <w:rPr>
          <w:rFonts w:ascii="Times New Roman" w:hAnsi="Times New Roman" w:cs="Times New Roman"/>
        </w:rPr>
        <w:t>232</w:t>
      </w:r>
      <w:r>
        <w:rPr>
          <w:rFonts w:ascii="Times New Roman" w:hAnsi="Times New Roman" w:cs="Times New Roman"/>
        </w:rPr>
        <w:t>号文</w:t>
      </w:r>
      <w:r>
        <w:rPr>
          <w:rFonts w:ascii="Times New Roman" w:hAnsi="Times New Roman" w:cs="Times New Roman" w:hint="eastAsia"/>
        </w:rPr>
        <w:t>）</w:t>
      </w:r>
      <w:r>
        <w:rPr>
          <w:rFonts w:ascii="Times New Roman" w:hAnsi="Times New Roman" w:cs="Times New Roman"/>
        </w:rPr>
        <w:t>，本行已于</w:t>
      </w:r>
      <w:r>
        <w:rPr>
          <w:rFonts w:ascii="Times New Roman" w:hAnsi="Times New Roman" w:cs="Times New Roman"/>
        </w:rPr>
        <w:t>2016</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w:t>
      </w:r>
      <w:r>
        <w:rPr>
          <w:rFonts w:ascii="Times New Roman" w:hAnsi="Times New Roman" w:cs="Times New Roman"/>
        </w:rPr>
        <w:t>29</w:t>
      </w:r>
      <w:r>
        <w:rPr>
          <w:rFonts w:ascii="Times New Roman" w:hAnsi="Times New Roman" w:cs="Times New Roman"/>
        </w:rPr>
        <w:t>日将花旗集团所持本行</w:t>
      </w:r>
      <w:r>
        <w:rPr>
          <w:rFonts w:ascii="Times New Roman" w:hAnsi="Times New Roman" w:cs="Times New Roman"/>
        </w:rPr>
        <w:t>3,080,479,452</w:t>
      </w:r>
      <w:r>
        <w:rPr>
          <w:rFonts w:ascii="Times New Roman" w:hAnsi="Times New Roman" w:cs="Times New Roman"/>
        </w:rPr>
        <w:t>股、</w:t>
      </w:r>
      <w:r>
        <w:rPr>
          <w:rFonts w:ascii="Times New Roman" w:hAnsi="Times New Roman" w:cs="Times New Roman"/>
        </w:rPr>
        <w:t>IBM Credit LLC</w:t>
      </w:r>
      <w:r>
        <w:rPr>
          <w:rFonts w:ascii="Times New Roman" w:hAnsi="Times New Roman" w:cs="Times New Roman"/>
        </w:rPr>
        <w:t>所持本行</w:t>
      </w:r>
      <w:r>
        <w:rPr>
          <w:rFonts w:ascii="Times New Roman" w:hAnsi="Times New Roman" w:cs="Times New Roman"/>
        </w:rPr>
        <w:t>567,797,193</w:t>
      </w:r>
      <w:r>
        <w:rPr>
          <w:rFonts w:ascii="Times New Roman" w:hAnsi="Times New Roman" w:cs="Times New Roman"/>
        </w:rPr>
        <w:t>股全部过户至中国人寿保险股份有限公司名下。</w:t>
      </w:r>
    </w:p>
    <w:p w14:paraId="6015659D" w14:textId="77777777" w:rsidR="00DE1B44" w:rsidRDefault="00D40582">
      <w:pPr>
        <w:spacing w:before="120"/>
        <w:ind w:firstLine="480"/>
        <w:rPr>
          <w:rFonts w:ascii="Times New Roman" w:hAnsi="Times New Roman" w:cs="Times New Roman"/>
        </w:rPr>
      </w:pPr>
      <w:r>
        <w:rPr>
          <w:rFonts w:ascii="Times New Roman" w:hAnsi="Times New Roman" w:cs="Times New Roman"/>
        </w:rPr>
        <w:lastRenderedPageBreak/>
        <w:t>2018</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月，根据《中国银保监会关于广发银行股份有限公司股份增发及核准股东资格的批复》</w:t>
      </w:r>
      <w:r>
        <w:rPr>
          <w:rFonts w:ascii="Times New Roman" w:hAnsi="Times New Roman" w:cs="Times New Roman" w:hint="eastAsia"/>
        </w:rPr>
        <w:t>（</w:t>
      </w:r>
      <w:r>
        <w:rPr>
          <w:rFonts w:ascii="Times New Roman" w:hAnsi="Times New Roman" w:cs="Times New Roman"/>
        </w:rPr>
        <w:t>银</w:t>
      </w:r>
      <w:proofErr w:type="gramStart"/>
      <w:r>
        <w:rPr>
          <w:rFonts w:ascii="Times New Roman" w:hAnsi="Times New Roman" w:cs="Times New Roman"/>
        </w:rPr>
        <w:t>保监复〔</w:t>
      </w:r>
      <w:r>
        <w:rPr>
          <w:rFonts w:ascii="Times New Roman" w:hAnsi="Times New Roman" w:cs="Times New Roman"/>
        </w:rPr>
        <w:t>2018</w:t>
      </w:r>
      <w:r>
        <w:rPr>
          <w:rFonts w:ascii="Times New Roman" w:hAnsi="Times New Roman" w:cs="Times New Roman"/>
        </w:rPr>
        <w:t>〕</w:t>
      </w:r>
      <w:proofErr w:type="gramEnd"/>
      <w:r>
        <w:rPr>
          <w:rFonts w:ascii="Times New Roman" w:hAnsi="Times New Roman" w:cs="Times New Roman"/>
        </w:rPr>
        <w:t>212</w:t>
      </w:r>
      <w:r>
        <w:rPr>
          <w:rFonts w:ascii="Times New Roman" w:hAnsi="Times New Roman" w:cs="Times New Roman"/>
        </w:rPr>
        <w:t>号</w:t>
      </w:r>
      <w:r>
        <w:rPr>
          <w:rFonts w:ascii="Times New Roman" w:hAnsi="Times New Roman" w:cs="Times New Roman" w:hint="eastAsia"/>
        </w:rPr>
        <w:t>）</w:t>
      </w:r>
      <w:r>
        <w:rPr>
          <w:rFonts w:ascii="Times New Roman" w:hAnsi="Times New Roman" w:cs="Times New Roman"/>
        </w:rPr>
        <w:t>和中国证监会《关于核准广发银行股份有限公司定向发行股票的批复》</w:t>
      </w:r>
      <w:r>
        <w:rPr>
          <w:rFonts w:ascii="Times New Roman" w:hAnsi="Times New Roman" w:cs="Times New Roman" w:hint="eastAsia"/>
        </w:rPr>
        <w:t>（</w:t>
      </w:r>
      <w:r>
        <w:rPr>
          <w:rFonts w:ascii="Times New Roman" w:hAnsi="Times New Roman" w:cs="Times New Roman"/>
        </w:rPr>
        <w:t>证监许可〔</w:t>
      </w:r>
      <w:r>
        <w:rPr>
          <w:rFonts w:ascii="Times New Roman" w:hAnsi="Times New Roman" w:cs="Times New Roman"/>
        </w:rPr>
        <w:t>2018</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号</w:t>
      </w:r>
      <w:r>
        <w:rPr>
          <w:rFonts w:ascii="Times New Roman" w:hAnsi="Times New Roman" w:cs="Times New Roman" w:hint="eastAsia"/>
        </w:rPr>
        <w:t>）</w:t>
      </w:r>
      <w:r>
        <w:rPr>
          <w:rFonts w:ascii="Times New Roman" w:hAnsi="Times New Roman" w:cs="Times New Roman"/>
        </w:rPr>
        <w:t>，本行定向发行</w:t>
      </w:r>
      <w:r>
        <w:rPr>
          <w:rFonts w:ascii="Times New Roman" w:hAnsi="Times New Roman" w:cs="Times New Roman"/>
        </w:rPr>
        <w:t>4,284,799,008</w:t>
      </w:r>
      <w:r>
        <w:rPr>
          <w:rFonts w:ascii="Times New Roman" w:hAnsi="Times New Roman" w:cs="Times New Roman"/>
        </w:rPr>
        <w:t>股新股，总股本增至</w:t>
      </w:r>
      <w:r>
        <w:rPr>
          <w:rFonts w:ascii="Times New Roman" w:hAnsi="Times New Roman" w:cs="Times New Roman"/>
        </w:rPr>
        <w:t>19,687,196,272</w:t>
      </w:r>
      <w:r>
        <w:rPr>
          <w:rFonts w:ascii="Times New Roman" w:hAnsi="Times New Roman" w:cs="Times New Roman"/>
        </w:rPr>
        <w:t>股，已经广东南方天元会计师事务所</w:t>
      </w:r>
      <w:r>
        <w:rPr>
          <w:rFonts w:ascii="Times New Roman" w:hAnsi="Times New Roman" w:cs="Times New Roman" w:hint="eastAsia"/>
        </w:rPr>
        <w:t>（</w:t>
      </w:r>
      <w:r>
        <w:rPr>
          <w:rFonts w:ascii="Times New Roman" w:hAnsi="Times New Roman" w:cs="Times New Roman"/>
        </w:rPr>
        <w:t>普通合伙</w:t>
      </w:r>
      <w:r>
        <w:rPr>
          <w:rFonts w:ascii="Times New Roman" w:hAnsi="Times New Roman" w:cs="Times New Roman" w:hint="eastAsia"/>
        </w:rPr>
        <w:t>）</w:t>
      </w:r>
      <w:r>
        <w:rPr>
          <w:rFonts w:ascii="Times New Roman" w:hAnsi="Times New Roman" w:cs="Times New Roman"/>
        </w:rPr>
        <w:t>验资无误</w:t>
      </w:r>
      <w:r>
        <w:rPr>
          <w:rFonts w:ascii="Times New Roman" w:hAnsi="Times New Roman" w:cs="Times New Roman" w:hint="eastAsia"/>
        </w:rPr>
        <w:t>（</w:t>
      </w:r>
      <w:r>
        <w:rPr>
          <w:rFonts w:ascii="Times New Roman" w:hAnsi="Times New Roman" w:cs="Times New Roman"/>
        </w:rPr>
        <w:t>南方天元验字〔</w:t>
      </w:r>
      <w:r>
        <w:rPr>
          <w:rFonts w:ascii="Times New Roman" w:hAnsi="Times New Roman" w:cs="Times New Roman"/>
        </w:rPr>
        <w:t>2018</w:t>
      </w:r>
      <w:r>
        <w:rPr>
          <w:rFonts w:ascii="Times New Roman" w:hAnsi="Times New Roman" w:cs="Times New Roman"/>
        </w:rPr>
        <w:t>〕</w:t>
      </w:r>
      <w:r>
        <w:rPr>
          <w:rFonts w:ascii="Times New Roman" w:hAnsi="Times New Roman" w:cs="Times New Roman"/>
        </w:rPr>
        <w:t>14</w:t>
      </w:r>
      <w:r>
        <w:rPr>
          <w:rFonts w:ascii="Times New Roman" w:hAnsi="Times New Roman" w:cs="Times New Roman"/>
        </w:rPr>
        <w:t>号</w:t>
      </w:r>
      <w:r>
        <w:rPr>
          <w:rFonts w:ascii="Times New Roman" w:hAnsi="Times New Roman" w:cs="Times New Roman" w:hint="eastAsia"/>
        </w:rPr>
        <w:t>）</w:t>
      </w:r>
      <w:r>
        <w:rPr>
          <w:rFonts w:ascii="Times New Roman" w:hAnsi="Times New Roman" w:cs="Times New Roman"/>
        </w:rPr>
        <w:t>。本次股份增发，中国人寿保险股份有限公司等</w:t>
      </w:r>
      <w:r>
        <w:rPr>
          <w:rFonts w:ascii="Times New Roman" w:hAnsi="Times New Roman" w:cs="Times New Roman"/>
        </w:rPr>
        <w:t>52</w:t>
      </w:r>
      <w:r>
        <w:rPr>
          <w:rFonts w:ascii="Times New Roman" w:hAnsi="Times New Roman" w:cs="Times New Roman"/>
        </w:rPr>
        <w:t>家在册股东合计认购</w:t>
      </w:r>
      <w:r>
        <w:rPr>
          <w:rFonts w:ascii="Times New Roman" w:hAnsi="Times New Roman" w:cs="Times New Roman"/>
        </w:rPr>
        <w:t>1,911,073,987</w:t>
      </w:r>
      <w:r>
        <w:rPr>
          <w:rFonts w:ascii="Times New Roman" w:hAnsi="Times New Roman" w:cs="Times New Roman"/>
        </w:rPr>
        <w:t>股</w:t>
      </w:r>
      <w:r>
        <w:rPr>
          <w:rFonts w:ascii="Times New Roman" w:hAnsi="Times New Roman" w:cs="Times New Roman" w:hint="eastAsia"/>
        </w:rPr>
        <w:t>；</w:t>
      </w:r>
      <w:r>
        <w:rPr>
          <w:rFonts w:ascii="Times New Roman" w:hAnsi="Times New Roman" w:cs="Times New Roman"/>
        </w:rPr>
        <w:t>江西省高速公路投资集团有限责任公司认购</w:t>
      </w:r>
      <w:r>
        <w:rPr>
          <w:rFonts w:ascii="Times New Roman" w:hAnsi="Times New Roman" w:cs="Times New Roman"/>
        </w:rPr>
        <w:t>1,611,255,772</w:t>
      </w:r>
      <w:r>
        <w:rPr>
          <w:rFonts w:ascii="Times New Roman" w:hAnsi="Times New Roman" w:cs="Times New Roman"/>
        </w:rPr>
        <w:t>股，占本行本次发行后总股本比例为</w:t>
      </w:r>
      <w:r>
        <w:rPr>
          <w:rFonts w:ascii="Times New Roman" w:hAnsi="Times New Roman" w:cs="Times New Roman"/>
        </w:rPr>
        <w:t>8.184%</w:t>
      </w:r>
      <w:r>
        <w:rPr>
          <w:rFonts w:ascii="Times New Roman" w:hAnsi="Times New Roman" w:cs="Times New Roman" w:hint="eastAsia"/>
        </w:rPr>
        <w:t>；</w:t>
      </w:r>
      <w:r>
        <w:rPr>
          <w:rFonts w:ascii="Times New Roman" w:hAnsi="Times New Roman" w:cs="Times New Roman"/>
        </w:rPr>
        <w:t>中航投资控股有限公司认购</w:t>
      </w:r>
      <w:r>
        <w:rPr>
          <w:rFonts w:ascii="Times New Roman" w:hAnsi="Times New Roman" w:cs="Times New Roman"/>
        </w:rPr>
        <w:t>762,469,249</w:t>
      </w:r>
      <w:r>
        <w:rPr>
          <w:rFonts w:ascii="Times New Roman" w:hAnsi="Times New Roman" w:cs="Times New Roman"/>
        </w:rPr>
        <w:t>股，占本行本次发行后总股本比例为</w:t>
      </w:r>
      <w:r>
        <w:rPr>
          <w:rFonts w:ascii="Times New Roman" w:hAnsi="Times New Roman" w:cs="Times New Roman"/>
        </w:rPr>
        <w:t>3.873%</w:t>
      </w:r>
      <w:r>
        <w:rPr>
          <w:rFonts w:ascii="Times New Roman" w:hAnsi="Times New Roman" w:cs="Times New Roman"/>
        </w:rPr>
        <w:t>。</w:t>
      </w:r>
    </w:p>
    <w:p w14:paraId="2FE81EC3" w14:textId="77777777" w:rsidR="00DE1B44" w:rsidRDefault="00D40582">
      <w:pPr>
        <w:spacing w:before="120"/>
        <w:ind w:firstLine="480"/>
        <w:rPr>
          <w:rFonts w:ascii="Times New Roman" w:hAnsi="Times New Roman" w:cs="Times New Roman"/>
        </w:rPr>
      </w:pPr>
      <w:r>
        <w:rPr>
          <w:rFonts w:ascii="Times New Roman" w:hAnsi="Times New Roman" w:cs="Times New Roman"/>
        </w:rPr>
        <w:t>2019</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w:t>
      </w:r>
      <w:r>
        <w:rPr>
          <w:rFonts w:ascii="Times New Roman" w:hAnsi="Times New Roman" w:cs="Times New Roman"/>
        </w:rPr>
        <w:t>23</w:t>
      </w:r>
      <w:r>
        <w:rPr>
          <w:rFonts w:ascii="Times New Roman" w:hAnsi="Times New Roman" w:cs="Times New Roman"/>
        </w:rPr>
        <w:t>日，</w:t>
      </w:r>
      <w:r>
        <w:rPr>
          <w:rFonts w:ascii="Times New Roman" w:hAnsi="Times New Roman" w:cs="Times New Roman" w:hint="eastAsia"/>
        </w:rPr>
        <w:t>中国银保监会以</w:t>
      </w:r>
      <w:r>
        <w:rPr>
          <w:rFonts w:ascii="Times New Roman" w:hAnsi="Times New Roman" w:cs="Times New Roman"/>
        </w:rPr>
        <w:t>《中国银保监会关于广发银行股份有限公司变更注册资本的批复》</w:t>
      </w:r>
      <w:r>
        <w:rPr>
          <w:rFonts w:ascii="Times New Roman" w:hAnsi="Times New Roman" w:cs="Times New Roman" w:hint="eastAsia"/>
        </w:rPr>
        <w:t>（</w:t>
      </w:r>
      <w:proofErr w:type="gramStart"/>
      <w:r>
        <w:rPr>
          <w:rFonts w:ascii="Times New Roman" w:hAnsi="Times New Roman" w:cs="Times New Roman"/>
        </w:rPr>
        <w:t>银监复〔</w:t>
      </w:r>
      <w:r>
        <w:rPr>
          <w:rFonts w:ascii="Times New Roman" w:hAnsi="Times New Roman" w:cs="Times New Roman"/>
        </w:rPr>
        <w:t>2019</w:t>
      </w:r>
      <w:r>
        <w:rPr>
          <w:rFonts w:ascii="Times New Roman" w:hAnsi="Times New Roman" w:cs="Times New Roman"/>
        </w:rPr>
        <w:t>〕</w:t>
      </w:r>
      <w:proofErr w:type="gramEnd"/>
      <w:r>
        <w:rPr>
          <w:rFonts w:ascii="Times New Roman" w:hAnsi="Times New Roman" w:cs="Times New Roman"/>
        </w:rPr>
        <w:t>531</w:t>
      </w:r>
      <w:r>
        <w:rPr>
          <w:rFonts w:ascii="Times New Roman" w:hAnsi="Times New Roman" w:cs="Times New Roman"/>
        </w:rPr>
        <w:t>号</w:t>
      </w:r>
      <w:r>
        <w:rPr>
          <w:rFonts w:ascii="Times New Roman" w:hAnsi="Times New Roman" w:cs="Times New Roman" w:hint="eastAsia"/>
        </w:rPr>
        <w:t>）</w:t>
      </w:r>
      <w:r>
        <w:rPr>
          <w:rFonts w:ascii="Times New Roman" w:hAnsi="Times New Roman" w:cs="Times New Roman"/>
        </w:rPr>
        <w:t>，同意本行将注册资本由人民币</w:t>
      </w:r>
      <w:r>
        <w:rPr>
          <w:rFonts w:ascii="Times New Roman" w:hAnsi="Times New Roman" w:cs="Times New Roman"/>
        </w:rPr>
        <w:t>15,402,397,264</w:t>
      </w:r>
      <w:r>
        <w:rPr>
          <w:rFonts w:ascii="Times New Roman" w:hAnsi="Times New Roman" w:cs="Times New Roman"/>
        </w:rPr>
        <w:t>元增加至</w:t>
      </w:r>
      <w:r>
        <w:rPr>
          <w:rFonts w:ascii="Times New Roman" w:hAnsi="Times New Roman" w:cs="Times New Roman"/>
        </w:rPr>
        <w:t>19,687,196,272</w:t>
      </w:r>
      <w:r>
        <w:rPr>
          <w:rFonts w:ascii="Times New Roman" w:hAnsi="Times New Roman" w:cs="Times New Roman"/>
        </w:rPr>
        <w:t>元</w:t>
      </w:r>
      <w:r>
        <w:rPr>
          <w:rFonts w:ascii="Times New Roman" w:hAnsi="Times New Roman" w:cs="Times New Roman" w:hint="eastAsia"/>
        </w:rPr>
        <w:t>。</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26</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广东省工商行政管理局正式核准本行上述注册资本的变更登记。</w:t>
      </w:r>
    </w:p>
    <w:p w14:paraId="76F0F9CD" w14:textId="77777777" w:rsidR="00DE1B44" w:rsidRDefault="00D40582">
      <w:pPr>
        <w:pStyle w:val="2f0"/>
        <w:spacing w:before="120"/>
        <w:rPr>
          <w:rFonts w:ascii="Times New Roman" w:hAnsi="Times New Roman"/>
        </w:rPr>
      </w:pPr>
      <w:bookmarkStart w:id="42" w:name="_Toc89016901"/>
      <w:r>
        <w:rPr>
          <w:rFonts w:hint="eastAsia"/>
        </w:rPr>
        <w:t>三、</w:t>
      </w:r>
      <w:r>
        <w:rPr>
          <w:rFonts w:ascii="Times New Roman" w:hAnsi="Times New Roman" w:hint="eastAsia"/>
        </w:rPr>
        <w:t>股权结构</w:t>
      </w:r>
      <w:bookmarkEnd w:id="42"/>
    </w:p>
    <w:p w14:paraId="15AC1AF2" w14:textId="77777777" w:rsidR="00DE1B44" w:rsidRDefault="00D40582">
      <w:pPr>
        <w:spacing w:before="120"/>
        <w:ind w:firstLine="480"/>
        <w:rPr>
          <w:rFonts w:ascii="Times New Roman" w:hAnsi="Times New Roman" w:cs="Times New Roman"/>
        </w:rPr>
      </w:pPr>
      <w:r>
        <w:rPr>
          <w:rFonts w:ascii="Times New Roman" w:hAnsi="Times New Roman" w:cs="Times New Roman"/>
        </w:rPr>
        <w:t>截至</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日，本行注册资本</w:t>
      </w:r>
      <w:r>
        <w:rPr>
          <w:rFonts w:ascii="Times New Roman" w:hAnsi="Times New Roman" w:cs="Times New Roman"/>
        </w:rPr>
        <w:t>19,687,196,272</w:t>
      </w:r>
      <w:r>
        <w:rPr>
          <w:rFonts w:ascii="Times New Roman" w:hAnsi="Times New Roman" w:cs="Times New Roman"/>
        </w:rPr>
        <w:t>元</w:t>
      </w:r>
      <w:r>
        <w:rPr>
          <w:rFonts w:ascii="Times New Roman" w:hAnsi="Times New Roman" w:cs="Times New Roman" w:hint="eastAsia"/>
        </w:rPr>
        <w:t>；本行无控股股东或实际控制人；中国人寿保险股份有限公司持有本行</w:t>
      </w:r>
      <w:r>
        <w:rPr>
          <w:rFonts w:ascii="Times New Roman" w:hAnsi="Times New Roman" w:cs="Times New Roman"/>
        </w:rPr>
        <w:t>43.686%</w:t>
      </w:r>
      <w:r>
        <w:rPr>
          <w:rFonts w:ascii="Times New Roman" w:hAnsi="Times New Roman" w:cs="Times New Roman"/>
        </w:rPr>
        <w:t>股份，是本行单一最大股东。</w:t>
      </w:r>
    </w:p>
    <w:p w14:paraId="069277EE" w14:textId="77777777" w:rsidR="00DE1B44" w:rsidRDefault="00D40582">
      <w:pPr>
        <w:spacing w:before="120"/>
        <w:ind w:firstLine="480"/>
        <w:rPr>
          <w:rFonts w:ascii="Times New Roman" w:hAnsi="Times New Roman" w:cs="Times New Roman"/>
        </w:rPr>
      </w:pPr>
      <w:r>
        <w:rPr>
          <w:rFonts w:ascii="Times New Roman" w:hAnsi="Times New Roman" w:cs="Times New Roman"/>
        </w:rPr>
        <w:t>截至</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w:t>
      </w:r>
      <w:r>
        <w:rPr>
          <w:rFonts w:ascii="Times New Roman" w:hAnsi="Times New Roman" w:cs="Times New Roman" w:hint="eastAsia"/>
        </w:rPr>
        <w:t>本行</w:t>
      </w:r>
      <w:r>
        <w:rPr>
          <w:rFonts w:ascii="Times New Roman" w:hAnsi="Times New Roman" w:cs="Times New Roman"/>
        </w:rPr>
        <w:t>前十大股东及持股情况如下</w:t>
      </w:r>
      <w:r>
        <w:rPr>
          <w:rFonts w:ascii="Times New Roman" w:hAnsi="Times New Roman" w:cs="Times New Roman"/>
        </w:rPr>
        <w:t>:</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4549"/>
        <w:gridCol w:w="1901"/>
        <w:gridCol w:w="1799"/>
      </w:tblGrid>
      <w:tr w:rsidR="00DE1B44" w14:paraId="5BC3AA6E" w14:textId="77777777">
        <w:trPr>
          <w:trHeight w:val="397"/>
          <w:tblHeader/>
          <w:jc w:val="center"/>
        </w:trPr>
        <w:tc>
          <w:tcPr>
            <w:tcW w:w="863" w:type="dxa"/>
            <w:vAlign w:val="center"/>
          </w:tcPr>
          <w:p w14:paraId="3C0F99E9" w14:textId="77777777" w:rsidR="00DE1B44" w:rsidRDefault="00D40582">
            <w:pPr>
              <w:spacing w:beforeLines="0" w:before="0" w:line="276" w:lineRule="auto"/>
              <w:ind w:firstLineChars="0" w:firstLin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序号</w:t>
            </w:r>
          </w:p>
        </w:tc>
        <w:tc>
          <w:tcPr>
            <w:tcW w:w="4549" w:type="dxa"/>
            <w:shd w:val="clear" w:color="auto" w:fill="auto"/>
            <w:noWrap/>
            <w:vAlign w:val="center"/>
          </w:tcPr>
          <w:p w14:paraId="3D905F2E" w14:textId="77777777" w:rsidR="00DE1B44" w:rsidRDefault="00D40582">
            <w:pPr>
              <w:spacing w:beforeLines="0" w:before="0" w:line="276" w:lineRule="auto"/>
              <w:ind w:firstLineChars="0" w:firstLin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股东名称</w:t>
            </w:r>
          </w:p>
        </w:tc>
        <w:tc>
          <w:tcPr>
            <w:tcW w:w="1901" w:type="dxa"/>
            <w:shd w:val="clear" w:color="auto" w:fill="auto"/>
            <w:noWrap/>
            <w:vAlign w:val="center"/>
          </w:tcPr>
          <w:p w14:paraId="66A031E3" w14:textId="77777777" w:rsidR="00DE1B44" w:rsidRDefault="00D40582">
            <w:pPr>
              <w:spacing w:beforeLines="0" w:before="0" w:line="276" w:lineRule="auto"/>
              <w:ind w:firstLineChars="0" w:firstLin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持股数量（股）</w:t>
            </w:r>
          </w:p>
        </w:tc>
        <w:tc>
          <w:tcPr>
            <w:tcW w:w="1799" w:type="dxa"/>
            <w:shd w:val="clear" w:color="auto" w:fill="auto"/>
            <w:noWrap/>
            <w:vAlign w:val="center"/>
          </w:tcPr>
          <w:p w14:paraId="2AA6CAED" w14:textId="77777777" w:rsidR="00DE1B44" w:rsidRDefault="00D40582">
            <w:pPr>
              <w:spacing w:beforeLines="0" w:before="0" w:line="276" w:lineRule="auto"/>
              <w:ind w:firstLineChars="0" w:firstLin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持股比例（</w:t>
            </w:r>
            <w:r>
              <w:rPr>
                <w:rFonts w:ascii="Times New Roman" w:hAnsi="Times New Roman" w:cs="Times New Roman"/>
                <w:b/>
                <w:color w:val="000000"/>
                <w:sz w:val="21"/>
                <w:szCs w:val="21"/>
              </w:rPr>
              <w:t>%</w:t>
            </w:r>
            <w:r>
              <w:rPr>
                <w:rFonts w:ascii="Times New Roman" w:hAnsi="Times New Roman" w:cs="Times New Roman"/>
                <w:b/>
                <w:color w:val="000000"/>
                <w:sz w:val="21"/>
                <w:szCs w:val="21"/>
              </w:rPr>
              <w:t>）</w:t>
            </w:r>
          </w:p>
        </w:tc>
      </w:tr>
      <w:tr w:rsidR="00DE1B44" w14:paraId="2990B7D4" w14:textId="77777777">
        <w:trPr>
          <w:trHeight w:val="397"/>
          <w:jc w:val="center"/>
        </w:trPr>
        <w:tc>
          <w:tcPr>
            <w:tcW w:w="863" w:type="dxa"/>
            <w:vAlign w:val="center"/>
          </w:tcPr>
          <w:p w14:paraId="7C6E30F9" w14:textId="77777777" w:rsidR="00DE1B44" w:rsidRDefault="00D40582">
            <w:pPr>
              <w:spacing w:beforeLines="0" w:before="0" w:line="276"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4549" w:type="dxa"/>
            <w:shd w:val="clear" w:color="auto" w:fill="auto"/>
            <w:noWrap/>
            <w:vAlign w:val="center"/>
          </w:tcPr>
          <w:p w14:paraId="2A59B9B1" w14:textId="77777777" w:rsidR="00DE1B44" w:rsidRDefault="00D40582">
            <w:pPr>
              <w:widowControl w:val="0"/>
              <w:snapToGrid w:val="0"/>
              <w:spacing w:beforeLines="0" w:before="0" w:line="276" w:lineRule="auto"/>
              <w:ind w:firstLineChars="0" w:firstLine="0"/>
              <w:jc w:val="left"/>
              <w:rPr>
                <w:rFonts w:ascii="Times New Roman" w:hAnsi="Times New Roman" w:cs="Times New Roman"/>
                <w:color w:val="000000"/>
                <w:sz w:val="21"/>
                <w:szCs w:val="21"/>
              </w:rPr>
            </w:pPr>
            <w:r>
              <w:rPr>
                <w:rFonts w:ascii="Times New Roman" w:hAnsi="Times New Roman" w:cs="Times New Roman"/>
                <w:color w:val="000000"/>
                <w:sz w:val="21"/>
                <w:szCs w:val="21"/>
              </w:rPr>
              <w:t>中国人寿保险股份有限公司</w:t>
            </w:r>
          </w:p>
        </w:tc>
        <w:tc>
          <w:tcPr>
            <w:tcW w:w="1901" w:type="dxa"/>
            <w:shd w:val="clear" w:color="auto" w:fill="auto"/>
            <w:noWrap/>
            <w:vAlign w:val="center"/>
          </w:tcPr>
          <w:p w14:paraId="4F35913E"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8,600,631,426</w:t>
            </w:r>
          </w:p>
        </w:tc>
        <w:tc>
          <w:tcPr>
            <w:tcW w:w="1799" w:type="dxa"/>
            <w:shd w:val="clear" w:color="auto" w:fill="auto"/>
            <w:noWrap/>
            <w:vAlign w:val="center"/>
          </w:tcPr>
          <w:p w14:paraId="5511DE79"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43.686</w:t>
            </w:r>
          </w:p>
        </w:tc>
      </w:tr>
      <w:tr w:rsidR="00DE1B44" w14:paraId="792C655B" w14:textId="77777777">
        <w:trPr>
          <w:trHeight w:val="397"/>
          <w:jc w:val="center"/>
        </w:trPr>
        <w:tc>
          <w:tcPr>
            <w:tcW w:w="863" w:type="dxa"/>
            <w:vAlign w:val="center"/>
          </w:tcPr>
          <w:p w14:paraId="2FE8FAC3" w14:textId="77777777" w:rsidR="00DE1B44" w:rsidRDefault="00D40582">
            <w:pPr>
              <w:spacing w:beforeLines="0" w:before="0" w:line="276"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4549" w:type="dxa"/>
            <w:shd w:val="clear" w:color="auto" w:fill="auto"/>
            <w:noWrap/>
            <w:vAlign w:val="center"/>
          </w:tcPr>
          <w:p w14:paraId="17E8CDE7" w14:textId="77777777" w:rsidR="00DE1B44" w:rsidRDefault="00D40582">
            <w:pPr>
              <w:widowControl w:val="0"/>
              <w:snapToGrid w:val="0"/>
              <w:spacing w:beforeLines="0" w:before="0" w:line="276" w:lineRule="auto"/>
              <w:ind w:firstLineChars="0" w:firstLine="0"/>
              <w:jc w:val="left"/>
              <w:rPr>
                <w:rFonts w:ascii="Times New Roman" w:hAnsi="Times New Roman" w:cs="Times New Roman"/>
                <w:color w:val="000000"/>
                <w:sz w:val="21"/>
                <w:szCs w:val="21"/>
              </w:rPr>
            </w:pPr>
            <w:proofErr w:type="gramStart"/>
            <w:r>
              <w:rPr>
                <w:rFonts w:ascii="Times New Roman" w:hAnsi="Times New Roman" w:cs="Times New Roman"/>
                <w:color w:val="000000"/>
                <w:sz w:val="21"/>
                <w:szCs w:val="21"/>
              </w:rPr>
              <w:t>国网英</w:t>
            </w:r>
            <w:proofErr w:type="gramEnd"/>
            <w:r>
              <w:rPr>
                <w:rFonts w:ascii="Times New Roman" w:hAnsi="Times New Roman" w:cs="Times New Roman"/>
                <w:color w:val="000000"/>
                <w:sz w:val="21"/>
                <w:szCs w:val="21"/>
              </w:rPr>
              <w:t>大国际控股集团有限公司</w:t>
            </w:r>
          </w:p>
        </w:tc>
        <w:tc>
          <w:tcPr>
            <w:tcW w:w="1901" w:type="dxa"/>
            <w:shd w:val="clear" w:color="auto" w:fill="auto"/>
            <w:noWrap/>
            <w:vAlign w:val="center"/>
          </w:tcPr>
          <w:p w14:paraId="592FE032"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3,080,479,452</w:t>
            </w:r>
          </w:p>
        </w:tc>
        <w:tc>
          <w:tcPr>
            <w:tcW w:w="1799" w:type="dxa"/>
            <w:shd w:val="clear" w:color="auto" w:fill="auto"/>
            <w:noWrap/>
            <w:vAlign w:val="center"/>
          </w:tcPr>
          <w:p w14:paraId="1CB8D0BB"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15.647</w:t>
            </w:r>
          </w:p>
        </w:tc>
      </w:tr>
      <w:tr w:rsidR="00DE1B44" w14:paraId="1FEED385" w14:textId="77777777">
        <w:trPr>
          <w:trHeight w:val="397"/>
          <w:jc w:val="center"/>
        </w:trPr>
        <w:tc>
          <w:tcPr>
            <w:tcW w:w="863" w:type="dxa"/>
            <w:vAlign w:val="center"/>
          </w:tcPr>
          <w:p w14:paraId="37394294" w14:textId="77777777" w:rsidR="00DE1B44" w:rsidRDefault="00D40582">
            <w:pPr>
              <w:spacing w:beforeLines="0" w:before="0" w:line="276"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4549" w:type="dxa"/>
            <w:shd w:val="clear" w:color="auto" w:fill="auto"/>
            <w:noWrap/>
            <w:vAlign w:val="center"/>
          </w:tcPr>
          <w:p w14:paraId="2ABBFE9C" w14:textId="77777777" w:rsidR="00DE1B44" w:rsidRDefault="00D40582">
            <w:pPr>
              <w:widowControl w:val="0"/>
              <w:snapToGrid w:val="0"/>
              <w:spacing w:beforeLines="0" w:before="0" w:line="276" w:lineRule="auto"/>
              <w:ind w:firstLineChars="0" w:firstLine="0"/>
              <w:jc w:val="left"/>
              <w:rPr>
                <w:rFonts w:ascii="Times New Roman" w:hAnsi="Times New Roman" w:cs="Times New Roman"/>
                <w:color w:val="000000"/>
                <w:sz w:val="21"/>
                <w:szCs w:val="21"/>
              </w:rPr>
            </w:pPr>
            <w:r>
              <w:rPr>
                <w:rFonts w:ascii="Times New Roman" w:hAnsi="Times New Roman" w:cs="Times New Roman"/>
                <w:color w:val="000000"/>
                <w:sz w:val="21"/>
                <w:szCs w:val="21"/>
              </w:rPr>
              <w:t>中</w:t>
            </w:r>
            <w:proofErr w:type="gramStart"/>
            <w:r>
              <w:rPr>
                <w:rFonts w:ascii="Times New Roman" w:hAnsi="Times New Roman" w:cs="Times New Roman"/>
                <w:color w:val="000000"/>
                <w:sz w:val="21"/>
                <w:szCs w:val="21"/>
              </w:rPr>
              <w:t>信</w:t>
            </w:r>
            <w:proofErr w:type="gramEnd"/>
            <w:r>
              <w:rPr>
                <w:rFonts w:ascii="Times New Roman" w:hAnsi="Times New Roman" w:cs="Times New Roman"/>
                <w:color w:val="000000"/>
                <w:sz w:val="21"/>
                <w:szCs w:val="21"/>
              </w:rPr>
              <w:t>信托有限责任公司</w:t>
            </w:r>
          </w:p>
        </w:tc>
        <w:tc>
          <w:tcPr>
            <w:tcW w:w="1901" w:type="dxa"/>
            <w:shd w:val="clear" w:color="auto" w:fill="auto"/>
            <w:noWrap/>
            <w:vAlign w:val="center"/>
          </w:tcPr>
          <w:p w14:paraId="09236E28"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3,080,479,452</w:t>
            </w:r>
          </w:p>
        </w:tc>
        <w:tc>
          <w:tcPr>
            <w:tcW w:w="1799" w:type="dxa"/>
            <w:shd w:val="clear" w:color="auto" w:fill="auto"/>
            <w:noWrap/>
            <w:vAlign w:val="center"/>
          </w:tcPr>
          <w:p w14:paraId="2F45B2F3"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15.647</w:t>
            </w:r>
          </w:p>
        </w:tc>
      </w:tr>
      <w:tr w:rsidR="00DE1B44" w14:paraId="7501A6FD" w14:textId="77777777">
        <w:trPr>
          <w:trHeight w:val="397"/>
          <w:jc w:val="center"/>
        </w:trPr>
        <w:tc>
          <w:tcPr>
            <w:tcW w:w="863" w:type="dxa"/>
            <w:vAlign w:val="center"/>
          </w:tcPr>
          <w:p w14:paraId="2835547C" w14:textId="77777777" w:rsidR="00DE1B44" w:rsidRDefault="00D40582">
            <w:pPr>
              <w:spacing w:beforeLines="0" w:before="0" w:line="276"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4549" w:type="dxa"/>
            <w:shd w:val="clear" w:color="auto" w:fill="auto"/>
            <w:noWrap/>
            <w:vAlign w:val="center"/>
          </w:tcPr>
          <w:p w14:paraId="20F6D13F" w14:textId="77777777" w:rsidR="00DE1B44" w:rsidRDefault="00D40582">
            <w:pPr>
              <w:widowControl w:val="0"/>
              <w:snapToGrid w:val="0"/>
              <w:spacing w:beforeLines="0" w:before="0" w:line="276" w:lineRule="auto"/>
              <w:ind w:firstLineChars="0" w:firstLine="0"/>
              <w:jc w:val="left"/>
              <w:rPr>
                <w:rFonts w:ascii="Times New Roman" w:hAnsi="Times New Roman" w:cs="Times New Roman"/>
                <w:color w:val="000000"/>
                <w:sz w:val="21"/>
                <w:szCs w:val="21"/>
              </w:rPr>
            </w:pPr>
            <w:r>
              <w:rPr>
                <w:rFonts w:ascii="Times New Roman" w:hAnsi="Times New Roman" w:cs="Times New Roman" w:hint="eastAsia"/>
                <w:color w:val="000000"/>
                <w:sz w:val="21"/>
                <w:szCs w:val="21"/>
              </w:rPr>
              <w:t>江西省交通投资集团有限责任公司</w:t>
            </w:r>
            <w:r>
              <w:rPr>
                <w:rStyle w:val="afff8"/>
                <w:rFonts w:ascii="Times New Roman" w:hAnsi="Times New Roman" w:cs="Times New Roman"/>
                <w:color w:val="000000"/>
                <w:sz w:val="21"/>
                <w:szCs w:val="21"/>
              </w:rPr>
              <w:footnoteReference w:id="1"/>
            </w:r>
          </w:p>
        </w:tc>
        <w:tc>
          <w:tcPr>
            <w:tcW w:w="1901" w:type="dxa"/>
            <w:shd w:val="clear" w:color="auto" w:fill="auto"/>
            <w:noWrap/>
            <w:vAlign w:val="center"/>
          </w:tcPr>
          <w:p w14:paraId="37C61A34"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1,611,255,772</w:t>
            </w:r>
          </w:p>
        </w:tc>
        <w:tc>
          <w:tcPr>
            <w:tcW w:w="1799" w:type="dxa"/>
            <w:shd w:val="clear" w:color="auto" w:fill="auto"/>
            <w:noWrap/>
            <w:vAlign w:val="center"/>
          </w:tcPr>
          <w:p w14:paraId="45E81F32"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8.184</w:t>
            </w:r>
          </w:p>
        </w:tc>
      </w:tr>
      <w:tr w:rsidR="00DE1B44" w14:paraId="3FE3621C" w14:textId="77777777">
        <w:trPr>
          <w:trHeight w:val="397"/>
          <w:jc w:val="center"/>
        </w:trPr>
        <w:tc>
          <w:tcPr>
            <w:tcW w:w="863" w:type="dxa"/>
            <w:vAlign w:val="center"/>
          </w:tcPr>
          <w:p w14:paraId="5B703257" w14:textId="77777777" w:rsidR="00DE1B44" w:rsidRDefault="00D40582">
            <w:pPr>
              <w:spacing w:beforeLines="0" w:before="0" w:line="276"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4549" w:type="dxa"/>
            <w:shd w:val="clear" w:color="auto" w:fill="auto"/>
            <w:noWrap/>
            <w:vAlign w:val="center"/>
          </w:tcPr>
          <w:p w14:paraId="7A482C50" w14:textId="77777777" w:rsidR="00DE1B44" w:rsidRDefault="00D40582">
            <w:pPr>
              <w:widowControl w:val="0"/>
              <w:snapToGrid w:val="0"/>
              <w:spacing w:beforeLines="0" w:before="0" w:line="276" w:lineRule="auto"/>
              <w:ind w:firstLineChars="0" w:firstLine="0"/>
              <w:jc w:val="left"/>
              <w:rPr>
                <w:rFonts w:ascii="Times New Roman" w:hAnsi="Times New Roman" w:cs="Times New Roman"/>
                <w:color w:val="000000"/>
                <w:sz w:val="21"/>
                <w:szCs w:val="21"/>
              </w:rPr>
            </w:pPr>
            <w:r>
              <w:rPr>
                <w:rFonts w:ascii="Times New Roman" w:hAnsi="Times New Roman" w:cs="Times New Roman"/>
                <w:color w:val="000000"/>
                <w:sz w:val="21"/>
                <w:szCs w:val="21"/>
              </w:rPr>
              <w:t>中航投资控股有限公司</w:t>
            </w:r>
          </w:p>
        </w:tc>
        <w:tc>
          <w:tcPr>
            <w:tcW w:w="1901" w:type="dxa"/>
            <w:shd w:val="clear" w:color="auto" w:fill="auto"/>
            <w:noWrap/>
            <w:vAlign w:val="center"/>
          </w:tcPr>
          <w:p w14:paraId="3DD8EACE"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762,469,249</w:t>
            </w:r>
          </w:p>
        </w:tc>
        <w:tc>
          <w:tcPr>
            <w:tcW w:w="1799" w:type="dxa"/>
            <w:shd w:val="clear" w:color="auto" w:fill="auto"/>
            <w:noWrap/>
            <w:vAlign w:val="center"/>
          </w:tcPr>
          <w:p w14:paraId="45B4B07C"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3.873</w:t>
            </w:r>
          </w:p>
        </w:tc>
      </w:tr>
      <w:tr w:rsidR="00DE1B44" w14:paraId="4700BE22" w14:textId="77777777">
        <w:trPr>
          <w:trHeight w:val="397"/>
          <w:jc w:val="center"/>
        </w:trPr>
        <w:tc>
          <w:tcPr>
            <w:tcW w:w="863" w:type="dxa"/>
            <w:vAlign w:val="center"/>
          </w:tcPr>
          <w:p w14:paraId="11379694" w14:textId="77777777" w:rsidR="00DE1B44" w:rsidRDefault="00D40582">
            <w:pPr>
              <w:spacing w:beforeLines="0" w:before="0" w:line="276"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4549" w:type="dxa"/>
            <w:shd w:val="clear" w:color="auto" w:fill="auto"/>
            <w:noWrap/>
            <w:vAlign w:val="center"/>
          </w:tcPr>
          <w:p w14:paraId="1C986D68" w14:textId="77777777" w:rsidR="00DE1B44" w:rsidRDefault="00D40582">
            <w:pPr>
              <w:widowControl w:val="0"/>
              <w:snapToGrid w:val="0"/>
              <w:spacing w:beforeLines="0" w:before="0" w:line="276" w:lineRule="auto"/>
              <w:ind w:firstLineChars="0" w:firstLine="0"/>
              <w:jc w:val="left"/>
              <w:rPr>
                <w:rFonts w:ascii="Times New Roman" w:hAnsi="Times New Roman" w:cs="Times New Roman"/>
                <w:color w:val="000000"/>
                <w:sz w:val="21"/>
                <w:szCs w:val="21"/>
              </w:rPr>
            </w:pPr>
            <w:r>
              <w:rPr>
                <w:rFonts w:ascii="Times New Roman" w:hAnsi="Times New Roman" w:cs="Times New Roman"/>
                <w:color w:val="000000"/>
                <w:sz w:val="21"/>
                <w:szCs w:val="21"/>
              </w:rPr>
              <w:t>广东粤财投资控股有限公司</w:t>
            </w:r>
          </w:p>
        </w:tc>
        <w:tc>
          <w:tcPr>
            <w:tcW w:w="1901" w:type="dxa"/>
            <w:shd w:val="clear" w:color="auto" w:fill="auto"/>
            <w:noWrap/>
            <w:vAlign w:val="center"/>
          </w:tcPr>
          <w:p w14:paraId="1EA9E6C1"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317,757,229</w:t>
            </w:r>
          </w:p>
        </w:tc>
        <w:tc>
          <w:tcPr>
            <w:tcW w:w="1799" w:type="dxa"/>
            <w:shd w:val="clear" w:color="auto" w:fill="auto"/>
            <w:noWrap/>
            <w:vAlign w:val="center"/>
          </w:tcPr>
          <w:p w14:paraId="770647E3"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1.614</w:t>
            </w:r>
          </w:p>
        </w:tc>
      </w:tr>
      <w:tr w:rsidR="00DE1B44" w14:paraId="1F71F1F3" w14:textId="77777777">
        <w:trPr>
          <w:trHeight w:val="397"/>
          <w:jc w:val="center"/>
        </w:trPr>
        <w:tc>
          <w:tcPr>
            <w:tcW w:w="863" w:type="dxa"/>
            <w:vAlign w:val="center"/>
          </w:tcPr>
          <w:p w14:paraId="028B0322" w14:textId="77777777" w:rsidR="00DE1B44" w:rsidRDefault="00D40582">
            <w:pPr>
              <w:spacing w:beforeLines="0" w:before="0" w:line="276"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4549" w:type="dxa"/>
            <w:shd w:val="clear" w:color="auto" w:fill="auto"/>
            <w:noWrap/>
            <w:vAlign w:val="center"/>
          </w:tcPr>
          <w:p w14:paraId="2A03EE98" w14:textId="77777777" w:rsidR="00DE1B44" w:rsidRDefault="00D40582">
            <w:pPr>
              <w:widowControl w:val="0"/>
              <w:snapToGrid w:val="0"/>
              <w:spacing w:beforeLines="0" w:before="0" w:line="276" w:lineRule="auto"/>
              <w:ind w:firstLineChars="0" w:firstLine="0"/>
              <w:jc w:val="left"/>
              <w:rPr>
                <w:rFonts w:ascii="Times New Roman" w:hAnsi="Times New Roman" w:cs="Times New Roman"/>
                <w:color w:val="000000"/>
                <w:sz w:val="21"/>
                <w:szCs w:val="21"/>
              </w:rPr>
            </w:pPr>
            <w:r>
              <w:rPr>
                <w:rFonts w:ascii="Times New Roman" w:hAnsi="Times New Roman" w:cs="Times New Roman"/>
                <w:color w:val="000000"/>
                <w:sz w:val="21"/>
                <w:szCs w:val="21"/>
              </w:rPr>
              <w:t>华晨汽车集团控股有限公司</w:t>
            </w:r>
          </w:p>
        </w:tc>
        <w:tc>
          <w:tcPr>
            <w:tcW w:w="1901" w:type="dxa"/>
            <w:shd w:val="clear" w:color="auto" w:fill="auto"/>
            <w:noWrap/>
            <w:vAlign w:val="center"/>
          </w:tcPr>
          <w:p w14:paraId="73E4FC62"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223,596,793</w:t>
            </w:r>
          </w:p>
        </w:tc>
        <w:tc>
          <w:tcPr>
            <w:tcW w:w="1799" w:type="dxa"/>
            <w:shd w:val="clear" w:color="auto" w:fill="auto"/>
            <w:noWrap/>
            <w:vAlign w:val="center"/>
          </w:tcPr>
          <w:p w14:paraId="32B3312A"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1.136</w:t>
            </w:r>
          </w:p>
        </w:tc>
      </w:tr>
      <w:tr w:rsidR="00DE1B44" w14:paraId="6B1B563A" w14:textId="77777777">
        <w:trPr>
          <w:trHeight w:val="397"/>
          <w:jc w:val="center"/>
        </w:trPr>
        <w:tc>
          <w:tcPr>
            <w:tcW w:w="863" w:type="dxa"/>
            <w:vAlign w:val="center"/>
          </w:tcPr>
          <w:p w14:paraId="715BBB03" w14:textId="77777777" w:rsidR="00DE1B44" w:rsidRDefault="00D40582">
            <w:pPr>
              <w:spacing w:beforeLines="0" w:before="0" w:line="276"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4549" w:type="dxa"/>
            <w:shd w:val="clear" w:color="auto" w:fill="auto"/>
            <w:noWrap/>
            <w:vAlign w:val="center"/>
          </w:tcPr>
          <w:p w14:paraId="672243B8" w14:textId="77777777" w:rsidR="00DE1B44" w:rsidRDefault="00D40582">
            <w:pPr>
              <w:widowControl w:val="0"/>
              <w:snapToGrid w:val="0"/>
              <w:spacing w:beforeLines="0" w:before="0" w:line="276" w:lineRule="auto"/>
              <w:ind w:firstLineChars="0" w:firstLine="0"/>
              <w:jc w:val="left"/>
              <w:rPr>
                <w:rFonts w:ascii="Times New Roman" w:hAnsi="Times New Roman" w:cs="Times New Roman"/>
                <w:color w:val="000000"/>
                <w:sz w:val="21"/>
                <w:szCs w:val="21"/>
              </w:rPr>
            </w:pPr>
            <w:r>
              <w:rPr>
                <w:rFonts w:ascii="Times New Roman" w:hAnsi="Times New Roman" w:cs="Times New Roman"/>
                <w:color w:val="000000"/>
                <w:sz w:val="21"/>
                <w:szCs w:val="21"/>
              </w:rPr>
              <w:t>江苏苏钢集团有限公司</w:t>
            </w:r>
          </w:p>
        </w:tc>
        <w:tc>
          <w:tcPr>
            <w:tcW w:w="1901" w:type="dxa"/>
            <w:shd w:val="clear" w:color="auto" w:fill="auto"/>
            <w:noWrap/>
            <w:vAlign w:val="center"/>
          </w:tcPr>
          <w:p w14:paraId="288CDDC2"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222,777,231</w:t>
            </w:r>
          </w:p>
        </w:tc>
        <w:tc>
          <w:tcPr>
            <w:tcW w:w="1799" w:type="dxa"/>
            <w:shd w:val="clear" w:color="auto" w:fill="auto"/>
            <w:noWrap/>
            <w:vAlign w:val="center"/>
          </w:tcPr>
          <w:p w14:paraId="3F24353E"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1.132</w:t>
            </w:r>
          </w:p>
        </w:tc>
      </w:tr>
      <w:tr w:rsidR="00DE1B44" w14:paraId="05AE4D01" w14:textId="77777777">
        <w:trPr>
          <w:trHeight w:val="397"/>
          <w:jc w:val="center"/>
        </w:trPr>
        <w:tc>
          <w:tcPr>
            <w:tcW w:w="863" w:type="dxa"/>
            <w:vAlign w:val="center"/>
          </w:tcPr>
          <w:p w14:paraId="12C7CC95" w14:textId="77777777" w:rsidR="00DE1B44" w:rsidRDefault="00D40582">
            <w:pPr>
              <w:spacing w:beforeLines="0" w:before="0" w:line="276"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4549" w:type="dxa"/>
            <w:shd w:val="clear" w:color="auto" w:fill="auto"/>
            <w:noWrap/>
            <w:vAlign w:val="center"/>
          </w:tcPr>
          <w:p w14:paraId="16003DFB" w14:textId="77777777" w:rsidR="00DE1B44" w:rsidRDefault="00D40582">
            <w:pPr>
              <w:widowControl w:val="0"/>
              <w:snapToGrid w:val="0"/>
              <w:spacing w:beforeLines="0" w:before="0" w:line="276" w:lineRule="auto"/>
              <w:ind w:firstLineChars="0" w:firstLine="0"/>
              <w:jc w:val="left"/>
              <w:rPr>
                <w:rFonts w:ascii="Times New Roman" w:hAnsi="Times New Roman" w:cs="Times New Roman"/>
                <w:color w:val="000000"/>
                <w:sz w:val="21"/>
                <w:szCs w:val="21"/>
              </w:rPr>
            </w:pPr>
            <w:r>
              <w:rPr>
                <w:rFonts w:ascii="Times New Roman" w:hAnsi="Times New Roman" w:cs="Times New Roman"/>
                <w:color w:val="000000"/>
                <w:sz w:val="21"/>
                <w:szCs w:val="21"/>
              </w:rPr>
              <w:t>香江集团有限公司</w:t>
            </w:r>
          </w:p>
        </w:tc>
        <w:tc>
          <w:tcPr>
            <w:tcW w:w="1901" w:type="dxa"/>
            <w:shd w:val="clear" w:color="auto" w:fill="auto"/>
            <w:noWrap/>
            <w:vAlign w:val="center"/>
          </w:tcPr>
          <w:p w14:paraId="22569576"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148,544,461</w:t>
            </w:r>
          </w:p>
        </w:tc>
        <w:tc>
          <w:tcPr>
            <w:tcW w:w="1799" w:type="dxa"/>
            <w:shd w:val="clear" w:color="auto" w:fill="auto"/>
            <w:noWrap/>
            <w:vAlign w:val="center"/>
          </w:tcPr>
          <w:p w14:paraId="6EB08A15" w14:textId="77777777" w:rsidR="00DE1B44" w:rsidRDefault="00D40582">
            <w:pPr>
              <w:widowControl w:val="0"/>
              <w:snapToGrid w:val="0"/>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0.755</w:t>
            </w:r>
          </w:p>
        </w:tc>
      </w:tr>
      <w:tr w:rsidR="00DE1B44" w14:paraId="07CDC99D" w14:textId="77777777">
        <w:trPr>
          <w:trHeight w:val="397"/>
          <w:jc w:val="center"/>
        </w:trPr>
        <w:tc>
          <w:tcPr>
            <w:tcW w:w="863" w:type="dxa"/>
            <w:vAlign w:val="center"/>
          </w:tcPr>
          <w:p w14:paraId="0ACCDF21" w14:textId="77777777" w:rsidR="00DE1B44" w:rsidRDefault="00D40582">
            <w:pPr>
              <w:spacing w:beforeLines="0" w:before="0" w:line="276" w:lineRule="auto"/>
              <w:ind w:firstLineChars="0"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4549" w:type="dxa"/>
            <w:shd w:val="clear" w:color="auto" w:fill="auto"/>
            <w:noWrap/>
            <w:vAlign w:val="center"/>
          </w:tcPr>
          <w:p w14:paraId="7098BE91" w14:textId="77777777" w:rsidR="00DE1B44" w:rsidRDefault="00D40582">
            <w:pPr>
              <w:widowControl w:val="0"/>
              <w:snapToGrid w:val="0"/>
              <w:spacing w:beforeLines="0" w:before="0" w:line="276" w:lineRule="auto"/>
              <w:ind w:firstLineChars="0" w:firstLine="0"/>
              <w:jc w:val="left"/>
              <w:rPr>
                <w:rFonts w:ascii="Times New Roman" w:hAnsi="Times New Roman" w:cs="Times New Roman"/>
                <w:color w:val="000000"/>
                <w:sz w:val="21"/>
                <w:szCs w:val="21"/>
              </w:rPr>
            </w:pPr>
            <w:r>
              <w:rPr>
                <w:rFonts w:ascii="Times New Roman" w:hAnsi="Times New Roman" w:cs="Times New Roman"/>
                <w:color w:val="000000"/>
                <w:sz w:val="21"/>
                <w:szCs w:val="21"/>
              </w:rPr>
              <w:t>北京能源集团有限责任公司</w:t>
            </w:r>
          </w:p>
        </w:tc>
        <w:tc>
          <w:tcPr>
            <w:tcW w:w="1901" w:type="dxa"/>
            <w:shd w:val="clear" w:color="auto" w:fill="auto"/>
            <w:noWrap/>
            <w:vAlign w:val="center"/>
          </w:tcPr>
          <w:p w14:paraId="2ED3A8C1" w14:textId="77777777" w:rsidR="00DE1B44" w:rsidRDefault="00D40582">
            <w:pPr>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133,349,884</w:t>
            </w:r>
          </w:p>
        </w:tc>
        <w:tc>
          <w:tcPr>
            <w:tcW w:w="1799" w:type="dxa"/>
            <w:shd w:val="clear" w:color="auto" w:fill="auto"/>
            <w:noWrap/>
            <w:vAlign w:val="center"/>
          </w:tcPr>
          <w:p w14:paraId="08FDB322" w14:textId="77777777" w:rsidR="00DE1B44" w:rsidRDefault="00D40582">
            <w:pPr>
              <w:spacing w:beforeLines="0" w:before="0" w:line="276"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0.677</w:t>
            </w:r>
          </w:p>
        </w:tc>
      </w:tr>
      <w:tr w:rsidR="00DE1B44" w14:paraId="446EFF22" w14:textId="77777777">
        <w:trPr>
          <w:trHeight w:val="397"/>
          <w:jc w:val="center"/>
        </w:trPr>
        <w:tc>
          <w:tcPr>
            <w:tcW w:w="5412" w:type="dxa"/>
            <w:gridSpan w:val="2"/>
            <w:vAlign w:val="center"/>
          </w:tcPr>
          <w:p w14:paraId="7CBC5097" w14:textId="77777777" w:rsidR="00DE1B44" w:rsidRDefault="00D40582">
            <w:pPr>
              <w:widowControl w:val="0"/>
              <w:snapToGrid w:val="0"/>
              <w:spacing w:beforeLines="0" w:before="0" w:line="276"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lastRenderedPageBreak/>
              <w:t>合计</w:t>
            </w:r>
          </w:p>
        </w:tc>
        <w:tc>
          <w:tcPr>
            <w:tcW w:w="1901" w:type="dxa"/>
            <w:shd w:val="clear" w:color="auto" w:fill="auto"/>
            <w:noWrap/>
            <w:vAlign w:val="center"/>
          </w:tcPr>
          <w:p w14:paraId="5F6CB8C6" w14:textId="77777777" w:rsidR="00DE1B44" w:rsidRDefault="00D40582">
            <w:pPr>
              <w:widowControl w:val="0"/>
              <w:snapToGrid w:val="0"/>
              <w:spacing w:beforeLines="0" w:before="0" w:line="276"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18,181,340,949</w:t>
            </w:r>
          </w:p>
        </w:tc>
        <w:tc>
          <w:tcPr>
            <w:tcW w:w="1799" w:type="dxa"/>
            <w:shd w:val="clear" w:color="auto" w:fill="auto"/>
            <w:noWrap/>
            <w:vAlign w:val="center"/>
          </w:tcPr>
          <w:p w14:paraId="68F970F3" w14:textId="77777777" w:rsidR="00DE1B44" w:rsidRDefault="00D40582">
            <w:pPr>
              <w:widowControl w:val="0"/>
              <w:snapToGrid w:val="0"/>
              <w:spacing w:beforeLines="0" w:before="0" w:line="276"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92.351</w:t>
            </w:r>
          </w:p>
        </w:tc>
      </w:tr>
    </w:tbl>
    <w:p w14:paraId="713E818F" w14:textId="77777777" w:rsidR="00DE1B44" w:rsidRDefault="00D40582">
      <w:pPr>
        <w:pStyle w:val="2f0"/>
        <w:spacing w:before="120"/>
        <w:rPr>
          <w:rFonts w:ascii="Times New Roman" w:hAnsi="Times New Roman"/>
        </w:rPr>
      </w:pPr>
      <w:bookmarkStart w:id="43" w:name="_Toc89016902"/>
      <w:r>
        <w:rPr>
          <w:rFonts w:hint="eastAsia"/>
        </w:rPr>
        <w:t>四、</w:t>
      </w:r>
      <w:r>
        <w:rPr>
          <w:rFonts w:ascii="Times New Roman" w:hAnsi="Times New Roman" w:hint="eastAsia"/>
        </w:rPr>
        <w:t>公司分支机构</w:t>
      </w:r>
      <w:r>
        <w:rPr>
          <w:rFonts w:ascii="Times New Roman" w:hAnsi="Times New Roman"/>
        </w:rPr>
        <w:t>情况</w:t>
      </w:r>
      <w:bookmarkEnd w:id="43"/>
    </w:p>
    <w:p w14:paraId="05FD2C5C" w14:textId="77777777" w:rsidR="00DE1B44" w:rsidRDefault="00D40582">
      <w:pPr>
        <w:pStyle w:val="4a"/>
        <w:spacing w:before="120"/>
        <w:rPr>
          <w:rFonts w:ascii="Times New Roman" w:hAnsi="Times New Roman"/>
        </w:rPr>
      </w:pPr>
      <w:r>
        <w:rPr>
          <w:rFonts w:ascii="Times New Roman" w:hAnsi="Times New Roman"/>
        </w:rPr>
        <w:t>（</w:t>
      </w:r>
      <w:r>
        <w:rPr>
          <w:rFonts w:ascii="Times New Roman" w:hAnsi="Times New Roman" w:hint="eastAsia"/>
        </w:rPr>
        <w:t>一</w:t>
      </w:r>
      <w:r>
        <w:rPr>
          <w:rFonts w:ascii="Times New Roman" w:hAnsi="Times New Roman"/>
        </w:rPr>
        <w:t>）</w:t>
      </w:r>
      <w:r>
        <w:rPr>
          <w:rFonts w:ascii="Times New Roman" w:hAnsi="Times New Roman" w:hint="eastAsia"/>
        </w:rPr>
        <w:t>控股、参股子公司情况</w:t>
      </w:r>
    </w:p>
    <w:p w14:paraId="5C9B7DFE"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截至</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rPr>
        <w:t>6</w:t>
      </w:r>
      <w:r>
        <w:rPr>
          <w:rFonts w:ascii="Times New Roman" w:hAnsi="Times New Roman" w:cs="Times New Roman" w:hint="eastAsia"/>
        </w:rPr>
        <w:t>月</w:t>
      </w:r>
      <w:r>
        <w:rPr>
          <w:rFonts w:ascii="Times New Roman" w:hAnsi="Times New Roman" w:cs="Times New Roman"/>
        </w:rPr>
        <w:t>30</w:t>
      </w:r>
      <w:r>
        <w:rPr>
          <w:rFonts w:ascii="Times New Roman" w:hAnsi="Times New Roman" w:cs="Times New Roman" w:hint="eastAsia"/>
        </w:rPr>
        <w:t>日，本行无控股子公司和参股公司。</w:t>
      </w:r>
    </w:p>
    <w:p w14:paraId="543D586E" w14:textId="77777777" w:rsidR="00DE1B44" w:rsidRDefault="00D40582">
      <w:pPr>
        <w:pStyle w:val="4a"/>
        <w:spacing w:before="120"/>
        <w:rPr>
          <w:rFonts w:ascii="Times New Roman" w:hAnsi="Times New Roman"/>
        </w:rPr>
      </w:pPr>
      <w:r>
        <w:rPr>
          <w:rFonts w:ascii="Times New Roman" w:hAnsi="Times New Roman"/>
        </w:rPr>
        <w:t>（</w:t>
      </w:r>
      <w:r>
        <w:rPr>
          <w:rFonts w:ascii="Times New Roman" w:hAnsi="Times New Roman" w:hint="eastAsia"/>
        </w:rPr>
        <w:t>二</w:t>
      </w:r>
      <w:r>
        <w:rPr>
          <w:rFonts w:ascii="Times New Roman" w:hAnsi="Times New Roman"/>
        </w:rPr>
        <w:t>）</w:t>
      </w:r>
      <w:r>
        <w:rPr>
          <w:rFonts w:ascii="Times New Roman" w:hAnsi="Times New Roman" w:hint="eastAsia"/>
        </w:rPr>
        <w:t>公司分支机构情况</w:t>
      </w:r>
    </w:p>
    <w:p w14:paraId="50766806"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截至</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w:t>
      </w:r>
      <w:r>
        <w:rPr>
          <w:rFonts w:ascii="Times New Roman" w:hAnsi="Times New Roman" w:cs="Times New Roman" w:hint="eastAsia"/>
        </w:rPr>
        <w:t>，本行在北京、天津、河北、山西、辽宁、吉林、黑龙江、上海、江苏、浙江、安徽、福建、江西、山东、河南、湖北、湖南、广东、广西、重庆、四川、云南、贵州、陕西、新疆、海南等境内</w:t>
      </w:r>
      <w:r>
        <w:rPr>
          <w:rFonts w:ascii="Times New Roman" w:hAnsi="Times New Roman" w:cs="Times New Roman"/>
        </w:rPr>
        <w:t>26</w:t>
      </w:r>
      <w:r>
        <w:rPr>
          <w:rFonts w:ascii="Times New Roman" w:hAnsi="Times New Roman" w:cs="Times New Roman"/>
        </w:rPr>
        <w:t>个省（含直辖市、自治区）</w:t>
      </w:r>
      <w:r>
        <w:rPr>
          <w:rFonts w:ascii="Times New Roman" w:hAnsi="Times New Roman" w:cs="Times New Roman"/>
        </w:rPr>
        <w:t>108</w:t>
      </w:r>
      <w:r>
        <w:rPr>
          <w:rFonts w:ascii="Times New Roman" w:hAnsi="Times New Roman" w:cs="Times New Roman"/>
        </w:rPr>
        <w:t>个地级以上城市和香港、澳门设有</w:t>
      </w:r>
      <w:r>
        <w:rPr>
          <w:rFonts w:ascii="Times New Roman" w:hAnsi="Times New Roman" w:cs="Times New Roman"/>
        </w:rPr>
        <w:t>48</w:t>
      </w:r>
      <w:r>
        <w:rPr>
          <w:rFonts w:ascii="Times New Roman" w:hAnsi="Times New Roman" w:cs="Times New Roman"/>
        </w:rPr>
        <w:t>家直属分行、</w:t>
      </w:r>
      <w:r>
        <w:rPr>
          <w:rFonts w:ascii="Times New Roman" w:hAnsi="Times New Roman" w:cs="Times New Roman"/>
        </w:rPr>
        <w:t>924</w:t>
      </w:r>
      <w:r>
        <w:rPr>
          <w:rFonts w:ascii="Times New Roman" w:hAnsi="Times New Roman" w:cs="Times New Roman"/>
        </w:rPr>
        <w:t>家营业机构。</w:t>
      </w:r>
    </w:p>
    <w:p w14:paraId="698195E1" w14:textId="77777777" w:rsidR="00DE1B44" w:rsidRDefault="00D40582">
      <w:pPr>
        <w:pStyle w:val="2f0"/>
        <w:spacing w:before="120"/>
        <w:rPr>
          <w:rFonts w:ascii="Times New Roman" w:hAnsi="Times New Roman"/>
        </w:rPr>
      </w:pPr>
      <w:bookmarkStart w:id="44" w:name="_Toc89016903"/>
      <w:r>
        <w:rPr>
          <w:rFonts w:hint="eastAsia"/>
        </w:rPr>
        <w:t>五、主营业务及商业模式</w:t>
      </w:r>
      <w:bookmarkEnd w:id="44"/>
    </w:p>
    <w:p w14:paraId="2B5FC191"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本行成立于</w:t>
      </w:r>
      <w:r>
        <w:rPr>
          <w:rFonts w:ascii="Times New Roman" w:hAnsi="Times New Roman" w:cs="Times New Roman"/>
        </w:rPr>
        <w:t>1988</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月，总部设在中国广东省广州市，是经国务院和中国人民银行批准组建的我国首批股份制商业银行之一。</w:t>
      </w:r>
      <w:r>
        <w:rPr>
          <w:rFonts w:ascii="Times New Roman" w:hAnsi="Times New Roman" w:cs="Times New Roman" w:hint="eastAsia"/>
        </w:rPr>
        <w:t>本行致力于为客户提供高质量、高效率、全方位的综合金融服务。</w:t>
      </w:r>
    </w:p>
    <w:p w14:paraId="13918F93"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本行业务主要包括公司金融业务、零售金融业务和投行与金融市场业务三大板块。</w:t>
      </w:r>
    </w:p>
    <w:p w14:paraId="523DC135" w14:textId="77777777" w:rsidR="00DE1B44" w:rsidRDefault="00D40582">
      <w:pPr>
        <w:pStyle w:val="4a"/>
        <w:spacing w:before="120"/>
        <w:rPr>
          <w:rFonts w:ascii="Times New Roman" w:hAnsi="Times New Roman"/>
        </w:rPr>
      </w:pPr>
      <w:r>
        <w:rPr>
          <w:rFonts w:ascii="Times New Roman" w:hAnsi="Times New Roman"/>
        </w:rPr>
        <w:t>（一）</w:t>
      </w:r>
      <w:r>
        <w:rPr>
          <w:rFonts w:ascii="Times New Roman" w:hAnsi="Times New Roman" w:hint="eastAsia"/>
        </w:rPr>
        <w:t>公司金融业务</w:t>
      </w:r>
    </w:p>
    <w:p w14:paraId="262A010C"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本行公司金融深入贯彻落实国家发展战略，借力中国人</w:t>
      </w:r>
      <w:proofErr w:type="gramStart"/>
      <w:r>
        <w:rPr>
          <w:rFonts w:ascii="Times New Roman" w:hAnsi="Times New Roman" w:cs="Times New Roman"/>
        </w:rPr>
        <w:t>寿集团</w:t>
      </w:r>
      <w:proofErr w:type="gramEnd"/>
      <w:r>
        <w:rPr>
          <w:rFonts w:ascii="Times New Roman" w:hAnsi="Times New Roman" w:cs="Times New Roman"/>
        </w:rPr>
        <w:t>保险、投资、银行三大板块资源，依托综合金融优势，以客户为中心，聚焦价值创造，推动高质量发展；加强对民营企业、制造业、普惠金融等战略领域的金融支持，稳步提升金融服务质效；坚持服务实体经济、压降负债成本、优化业务结构、强化客群建设策略，不断推动自身转型升级。</w:t>
      </w:r>
    </w:p>
    <w:p w14:paraId="3476E753" w14:textId="77777777" w:rsidR="00DE1B44" w:rsidRDefault="00D40582">
      <w:pPr>
        <w:pStyle w:val="58"/>
        <w:spacing w:before="120"/>
        <w:ind w:firstLine="482"/>
        <w:rPr>
          <w:rFonts w:ascii="Times New Roman" w:hAnsi="Times New Roman"/>
        </w:rPr>
      </w:pPr>
      <w:r>
        <w:rPr>
          <w:rFonts w:ascii="Times New Roman" w:hAnsi="Times New Roman"/>
        </w:rPr>
        <w:t>1</w:t>
      </w:r>
      <w:r>
        <w:rPr>
          <w:rFonts w:ascii="Times New Roman" w:hAnsi="Times New Roman"/>
        </w:rPr>
        <w:t>、</w:t>
      </w:r>
      <w:r>
        <w:rPr>
          <w:rFonts w:ascii="Times New Roman" w:hAnsi="Times New Roman" w:hint="eastAsia"/>
        </w:rPr>
        <w:t>存贷款业务</w:t>
      </w:r>
    </w:p>
    <w:p w14:paraId="50953D4F"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本行围绕</w:t>
      </w:r>
      <w:r>
        <w:rPr>
          <w:rFonts w:ascii="Times New Roman" w:hAnsi="Times New Roman" w:cs="Times New Roman" w:hint="eastAsia"/>
        </w:rPr>
        <w:t>“</w:t>
      </w:r>
      <w:r>
        <w:rPr>
          <w:rFonts w:ascii="Times New Roman" w:hAnsi="Times New Roman" w:cs="Times New Roman"/>
        </w:rPr>
        <w:t>三重</w:t>
      </w:r>
      <w:proofErr w:type="gramStart"/>
      <w:r>
        <w:rPr>
          <w:rFonts w:ascii="Times New Roman" w:hAnsi="Times New Roman" w:cs="Times New Roman"/>
        </w:rPr>
        <w:t>一</w:t>
      </w:r>
      <w:proofErr w:type="gramEnd"/>
      <w:r>
        <w:rPr>
          <w:rFonts w:ascii="Times New Roman" w:hAnsi="Times New Roman" w:cs="Times New Roman"/>
        </w:rPr>
        <w:t>核</w:t>
      </w:r>
      <w:r>
        <w:rPr>
          <w:rFonts w:ascii="Times New Roman" w:hAnsi="Times New Roman" w:cs="Times New Roman" w:hint="eastAsia"/>
        </w:rPr>
        <w:t>”</w:t>
      </w:r>
      <w:r>
        <w:rPr>
          <w:rFonts w:ascii="Times New Roman" w:hAnsi="Times New Roman" w:cs="Times New Roman"/>
        </w:rPr>
        <w:t>目标市场定位，强营销、促落地、抓配套，加大对重点区域、重点客户、重点项目的信贷投放，公司贷款保持较快增长，增速领先股份制同业，公司贷款市场份额持续提升，贷款规模实现股份制同业排名进位。</w:t>
      </w:r>
      <w:r>
        <w:rPr>
          <w:rFonts w:ascii="Times New Roman" w:hAnsi="Times New Roman" w:cs="Times New Roman" w:hint="eastAsia"/>
        </w:rPr>
        <w:t>截至</w:t>
      </w:r>
      <w:r>
        <w:rPr>
          <w:rFonts w:ascii="Times New Roman" w:hAnsi="Times New Roman" w:cs="Times New Roman" w:hint="eastAsia"/>
        </w:rPr>
        <w:t>2</w:t>
      </w:r>
      <w:r>
        <w:rPr>
          <w:rFonts w:ascii="Times New Roman" w:hAnsi="Times New Roman" w:cs="Times New Roman"/>
        </w:rPr>
        <w:t>02</w:t>
      </w:r>
      <w:r>
        <w:rPr>
          <w:rFonts w:ascii="Times New Roman" w:hAnsi="Times New Roman" w:cs="Times New Roman" w:hint="eastAsia"/>
        </w:rPr>
        <w:t>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rPr>
        <w:t>末，</w:t>
      </w:r>
      <w:r>
        <w:rPr>
          <w:rFonts w:ascii="Times New Roman" w:hAnsi="Times New Roman" w:cs="Times New Roman" w:hint="eastAsia"/>
        </w:rPr>
        <w:t>企业贷款和</w:t>
      </w:r>
      <w:proofErr w:type="gramStart"/>
      <w:r>
        <w:rPr>
          <w:rFonts w:ascii="Times New Roman" w:hAnsi="Times New Roman" w:cs="Times New Roman" w:hint="eastAsia"/>
        </w:rPr>
        <w:t>垫款</w:t>
      </w:r>
      <w:r>
        <w:rPr>
          <w:rFonts w:ascii="Times New Roman" w:hAnsi="Times New Roman" w:cs="Times New Roman"/>
        </w:rPr>
        <w:t>余额</w:t>
      </w:r>
      <w:proofErr w:type="gramEnd"/>
      <w:r>
        <w:rPr>
          <w:rFonts w:ascii="Times New Roman" w:hAnsi="Times New Roman" w:cs="Times New Roman" w:hint="eastAsia"/>
        </w:rPr>
        <w:t>9</w:t>
      </w:r>
      <w:r>
        <w:rPr>
          <w:rFonts w:ascii="Times New Roman" w:hAnsi="Times New Roman" w:cs="Times New Roman"/>
        </w:rPr>
        <w:t>,</w:t>
      </w:r>
      <w:r>
        <w:rPr>
          <w:rFonts w:ascii="Times New Roman" w:hAnsi="Times New Roman" w:cs="Times New Roman" w:hint="eastAsia"/>
        </w:rPr>
        <w:t>008.2</w:t>
      </w:r>
      <w:r>
        <w:rPr>
          <w:rFonts w:ascii="Times New Roman" w:hAnsi="Times New Roman" w:cs="Times New Roman"/>
        </w:rPr>
        <w:t>亿元，较年初增长</w:t>
      </w:r>
      <w:r>
        <w:rPr>
          <w:rFonts w:ascii="Times New Roman" w:hAnsi="Times New Roman" w:cs="Times New Roman" w:hint="eastAsia"/>
        </w:rPr>
        <w:t>15.0</w:t>
      </w:r>
      <w:r>
        <w:rPr>
          <w:rFonts w:ascii="Times New Roman" w:hAnsi="Times New Roman" w:cs="Times New Roman"/>
        </w:rPr>
        <w:t>%</w:t>
      </w:r>
      <w:r>
        <w:rPr>
          <w:rFonts w:ascii="Times New Roman" w:hAnsi="Times New Roman" w:cs="Times New Roman"/>
        </w:rPr>
        <w:t>。</w:t>
      </w:r>
    </w:p>
    <w:p w14:paraId="085DD798"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lastRenderedPageBreak/>
        <w:t>本行强化</w:t>
      </w:r>
      <w:r>
        <w:rPr>
          <w:rFonts w:ascii="Times New Roman" w:hAnsi="Times New Roman" w:cs="Times New Roman" w:hint="eastAsia"/>
        </w:rPr>
        <w:t>“</w:t>
      </w:r>
      <w:r>
        <w:rPr>
          <w:rFonts w:ascii="Times New Roman" w:hAnsi="Times New Roman" w:cs="Times New Roman"/>
        </w:rPr>
        <w:t>客户增存、产品带动、资产联动、综合金融留存</w:t>
      </w:r>
      <w:r>
        <w:rPr>
          <w:rFonts w:ascii="Times New Roman" w:hAnsi="Times New Roman" w:cs="Times New Roman" w:hint="eastAsia"/>
        </w:rPr>
        <w:t>”</w:t>
      </w:r>
      <w:r>
        <w:rPr>
          <w:rFonts w:ascii="Times New Roman" w:hAnsi="Times New Roman" w:cs="Times New Roman"/>
        </w:rPr>
        <w:t>四大举措，丰富存款产品体系，挖掘保银协同投融资项目资金全链条机会，推动公司存款稳步增长。提升活期存款、定期存款、大额存单、现金管理、慧系列、瞬时系列、债券承销、企业资金托管等产品组合营销能力，持续提升客户结算资金沉淀，实现公司存款结构优化。</w:t>
      </w:r>
      <w:r>
        <w:rPr>
          <w:rFonts w:ascii="Times New Roman" w:hAnsi="Times New Roman" w:cs="Times New Roman" w:hint="eastAsia"/>
        </w:rPr>
        <w:t>截至</w:t>
      </w:r>
      <w:r>
        <w:rPr>
          <w:rFonts w:ascii="Times New Roman" w:hAnsi="Times New Roman" w:cs="Times New Roman" w:hint="eastAsia"/>
        </w:rPr>
        <w:t>2</w:t>
      </w:r>
      <w:r>
        <w:rPr>
          <w:rFonts w:ascii="Times New Roman" w:hAnsi="Times New Roman" w:cs="Times New Roman"/>
        </w:rPr>
        <w:t>02</w:t>
      </w:r>
      <w:r>
        <w:rPr>
          <w:rFonts w:ascii="Times New Roman" w:hAnsi="Times New Roman" w:cs="Times New Roman" w:hint="eastAsia"/>
        </w:rPr>
        <w:t>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rPr>
        <w:t>末，公司</w:t>
      </w:r>
      <w:r>
        <w:rPr>
          <w:rFonts w:ascii="Times New Roman" w:hAnsi="Times New Roman" w:cs="Times New Roman" w:hint="eastAsia"/>
        </w:rPr>
        <w:t>客户活期</w:t>
      </w:r>
      <w:r>
        <w:rPr>
          <w:rFonts w:ascii="Times New Roman" w:hAnsi="Times New Roman" w:cs="Times New Roman"/>
        </w:rPr>
        <w:t>存款</w:t>
      </w:r>
      <w:r>
        <w:rPr>
          <w:rFonts w:ascii="Times New Roman" w:hAnsi="Times New Roman" w:cs="Times New Roman" w:hint="eastAsia"/>
        </w:rPr>
        <w:t>与定期存款合计</w:t>
      </w:r>
      <w:r>
        <w:rPr>
          <w:rFonts w:ascii="Times New Roman" w:hAnsi="Times New Roman" w:cs="Times New Roman"/>
        </w:rPr>
        <w:t>15</w:t>
      </w:r>
      <w:r>
        <w:rPr>
          <w:rFonts w:ascii="Times New Roman" w:hAnsi="Times New Roman" w:cs="Times New Roman" w:hint="eastAsia"/>
        </w:rPr>
        <w:t>,</w:t>
      </w:r>
      <w:r>
        <w:rPr>
          <w:rFonts w:ascii="Times New Roman" w:hAnsi="Times New Roman" w:cs="Times New Roman"/>
        </w:rPr>
        <w:t>558</w:t>
      </w:r>
      <w:r>
        <w:rPr>
          <w:rFonts w:ascii="Times New Roman" w:hAnsi="Times New Roman" w:cs="Times New Roman" w:hint="eastAsia"/>
        </w:rPr>
        <w:t>.7</w:t>
      </w:r>
      <w:r>
        <w:rPr>
          <w:rFonts w:ascii="Times New Roman" w:hAnsi="Times New Roman" w:cs="Times New Roman"/>
        </w:rPr>
        <w:t>亿元，较年初增长</w:t>
      </w:r>
      <w:r>
        <w:rPr>
          <w:rFonts w:ascii="Times New Roman" w:hAnsi="Times New Roman" w:cs="Times New Roman" w:hint="eastAsia"/>
        </w:rPr>
        <w:t>6.8</w:t>
      </w:r>
      <w:r>
        <w:rPr>
          <w:rFonts w:ascii="Times New Roman" w:hAnsi="Times New Roman" w:cs="Times New Roman"/>
        </w:rPr>
        <w:t>%</w:t>
      </w:r>
      <w:r>
        <w:rPr>
          <w:rFonts w:ascii="Times New Roman" w:hAnsi="Times New Roman" w:cs="Times New Roman"/>
        </w:rPr>
        <w:t>。</w:t>
      </w:r>
    </w:p>
    <w:p w14:paraId="1324982C" w14:textId="77777777" w:rsidR="00DE1B44" w:rsidRDefault="00D40582">
      <w:pPr>
        <w:pStyle w:val="58"/>
        <w:spacing w:before="120"/>
        <w:ind w:firstLine="482"/>
        <w:rPr>
          <w:rFonts w:ascii="Times New Roman" w:hAnsi="Times New Roman"/>
        </w:rPr>
      </w:pPr>
      <w:r>
        <w:rPr>
          <w:rFonts w:ascii="Times New Roman" w:hAnsi="Times New Roman"/>
        </w:rPr>
        <w:t>2</w:t>
      </w:r>
      <w:r>
        <w:rPr>
          <w:rFonts w:ascii="Times New Roman" w:hAnsi="Times New Roman"/>
        </w:rPr>
        <w:t>、</w:t>
      </w:r>
      <w:r>
        <w:rPr>
          <w:rFonts w:ascii="Times New Roman" w:hAnsi="Times New Roman" w:hint="eastAsia"/>
        </w:rPr>
        <w:t>跨境金融业务</w:t>
      </w:r>
    </w:p>
    <w:p w14:paraId="7DEE7B11"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本行加强与监管机构的科技项目合作，与外汇局跨境金融区块链服务平台直联，成为粤港澳大湾区内首家实现与平台直联的银行，也是以总对</w:t>
      </w:r>
      <w:proofErr w:type="gramStart"/>
      <w:r>
        <w:rPr>
          <w:rFonts w:ascii="Times New Roman" w:hAnsi="Times New Roman" w:cs="Times New Roman" w:hint="eastAsia"/>
        </w:rPr>
        <w:t>总形式</w:t>
      </w:r>
      <w:proofErr w:type="gramEnd"/>
      <w:r>
        <w:rPr>
          <w:rFonts w:ascii="Times New Roman" w:hAnsi="Times New Roman" w:cs="Times New Roman" w:hint="eastAsia"/>
        </w:rPr>
        <w:t>实现直联的全国性股份制商业银行之一。本行</w:t>
      </w:r>
      <w:r>
        <w:rPr>
          <w:rFonts w:ascii="Times New Roman" w:hAnsi="Times New Roman" w:cs="Times New Roman"/>
        </w:rPr>
        <w:t>推出服务于境内外企业联动的综合金融服务方案</w:t>
      </w:r>
      <w:r>
        <w:rPr>
          <w:rFonts w:ascii="Times New Roman" w:hAnsi="Times New Roman" w:cs="Times New Roman" w:hint="eastAsia"/>
        </w:rPr>
        <w:t>“</w:t>
      </w:r>
      <w:r>
        <w:rPr>
          <w:rFonts w:ascii="Times New Roman" w:hAnsi="Times New Roman" w:cs="Times New Roman"/>
        </w:rPr>
        <w:t>跨境通</w:t>
      </w:r>
      <w:r>
        <w:rPr>
          <w:rFonts w:ascii="Times New Roman" w:hAnsi="Times New Roman" w:cs="Times New Roman" w:hint="eastAsia"/>
        </w:rPr>
        <w:t>”</w:t>
      </w:r>
      <w:r>
        <w:rPr>
          <w:rFonts w:ascii="Times New Roman" w:hAnsi="Times New Roman" w:cs="Times New Roman"/>
        </w:rPr>
        <w:t>，并全面升级线上化服务</w:t>
      </w:r>
      <w:r>
        <w:rPr>
          <w:rFonts w:ascii="Times New Roman" w:hAnsi="Times New Roman" w:cs="Times New Roman" w:hint="eastAsia"/>
        </w:rPr>
        <w:t>“</w:t>
      </w:r>
      <w:r>
        <w:rPr>
          <w:rFonts w:ascii="Times New Roman" w:hAnsi="Times New Roman" w:cs="Times New Roman"/>
        </w:rPr>
        <w:t>跨境瞬时通</w:t>
      </w:r>
      <w:r>
        <w:rPr>
          <w:rFonts w:ascii="Times New Roman" w:hAnsi="Times New Roman" w:cs="Times New Roman" w:hint="eastAsia"/>
        </w:rPr>
        <w:t>”</w:t>
      </w:r>
      <w:r>
        <w:rPr>
          <w:rFonts w:ascii="Times New Roman" w:hAnsi="Times New Roman" w:cs="Times New Roman"/>
        </w:rPr>
        <w:t>系列产品，一站式全方位满足企业跨境结算、投融资、存款理财、避险增值、资金管理等需求，助力企业</w:t>
      </w:r>
      <w:r>
        <w:rPr>
          <w:rFonts w:ascii="Times New Roman" w:hAnsi="Times New Roman" w:cs="Times New Roman" w:hint="eastAsia"/>
        </w:rPr>
        <w:t>“</w:t>
      </w:r>
      <w:r>
        <w:rPr>
          <w:rFonts w:ascii="Times New Roman" w:hAnsi="Times New Roman" w:cs="Times New Roman"/>
        </w:rPr>
        <w:t>跨境联动</w:t>
      </w:r>
      <w:r>
        <w:rPr>
          <w:rFonts w:ascii="Times New Roman" w:hAnsi="Times New Roman" w:cs="Times New Roman"/>
        </w:rPr>
        <w:t xml:space="preserve"> </w:t>
      </w:r>
      <w:r>
        <w:rPr>
          <w:rFonts w:ascii="Times New Roman" w:hAnsi="Times New Roman" w:cs="Times New Roman"/>
        </w:rPr>
        <w:t>融通全球</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积极</w:t>
      </w:r>
      <w:r>
        <w:rPr>
          <w:rFonts w:ascii="Times New Roman" w:hAnsi="Times New Roman" w:cs="Times New Roman"/>
        </w:rPr>
        <w:t>开展</w:t>
      </w:r>
      <w:r>
        <w:rPr>
          <w:rFonts w:ascii="Times New Roman" w:hAnsi="Times New Roman" w:cs="Times New Roman"/>
        </w:rPr>
        <w:t>NRA</w:t>
      </w:r>
      <w:r>
        <w:rPr>
          <w:rFonts w:ascii="Times New Roman" w:hAnsi="Times New Roman" w:cs="Times New Roman"/>
        </w:rPr>
        <w:t>项下创新尝试</w:t>
      </w:r>
      <w:r>
        <w:rPr>
          <w:rFonts w:ascii="Times New Roman" w:hAnsi="Times New Roman" w:cs="Times New Roman" w:hint="eastAsia"/>
        </w:rPr>
        <w:t>，实现</w:t>
      </w:r>
      <w:r>
        <w:rPr>
          <w:rFonts w:ascii="Times New Roman" w:hAnsi="Times New Roman" w:cs="Times New Roman"/>
        </w:rPr>
        <w:t>NRA</w:t>
      </w:r>
      <w:r>
        <w:rPr>
          <w:rFonts w:ascii="Times New Roman" w:hAnsi="Times New Roman" w:cs="Times New Roman"/>
        </w:rPr>
        <w:t>项下非融资保函、跨境并购融资突破。</w:t>
      </w:r>
    </w:p>
    <w:p w14:paraId="40F42606" w14:textId="77777777" w:rsidR="00DE1B44" w:rsidRDefault="00D40582">
      <w:pPr>
        <w:pStyle w:val="58"/>
        <w:spacing w:before="120"/>
        <w:ind w:firstLine="482"/>
        <w:rPr>
          <w:rFonts w:ascii="Times New Roman" w:hAnsi="Times New Roman"/>
        </w:rPr>
      </w:pPr>
      <w:r>
        <w:rPr>
          <w:rFonts w:ascii="Times New Roman" w:hAnsi="Times New Roman"/>
        </w:rPr>
        <w:t>3</w:t>
      </w:r>
      <w:r>
        <w:rPr>
          <w:rFonts w:ascii="Times New Roman" w:hAnsi="Times New Roman"/>
        </w:rPr>
        <w:t>、</w:t>
      </w:r>
      <w:r>
        <w:rPr>
          <w:rFonts w:ascii="Times New Roman" w:hAnsi="Times New Roman" w:hint="eastAsia"/>
        </w:rPr>
        <w:t>“供应链</w:t>
      </w:r>
      <w:r>
        <w:rPr>
          <w:rFonts w:ascii="Times New Roman" w:hAnsi="Times New Roman" w:hint="eastAsia"/>
        </w:rPr>
        <w:t>+</w:t>
      </w:r>
      <w:r>
        <w:rPr>
          <w:rFonts w:ascii="Times New Roman" w:hAnsi="Times New Roman" w:hint="eastAsia"/>
        </w:rPr>
        <w:t>票据”业务</w:t>
      </w:r>
    </w:p>
    <w:p w14:paraId="71638EEA"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本行通过行业</w:t>
      </w:r>
      <w:r>
        <w:rPr>
          <w:rFonts w:ascii="Times New Roman" w:hAnsi="Times New Roman" w:cs="Times New Roman"/>
        </w:rPr>
        <w:t>/</w:t>
      </w:r>
      <w:r>
        <w:rPr>
          <w:rFonts w:ascii="Times New Roman" w:hAnsi="Times New Roman" w:cs="Times New Roman"/>
        </w:rPr>
        <w:t>项目创新方式，积极推动供应链融资模式创新，助力产业链中小</w:t>
      </w:r>
      <w:proofErr w:type="gramStart"/>
      <w:r>
        <w:rPr>
          <w:rFonts w:ascii="Times New Roman" w:hAnsi="Times New Roman" w:cs="Times New Roman"/>
        </w:rPr>
        <w:t>微企业</w:t>
      </w:r>
      <w:proofErr w:type="gramEnd"/>
      <w:r>
        <w:rPr>
          <w:rFonts w:ascii="Times New Roman" w:hAnsi="Times New Roman" w:cs="Times New Roman"/>
        </w:rPr>
        <w:t>复工复产。与中国人民银行中征应收账款融资服务平台开展合作，为政府采购的供应商提供线上化订单融资服务，进一步提升中小</w:t>
      </w:r>
      <w:proofErr w:type="gramStart"/>
      <w:r>
        <w:rPr>
          <w:rFonts w:ascii="Times New Roman" w:hAnsi="Times New Roman" w:cs="Times New Roman"/>
        </w:rPr>
        <w:t>微企业</w:t>
      </w:r>
      <w:proofErr w:type="gramEnd"/>
      <w:r>
        <w:rPr>
          <w:rFonts w:ascii="Times New Roman" w:hAnsi="Times New Roman" w:cs="Times New Roman"/>
        </w:rPr>
        <w:t>金融服务能力。</w:t>
      </w:r>
      <w:r>
        <w:rPr>
          <w:rFonts w:ascii="Times New Roman" w:hAnsi="Times New Roman" w:cs="Times New Roman" w:hint="eastAsia"/>
        </w:rPr>
        <w:t>本行持续推动数字化建设，发挥数字金融力量，升级完善“</w:t>
      </w:r>
      <w:r>
        <w:rPr>
          <w:rFonts w:ascii="Times New Roman" w:hAnsi="Times New Roman" w:cs="Times New Roman"/>
        </w:rPr>
        <w:t>e</w:t>
      </w:r>
      <w:r>
        <w:rPr>
          <w:rFonts w:ascii="Times New Roman" w:hAnsi="Times New Roman" w:cs="Times New Roman"/>
        </w:rPr>
        <w:t>秒票据</w:t>
      </w:r>
      <w:r>
        <w:rPr>
          <w:rFonts w:ascii="Times New Roman" w:hAnsi="Times New Roman" w:cs="Times New Roman" w:hint="eastAsia"/>
        </w:rPr>
        <w:t>”</w:t>
      </w:r>
      <w:r>
        <w:rPr>
          <w:rFonts w:ascii="Times New Roman" w:hAnsi="Times New Roman" w:cs="Times New Roman"/>
        </w:rPr>
        <w:t>系列产品多项功能。同时，本行积极推广电子票据产品运用，通过差异化定价及专项</w:t>
      </w:r>
      <w:r>
        <w:rPr>
          <w:rFonts w:ascii="Times New Roman" w:hAnsi="Times New Roman" w:cs="Times New Roman"/>
        </w:rPr>
        <w:t>FTP</w:t>
      </w:r>
      <w:r>
        <w:rPr>
          <w:rFonts w:ascii="Times New Roman" w:hAnsi="Times New Roman" w:cs="Times New Roman"/>
        </w:rPr>
        <w:t>补贴等措施，支持小</w:t>
      </w:r>
      <w:proofErr w:type="gramStart"/>
      <w:r>
        <w:rPr>
          <w:rFonts w:ascii="Times New Roman" w:hAnsi="Times New Roman" w:cs="Times New Roman"/>
        </w:rPr>
        <w:t>微企业</w:t>
      </w:r>
      <w:proofErr w:type="gramEnd"/>
      <w:r>
        <w:rPr>
          <w:rFonts w:ascii="Times New Roman" w:hAnsi="Times New Roman" w:cs="Times New Roman"/>
        </w:rPr>
        <w:t>发展。</w:t>
      </w:r>
    </w:p>
    <w:p w14:paraId="136EA5F0" w14:textId="77777777" w:rsidR="00DE1B44" w:rsidRDefault="00D40582">
      <w:pPr>
        <w:pStyle w:val="58"/>
        <w:spacing w:before="120"/>
        <w:ind w:firstLine="482"/>
        <w:rPr>
          <w:rFonts w:ascii="Times New Roman" w:hAnsi="Times New Roman"/>
        </w:rPr>
      </w:pPr>
      <w:r>
        <w:rPr>
          <w:rFonts w:ascii="Times New Roman" w:hAnsi="Times New Roman"/>
        </w:rPr>
        <w:t>4</w:t>
      </w:r>
      <w:r>
        <w:rPr>
          <w:rFonts w:ascii="Times New Roman" w:hAnsi="Times New Roman"/>
        </w:rPr>
        <w:t>、</w:t>
      </w:r>
      <w:r>
        <w:rPr>
          <w:rFonts w:ascii="Times New Roman" w:hAnsi="Times New Roman" w:hint="eastAsia"/>
        </w:rPr>
        <w:t>现金管理业务</w:t>
      </w:r>
    </w:p>
    <w:p w14:paraId="16E0B6A4"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新冠疫情期间，</w:t>
      </w:r>
      <w:proofErr w:type="gramStart"/>
      <w:r>
        <w:rPr>
          <w:rFonts w:ascii="Times New Roman" w:hAnsi="Times New Roman" w:cs="Times New Roman"/>
        </w:rPr>
        <w:t>本行第</w:t>
      </w:r>
      <w:proofErr w:type="gramEnd"/>
      <w:r>
        <w:rPr>
          <w:rFonts w:ascii="Times New Roman" w:hAnsi="Times New Roman" w:cs="Times New Roman"/>
        </w:rPr>
        <w:t>一时间开展手续费减免和加强业务线上办理的宣传引导，充分发挥电子渠道线上服务优势，为对公客户提供无接触金融服务，支持企业复工复产；积极进行数字化转型，以金融科技推动现金管理业务进一步向场景化、开放化、智能化发展</w:t>
      </w:r>
      <w:r>
        <w:rPr>
          <w:rFonts w:ascii="Times New Roman" w:hAnsi="Times New Roman" w:cs="Times New Roman" w:hint="eastAsia"/>
        </w:rPr>
        <w:t>。</w:t>
      </w:r>
    </w:p>
    <w:p w14:paraId="45CB6BDF" w14:textId="77777777" w:rsidR="00DE1B44" w:rsidRDefault="00D40582">
      <w:pPr>
        <w:pStyle w:val="58"/>
        <w:spacing w:before="120"/>
        <w:ind w:firstLine="482"/>
        <w:rPr>
          <w:rFonts w:ascii="Times New Roman" w:hAnsi="Times New Roman"/>
        </w:rPr>
      </w:pPr>
      <w:r>
        <w:rPr>
          <w:rFonts w:ascii="Times New Roman" w:hAnsi="Times New Roman"/>
        </w:rPr>
        <w:t>5</w:t>
      </w:r>
      <w:r>
        <w:rPr>
          <w:rFonts w:ascii="Times New Roman" w:hAnsi="Times New Roman"/>
        </w:rPr>
        <w:t>、</w:t>
      </w:r>
      <w:r>
        <w:rPr>
          <w:rFonts w:ascii="Times New Roman" w:hAnsi="Times New Roman" w:hint="eastAsia"/>
        </w:rPr>
        <w:t>普惠金融业务</w:t>
      </w:r>
    </w:p>
    <w:p w14:paraId="27F62FFE"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本行通过配置专项信贷额度、加大</w:t>
      </w:r>
      <w:r>
        <w:rPr>
          <w:rFonts w:ascii="Times New Roman" w:hAnsi="Times New Roman" w:cs="Times New Roman"/>
        </w:rPr>
        <w:t>FTP</w:t>
      </w:r>
      <w:r>
        <w:rPr>
          <w:rFonts w:ascii="Times New Roman" w:hAnsi="Times New Roman" w:cs="Times New Roman"/>
        </w:rPr>
        <w:t>优惠力度、制定尽职免责细则、提高不良容忍度、加大考核激励、逐步建设分行普惠金融架构等举措，推动普惠金融高质量发展。</w:t>
      </w:r>
      <w:r>
        <w:rPr>
          <w:rFonts w:ascii="Times New Roman" w:hAnsi="Times New Roman" w:cs="Times New Roman" w:hint="eastAsia"/>
        </w:rPr>
        <w:lastRenderedPageBreak/>
        <w:t>2</w:t>
      </w:r>
      <w:r>
        <w:rPr>
          <w:rFonts w:ascii="Times New Roman" w:hAnsi="Times New Roman" w:cs="Times New Roman"/>
        </w:rPr>
        <w:t>02</w:t>
      </w:r>
      <w:r>
        <w:rPr>
          <w:rFonts w:ascii="Times New Roman" w:hAnsi="Times New Roman" w:cs="Times New Roman" w:hint="eastAsia"/>
        </w:rPr>
        <w:t>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月末，本行</w:t>
      </w:r>
      <w:r>
        <w:rPr>
          <w:rFonts w:ascii="Times New Roman" w:hAnsi="Times New Roman" w:cs="Times New Roman"/>
        </w:rPr>
        <w:t>普惠型小</w:t>
      </w:r>
      <w:proofErr w:type="gramStart"/>
      <w:r>
        <w:rPr>
          <w:rFonts w:ascii="Times New Roman" w:hAnsi="Times New Roman" w:cs="Times New Roman"/>
        </w:rPr>
        <w:t>微企业</w:t>
      </w:r>
      <w:proofErr w:type="gramEnd"/>
      <w:r>
        <w:rPr>
          <w:rFonts w:ascii="Times New Roman" w:hAnsi="Times New Roman" w:cs="Times New Roman"/>
        </w:rPr>
        <w:t>贷款余额</w:t>
      </w:r>
      <w:r>
        <w:rPr>
          <w:rFonts w:ascii="Times New Roman" w:hAnsi="Times New Roman" w:cs="Times New Roman"/>
        </w:rPr>
        <w:t>1,2</w:t>
      </w:r>
      <w:r>
        <w:rPr>
          <w:rFonts w:ascii="Times New Roman" w:hAnsi="Times New Roman" w:cs="Times New Roman" w:hint="eastAsia"/>
        </w:rPr>
        <w:t>60</w:t>
      </w:r>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亿元，较年初增长</w:t>
      </w:r>
      <w:r>
        <w:rPr>
          <w:rFonts w:ascii="Times New Roman" w:hAnsi="Times New Roman" w:cs="Times New Roman" w:hint="eastAsia"/>
        </w:rPr>
        <w:t>13</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rPr>
        <w:t>，高于</w:t>
      </w:r>
      <w:r>
        <w:rPr>
          <w:rFonts w:ascii="Times New Roman" w:hAnsi="Times New Roman" w:cs="Times New Roman" w:hint="eastAsia"/>
        </w:rPr>
        <w:t>同期</w:t>
      </w:r>
      <w:r>
        <w:rPr>
          <w:rFonts w:ascii="Times New Roman" w:hAnsi="Times New Roman" w:cs="Times New Roman"/>
        </w:rPr>
        <w:t>各项贷款增速</w:t>
      </w:r>
      <w:r>
        <w:rPr>
          <w:rFonts w:ascii="Times New Roman" w:hAnsi="Times New Roman" w:cs="Times New Roman" w:hint="eastAsia"/>
        </w:rPr>
        <w:t>。</w:t>
      </w:r>
      <w:r>
        <w:rPr>
          <w:rFonts w:ascii="Times New Roman" w:hAnsi="Times New Roman" w:cs="Times New Roman"/>
        </w:rPr>
        <w:t>普惠型涉农贷款余额</w:t>
      </w:r>
      <w:r>
        <w:rPr>
          <w:rFonts w:ascii="Times New Roman" w:hAnsi="Times New Roman" w:cs="Times New Roman" w:hint="eastAsia"/>
        </w:rPr>
        <w:t>156</w:t>
      </w:r>
      <w:r>
        <w:rPr>
          <w:rFonts w:ascii="Times New Roman" w:hAnsi="Times New Roman" w:cs="Times New Roman"/>
        </w:rPr>
        <w:t>.</w:t>
      </w:r>
      <w:r>
        <w:rPr>
          <w:rFonts w:ascii="Times New Roman" w:hAnsi="Times New Roman" w:cs="Times New Roman" w:hint="eastAsia"/>
        </w:rPr>
        <w:t>8</w:t>
      </w:r>
      <w:r>
        <w:rPr>
          <w:rFonts w:ascii="Times New Roman" w:hAnsi="Times New Roman" w:cs="Times New Roman"/>
        </w:rPr>
        <w:t>亿元，较年初增长</w:t>
      </w:r>
      <w:r>
        <w:rPr>
          <w:rFonts w:ascii="Times New Roman" w:hAnsi="Times New Roman" w:cs="Times New Roman" w:hint="eastAsia"/>
        </w:rPr>
        <w:t>32</w:t>
      </w:r>
      <w:r>
        <w:rPr>
          <w:rFonts w:ascii="Times New Roman" w:hAnsi="Times New Roman" w:cs="Times New Roman"/>
        </w:rPr>
        <w:t>.</w:t>
      </w:r>
      <w:r>
        <w:rPr>
          <w:rFonts w:ascii="Times New Roman" w:hAnsi="Times New Roman" w:cs="Times New Roman" w:hint="eastAsia"/>
        </w:rPr>
        <w:t>8</w:t>
      </w:r>
      <w:r>
        <w:rPr>
          <w:rFonts w:ascii="Times New Roman" w:hAnsi="Times New Roman" w:cs="Times New Roman"/>
        </w:rPr>
        <w:t>%</w:t>
      </w:r>
      <w:r>
        <w:rPr>
          <w:rFonts w:ascii="Times New Roman" w:hAnsi="Times New Roman" w:cs="Times New Roman"/>
        </w:rPr>
        <w:t>，金融精准扶贫贷款余额</w:t>
      </w:r>
      <w:r>
        <w:rPr>
          <w:rFonts w:ascii="Times New Roman" w:hAnsi="Times New Roman" w:cs="Times New Roman"/>
        </w:rPr>
        <w:t>1</w:t>
      </w:r>
      <w:r>
        <w:rPr>
          <w:rFonts w:ascii="Times New Roman" w:hAnsi="Times New Roman" w:cs="Times New Roman" w:hint="eastAsia"/>
        </w:rPr>
        <w:t>56</w:t>
      </w:r>
      <w:r>
        <w:rPr>
          <w:rFonts w:ascii="Times New Roman" w:hAnsi="Times New Roman" w:cs="Times New Roman"/>
        </w:rPr>
        <w:t>.</w:t>
      </w:r>
      <w:r>
        <w:rPr>
          <w:rFonts w:ascii="Times New Roman" w:hAnsi="Times New Roman" w:cs="Times New Roman" w:hint="eastAsia"/>
        </w:rPr>
        <w:t>9</w:t>
      </w:r>
      <w:r>
        <w:rPr>
          <w:rFonts w:ascii="Times New Roman" w:hAnsi="Times New Roman" w:cs="Times New Roman"/>
        </w:rPr>
        <w:t>亿元，</w:t>
      </w:r>
      <w:proofErr w:type="gramStart"/>
      <w:r>
        <w:rPr>
          <w:rFonts w:ascii="Times New Roman" w:hAnsi="Times New Roman" w:cs="Times New Roman"/>
        </w:rPr>
        <w:t>实现余额</w:t>
      </w:r>
      <w:proofErr w:type="gramEnd"/>
      <w:r>
        <w:rPr>
          <w:rFonts w:ascii="Times New Roman" w:hAnsi="Times New Roman" w:cs="Times New Roman"/>
        </w:rPr>
        <w:t>持续增长。</w:t>
      </w:r>
    </w:p>
    <w:p w14:paraId="2A9BDEEB" w14:textId="77777777" w:rsidR="00DE1B44" w:rsidRDefault="00D40582">
      <w:pPr>
        <w:pStyle w:val="4a"/>
        <w:spacing w:before="120"/>
        <w:rPr>
          <w:rFonts w:ascii="Times New Roman" w:hAnsi="Times New Roman"/>
        </w:rPr>
      </w:pPr>
      <w:r>
        <w:rPr>
          <w:rFonts w:ascii="Times New Roman" w:hAnsi="Times New Roman"/>
        </w:rPr>
        <w:t>（</w:t>
      </w:r>
      <w:r>
        <w:rPr>
          <w:rFonts w:ascii="Times New Roman" w:hAnsi="Times New Roman" w:hint="eastAsia"/>
        </w:rPr>
        <w:t>二</w:t>
      </w:r>
      <w:r>
        <w:rPr>
          <w:rFonts w:ascii="Times New Roman" w:hAnsi="Times New Roman"/>
        </w:rPr>
        <w:t>）</w:t>
      </w:r>
      <w:r>
        <w:rPr>
          <w:rFonts w:ascii="Times New Roman" w:hAnsi="Times New Roman" w:hint="eastAsia"/>
        </w:rPr>
        <w:t>零售金融业务</w:t>
      </w:r>
    </w:p>
    <w:p w14:paraId="38C3A753"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本行聚焦</w:t>
      </w:r>
      <w:r>
        <w:rPr>
          <w:rFonts w:ascii="Times New Roman" w:hAnsi="Times New Roman" w:cs="Times New Roman" w:hint="eastAsia"/>
        </w:rPr>
        <w:t>“</w:t>
      </w:r>
      <w:r>
        <w:rPr>
          <w:rFonts w:ascii="Times New Roman" w:hAnsi="Times New Roman" w:cs="Times New Roman"/>
        </w:rPr>
        <w:t>突出零售</w:t>
      </w:r>
      <w:r>
        <w:rPr>
          <w:rFonts w:ascii="Times New Roman" w:hAnsi="Times New Roman" w:cs="Times New Roman" w:hint="eastAsia"/>
        </w:rPr>
        <w:t>”</w:t>
      </w:r>
      <w:r>
        <w:rPr>
          <w:rFonts w:ascii="Times New Roman" w:hAnsi="Times New Roman" w:cs="Times New Roman"/>
        </w:rPr>
        <w:t>业务定位，加快零售业务转型，充分发挥集团协同优势和信用卡业务优势，着力推进</w:t>
      </w:r>
      <w:r>
        <w:rPr>
          <w:rFonts w:ascii="Times New Roman" w:hAnsi="Times New Roman" w:cs="Times New Roman" w:hint="eastAsia"/>
        </w:rPr>
        <w:t>“</w:t>
      </w:r>
      <w:r>
        <w:rPr>
          <w:rFonts w:ascii="Times New Roman" w:hAnsi="Times New Roman" w:cs="Times New Roman"/>
        </w:rPr>
        <w:t>客户经营、数字驱动、生态建设</w:t>
      </w:r>
      <w:r>
        <w:rPr>
          <w:rFonts w:ascii="Times New Roman" w:hAnsi="Times New Roman" w:cs="Times New Roman" w:hint="eastAsia"/>
        </w:rPr>
        <w:t>”</w:t>
      </w:r>
      <w:r>
        <w:rPr>
          <w:rFonts w:ascii="Times New Roman" w:hAnsi="Times New Roman" w:cs="Times New Roman"/>
        </w:rPr>
        <w:t>三大转型；持续强化信用卡、财富管理及私人银行、消费金融业务，积极推进养老金融、出国金融、跨境金融等特色金融发展，不断提升零售差异化竞争力；深化线上线下</w:t>
      </w:r>
      <w:proofErr w:type="gramStart"/>
      <w:r>
        <w:rPr>
          <w:rFonts w:ascii="Times New Roman" w:hAnsi="Times New Roman" w:cs="Times New Roman"/>
        </w:rPr>
        <w:t>全渠道</w:t>
      </w:r>
      <w:proofErr w:type="gramEnd"/>
      <w:r>
        <w:rPr>
          <w:rFonts w:ascii="Times New Roman" w:hAnsi="Times New Roman" w:cs="Times New Roman"/>
        </w:rPr>
        <w:t>协同经营，积极推进开放银行建设，推进线下网点数字化转型，加速零售业务高质量发展。</w:t>
      </w:r>
    </w:p>
    <w:p w14:paraId="44F6FFB5" w14:textId="77777777" w:rsidR="00DE1B44" w:rsidRDefault="00D40582">
      <w:pPr>
        <w:pStyle w:val="58"/>
        <w:spacing w:before="120"/>
        <w:ind w:firstLine="482"/>
        <w:rPr>
          <w:rFonts w:ascii="Times New Roman" w:hAnsi="Times New Roman"/>
        </w:rPr>
      </w:pPr>
      <w:r>
        <w:rPr>
          <w:rFonts w:ascii="Times New Roman" w:hAnsi="Times New Roman"/>
        </w:rPr>
        <w:t>1</w:t>
      </w:r>
      <w:r>
        <w:rPr>
          <w:rFonts w:ascii="Times New Roman" w:hAnsi="Times New Roman"/>
        </w:rPr>
        <w:t>、</w:t>
      </w:r>
      <w:r>
        <w:rPr>
          <w:rFonts w:ascii="Times New Roman" w:hAnsi="Times New Roman" w:hint="eastAsia"/>
        </w:rPr>
        <w:t>财富管理业务</w:t>
      </w:r>
    </w:p>
    <w:p w14:paraId="52BC9373"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本行持续深化批量获客，针对重点客群，结合主推产品，加强精准营销</w:t>
      </w:r>
      <w:r>
        <w:rPr>
          <w:rFonts w:ascii="Times New Roman" w:hAnsi="Times New Roman" w:cs="Times New Roman" w:hint="eastAsia"/>
        </w:rPr>
        <w:t>。本行</w:t>
      </w:r>
      <w:r>
        <w:rPr>
          <w:rFonts w:ascii="Times New Roman" w:hAnsi="Times New Roman" w:cs="Times New Roman"/>
        </w:rPr>
        <w:t>依托集团生态圈，打造综合金融，推进保银协同</w:t>
      </w:r>
      <w:proofErr w:type="gramStart"/>
      <w:r>
        <w:rPr>
          <w:rFonts w:ascii="Times New Roman" w:hAnsi="Times New Roman" w:cs="Times New Roman"/>
        </w:rPr>
        <w:t>渠道获客</w:t>
      </w:r>
      <w:proofErr w:type="gramEnd"/>
      <w:r>
        <w:rPr>
          <w:rFonts w:ascii="Times New Roman" w:hAnsi="Times New Roman" w:cs="Times New Roman" w:hint="eastAsia"/>
        </w:rPr>
        <w:t>；</w:t>
      </w:r>
      <w:r>
        <w:rPr>
          <w:rFonts w:ascii="Times New Roman" w:hAnsi="Times New Roman" w:cs="Times New Roman"/>
        </w:rPr>
        <w:t>推广社保</w:t>
      </w:r>
      <w:r>
        <w:rPr>
          <w:rFonts w:ascii="Times New Roman" w:hAnsi="Times New Roman" w:cs="Times New Roman"/>
        </w:rPr>
        <w:t>3.0</w:t>
      </w:r>
      <w:r>
        <w:rPr>
          <w:rFonts w:ascii="Times New Roman" w:hAnsi="Times New Roman" w:cs="Times New Roman"/>
        </w:rPr>
        <w:t>营销活动，提升社保有效户占比</w:t>
      </w:r>
      <w:r>
        <w:rPr>
          <w:rFonts w:ascii="Times New Roman" w:hAnsi="Times New Roman" w:cs="Times New Roman" w:hint="eastAsia"/>
        </w:rPr>
        <w:t>；</w:t>
      </w:r>
      <w:r>
        <w:rPr>
          <w:rFonts w:ascii="Times New Roman" w:hAnsi="Times New Roman" w:cs="Times New Roman"/>
        </w:rPr>
        <w:t>持续丰富双卡联动营销获客场景，提升信用卡团队转介有效户贡献</w:t>
      </w:r>
      <w:r>
        <w:rPr>
          <w:rFonts w:ascii="Times New Roman" w:hAnsi="Times New Roman" w:cs="Times New Roman" w:hint="eastAsia"/>
        </w:rPr>
        <w:t>；</w:t>
      </w:r>
      <w:r>
        <w:rPr>
          <w:rFonts w:ascii="Times New Roman" w:hAnsi="Times New Roman" w:cs="Times New Roman"/>
        </w:rPr>
        <w:t>持续升级代发工资等公私联动营销模式，提高对公企业代发渗透。</w:t>
      </w:r>
      <w:r>
        <w:rPr>
          <w:rFonts w:ascii="Times New Roman" w:hAnsi="Times New Roman" w:cs="Times New Roman" w:hint="eastAsia"/>
        </w:rPr>
        <w:t>2</w:t>
      </w:r>
      <w:r>
        <w:rPr>
          <w:rFonts w:ascii="Times New Roman" w:hAnsi="Times New Roman" w:cs="Times New Roman"/>
        </w:rPr>
        <w:t>02</w:t>
      </w:r>
      <w:r>
        <w:rPr>
          <w:rFonts w:ascii="Times New Roman" w:hAnsi="Times New Roman" w:cs="Times New Roman" w:hint="eastAsia"/>
        </w:rPr>
        <w:t>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月末，</w:t>
      </w:r>
      <w:r>
        <w:rPr>
          <w:rFonts w:ascii="Times New Roman" w:hAnsi="Times New Roman" w:cs="Times New Roman"/>
        </w:rPr>
        <w:t>本行个人</w:t>
      </w:r>
      <w:r>
        <w:rPr>
          <w:rFonts w:ascii="Times New Roman" w:hAnsi="Times New Roman" w:cs="Times New Roman" w:hint="eastAsia"/>
        </w:rPr>
        <w:t>客户活期</w:t>
      </w:r>
      <w:r>
        <w:rPr>
          <w:rFonts w:ascii="Times New Roman" w:hAnsi="Times New Roman" w:cs="Times New Roman"/>
        </w:rPr>
        <w:t>存款</w:t>
      </w:r>
      <w:r>
        <w:rPr>
          <w:rFonts w:ascii="Times New Roman" w:hAnsi="Times New Roman" w:cs="Times New Roman" w:hint="eastAsia"/>
        </w:rPr>
        <w:t>和定期存款合计</w:t>
      </w:r>
      <w:r>
        <w:rPr>
          <w:rFonts w:ascii="Times New Roman" w:hAnsi="Times New Roman" w:cs="Times New Roman" w:hint="eastAsia"/>
        </w:rPr>
        <w:t>4</w:t>
      </w:r>
      <w:r>
        <w:rPr>
          <w:rFonts w:ascii="Times New Roman" w:hAnsi="Times New Roman" w:cs="Times New Roman"/>
        </w:rPr>
        <w:t>,</w:t>
      </w:r>
      <w:r>
        <w:rPr>
          <w:rFonts w:ascii="Times New Roman" w:hAnsi="Times New Roman" w:cs="Times New Roman" w:hint="eastAsia"/>
        </w:rPr>
        <w:t>092</w:t>
      </w: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亿元</w:t>
      </w:r>
      <w:r>
        <w:rPr>
          <w:rFonts w:ascii="Times New Roman" w:hAnsi="Times New Roman" w:cs="Times New Roman" w:hint="eastAsia"/>
        </w:rPr>
        <w:t>，较年初增长</w:t>
      </w:r>
      <w:r>
        <w:rPr>
          <w:rFonts w:ascii="Times New Roman" w:hAnsi="Times New Roman" w:cs="Times New Roman" w:hint="eastAsia"/>
        </w:rPr>
        <w:t>9.8%</w:t>
      </w:r>
      <w:r>
        <w:rPr>
          <w:rFonts w:ascii="Times New Roman" w:hAnsi="Times New Roman" w:cs="Times New Roman"/>
        </w:rPr>
        <w:t>。</w:t>
      </w:r>
    </w:p>
    <w:p w14:paraId="277194AC" w14:textId="77777777" w:rsidR="00DE1B44" w:rsidRDefault="00D40582">
      <w:pPr>
        <w:pStyle w:val="58"/>
        <w:spacing w:before="120"/>
        <w:ind w:firstLine="482"/>
        <w:rPr>
          <w:rFonts w:ascii="Times New Roman" w:hAnsi="Times New Roman"/>
        </w:rPr>
      </w:pPr>
      <w:r>
        <w:rPr>
          <w:rFonts w:ascii="Times New Roman" w:hAnsi="Times New Roman"/>
        </w:rPr>
        <w:t>2</w:t>
      </w:r>
      <w:r>
        <w:rPr>
          <w:rFonts w:ascii="Times New Roman" w:hAnsi="Times New Roman"/>
        </w:rPr>
        <w:t>、</w:t>
      </w:r>
      <w:r>
        <w:rPr>
          <w:rFonts w:ascii="Times New Roman" w:hAnsi="Times New Roman" w:hint="eastAsia"/>
        </w:rPr>
        <w:t>零售信贷业务</w:t>
      </w:r>
    </w:p>
    <w:p w14:paraId="4B61418E"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本行积极响应国家扩大内需战略，发展优质消费金融，</w:t>
      </w:r>
      <w:proofErr w:type="gramStart"/>
      <w:r>
        <w:rPr>
          <w:rFonts w:ascii="Times New Roman" w:hAnsi="Times New Roman" w:cs="Times New Roman"/>
        </w:rPr>
        <w:t>促进线</w:t>
      </w:r>
      <w:proofErr w:type="gramEnd"/>
      <w:r>
        <w:rPr>
          <w:rFonts w:ascii="Times New Roman" w:hAnsi="Times New Roman" w:cs="Times New Roman"/>
        </w:rPr>
        <w:t>上线下消费深度融合，推</w:t>
      </w:r>
      <w:r>
        <w:rPr>
          <w:rFonts w:ascii="Times New Roman" w:hAnsi="Times New Roman" w:cs="Times New Roman" w:hint="eastAsia"/>
        </w:rPr>
        <w:t>出“</w:t>
      </w:r>
      <w:r>
        <w:rPr>
          <w:rFonts w:ascii="Times New Roman" w:hAnsi="Times New Roman" w:cs="Times New Roman"/>
        </w:rPr>
        <w:t>鑫享贷</w:t>
      </w:r>
      <w:r>
        <w:rPr>
          <w:rFonts w:ascii="Times New Roman" w:hAnsi="Times New Roman" w:cs="Times New Roman" w:hint="eastAsia"/>
        </w:rPr>
        <w:t>”“</w:t>
      </w:r>
      <w:r>
        <w:rPr>
          <w:rFonts w:ascii="Times New Roman" w:hAnsi="Times New Roman" w:cs="Times New Roman"/>
        </w:rPr>
        <w:t>年金贷</w:t>
      </w:r>
      <w:r>
        <w:rPr>
          <w:rFonts w:ascii="Times New Roman" w:hAnsi="Times New Roman" w:cs="Times New Roman" w:hint="eastAsia"/>
        </w:rPr>
        <w:t>”</w:t>
      </w:r>
      <w:r>
        <w:rPr>
          <w:rFonts w:ascii="Times New Roman" w:hAnsi="Times New Roman" w:cs="Times New Roman"/>
        </w:rPr>
        <w:t>等信贷产品</w:t>
      </w:r>
      <w:r>
        <w:rPr>
          <w:rFonts w:ascii="Times New Roman" w:hAnsi="Times New Roman" w:cs="Times New Roman" w:hint="eastAsia"/>
        </w:rPr>
        <w:t>；</w:t>
      </w:r>
      <w:r>
        <w:rPr>
          <w:rFonts w:ascii="Times New Roman" w:hAnsi="Times New Roman" w:cs="Times New Roman"/>
        </w:rPr>
        <w:t>积极参与社会保障体系建设，与</w:t>
      </w:r>
      <w:r>
        <w:rPr>
          <w:rFonts w:ascii="Times New Roman" w:hAnsi="Times New Roman" w:cs="Times New Roman" w:hint="eastAsia"/>
        </w:rPr>
        <w:t>“</w:t>
      </w:r>
      <w:r>
        <w:rPr>
          <w:rFonts w:ascii="Times New Roman" w:hAnsi="Times New Roman" w:cs="Times New Roman"/>
        </w:rPr>
        <w:t>广东税务</w:t>
      </w:r>
      <w:r>
        <w:rPr>
          <w:rFonts w:ascii="Times New Roman" w:hAnsi="Times New Roman" w:cs="Times New Roman" w:hint="eastAsia"/>
        </w:rPr>
        <w:t>”</w:t>
      </w:r>
      <w:r>
        <w:rPr>
          <w:rFonts w:ascii="Times New Roman" w:hAnsi="Times New Roman" w:cs="Times New Roman"/>
        </w:rPr>
        <w:t>合作推出</w:t>
      </w:r>
      <w:r>
        <w:rPr>
          <w:rFonts w:ascii="Times New Roman" w:hAnsi="Times New Roman" w:cs="Times New Roman" w:hint="eastAsia"/>
        </w:rPr>
        <w:t>“</w:t>
      </w:r>
      <w:r>
        <w:rPr>
          <w:rFonts w:ascii="Times New Roman" w:hAnsi="Times New Roman" w:cs="Times New Roman"/>
        </w:rPr>
        <w:t>社保贷</w:t>
      </w:r>
      <w:r>
        <w:rPr>
          <w:rFonts w:ascii="Times New Roman" w:hAnsi="Times New Roman" w:cs="Times New Roman" w:hint="eastAsia"/>
        </w:rPr>
        <w:t>”</w:t>
      </w:r>
      <w:r>
        <w:rPr>
          <w:rFonts w:ascii="Times New Roman" w:hAnsi="Times New Roman" w:cs="Times New Roman"/>
        </w:rPr>
        <w:t>产品，成为首家股份制合作行</w:t>
      </w:r>
      <w:r>
        <w:rPr>
          <w:rFonts w:ascii="Times New Roman" w:hAnsi="Times New Roman" w:cs="Times New Roman" w:hint="eastAsia"/>
        </w:rPr>
        <w:t>；</w:t>
      </w:r>
      <w:r>
        <w:rPr>
          <w:rFonts w:ascii="Times New Roman" w:hAnsi="Times New Roman" w:cs="Times New Roman"/>
        </w:rPr>
        <w:t>加大普惠型小</w:t>
      </w:r>
      <w:proofErr w:type="gramStart"/>
      <w:r>
        <w:rPr>
          <w:rFonts w:ascii="Times New Roman" w:hAnsi="Times New Roman" w:cs="Times New Roman"/>
        </w:rPr>
        <w:t>微贷款</w:t>
      </w:r>
      <w:proofErr w:type="gramEnd"/>
      <w:r>
        <w:rPr>
          <w:rFonts w:ascii="Times New Roman" w:hAnsi="Times New Roman" w:cs="Times New Roman"/>
        </w:rPr>
        <w:t>投放并降低企业融资成本，推出抗</w:t>
      </w:r>
      <w:proofErr w:type="gramStart"/>
      <w:r>
        <w:rPr>
          <w:rFonts w:ascii="Times New Roman" w:hAnsi="Times New Roman" w:cs="Times New Roman"/>
        </w:rPr>
        <w:t>疫</w:t>
      </w:r>
      <w:proofErr w:type="gramEnd"/>
      <w:r>
        <w:rPr>
          <w:rFonts w:ascii="Times New Roman" w:hAnsi="Times New Roman" w:cs="Times New Roman"/>
        </w:rPr>
        <w:t>贷款产品，落地多个扶贫专案</w:t>
      </w:r>
      <w:r>
        <w:rPr>
          <w:rFonts w:ascii="Times New Roman" w:hAnsi="Times New Roman" w:cs="Times New Roman" w:hint="eastAsia"/>
        </w:rPr>
        <w:t>；</w:t>
      </w:r>
      <w:r>
        <w:rPr>
          <w:rFonts w:ascii="Times New Roman" w:hAnsi="Times New Roman" w:cs="Times New Roman"/>
        </w:rPr>
        <w:t>加强客</w:t>
      </w:r>
      <w:proofErr w:type="gramStart"/>
      <w:r>
        <w:rPr>
          <w:rFonts w:ascii="Times New Roman" w:hAnsi="Times New Roman" w:cs="Times New Roman"/>
        </w:rPr>
        <w:t>群特色</w:t>
      </w:r>
      <w:proofErr w:type="gramEnd"/>
      <w:r>
        <w:rPr>
          <w:rFonts w:ascii="Times New Roman" w:hAnsi="Times New Roman" w:cs="Times New Roman"/>
        </w:rPr>
        <w:t>化、差异化、精细化经营，推出</w:t>
      </w:r>
      <w:r>
        <w:rPr>
          <w:rFonts w:ascii="Times New Roman" w:hAnsi="Times New Roman" w:cs="Times New Roman" w:hint="eastAsia"/>
        </w:rPr>
        <w:t>“</w:t>
      </w:r>
      <w:r>
        <w:rPr>
          <w:rFonts w:ascii="Times New Roman" w:hAnsi="Times New Roman" w:cs="Times New Roman"/>
        </w:rPr>
        <w:t>战略客户员工贷</w:t>
      </w:r>
      <w:r>
        <w:rPr>
          <w:rFonts w:ascii="Times New Roman" w:hAnsi="Times New Roman" w:cs="Times New Roman" w:hint="eastAsia"/>
        </w:rPr>
        <w:t>”“</w:t>
      </w:r>
      <w:r>
        <w:rPr>
          <w:rFonts w:ascii="Times New Roman" w:hAnsi="Times New Roman" w:cs="Times New Roman"/>
        </w:rPr>
        <w:t>薪金贷</w:t>
      </w:r>
      <w:r>
        <w:rPr>
          <w:rFonts w:ascii="Times New Roman" w:hAnsi="Times New Roman" w:cs="Times New Roman" w:hint="eastAsia"/>
        </w:rPr>
        <w:t>”</w:t>
      </w:r>
      <w:r>
        <w:rPr>
          <w:rFonts w:ascii="Times New Roman" w:hAnsi="Times New Roman" w:cs="Times New Roman"/>
        </w:rPr>
        <w:t>等产品。本行资产组合日趋稳健，发展质</w:t>
      </w:r>
      <w:proofErr w:type="gramStart"/>
      <w:r>
        <w:rPr>
          <w:rFonts w:ascii="Times New Roman" w:hAnsi="Times New Roman" w:cs="Times New Roman"/>
        </w:rPr>
        <w:t>效持续</w:t>
      </w:r>
      <w:proofErr w:type="gramEnd"/>
      <w:r>
        <w:rPr>
          <w:rFonts w:ascii="Times New Roman" w:hAnsi="Times New Roman" w:cs="Times New Roman"/>
        </w:rPr>
        <w:t>向好。</w:t>
      </w:r>
      <w:r>
        <w:rPr>
          <w:rFonts w:ascii="Times New Roman" w:hAnsi="Times New Roman" w:cs="Times New Roman" w:hint="eastAsia"/>
        </w:rPr>
        <w:t>2</w:t>
      </w:r>
      <w:r>
        <w:rPr>
          <w:rFonts w:ascii="Times New Roman" w:hAnsi="Times New Roman" w:cs="Times New Roman"/>
        </w:rPr>
        <w:t>02</w:t>
      </w:r>
      <w:r>
        <w:rPr>
          <w:rFonts w:ascii="Times New Roman" w:hAnsi="Times New Roman" w:cs="Times New Roman" w:hint="eastAsia"/>
        </w:rPr>
        <w:t>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月末，本行个人贷款和</w:t>
      </w:r>
      <w:proofErr w:type="gramStart"/>
      <w:r>
        <w:rPr>
          <w:rFonts w:ascii="Times New Roman" w:hAnsi="Times New Roman" w:cs="Times New Roman" w:hint="eastAsia"/>
        </w:rPr>
        <w:t>垫款</w:t>
      </w:r>
      <w:r>
        <w:rPr>
          <w:rFonts w:ascii="Times New Roman" w:hAnsi="Times New Roman" w:cs="Times New Roman"/>
        </w:rPr>
        <w:t>余额</w:t>
      </w:r>
      <w:proofErr w:type="gramEnd"/>
      <w:r>
        <w:rPr>
          <w:rFonts w:ascii="Times New Roman" w:hAnsi="Times New Roman" w:cs="Times New Roman" w:hint="eastAsia"/>
        </w:rPr>
        <w:t>8</w:t>
      </w:r>
      <w:r>
        <w:rPr>
          <w:rFonts w:ascii="Times New Roman" w:hAnsi="Times New Roman" w:cs="Times New Roman"/>
        </w:rPr>
        <w:t>,</w:t>
      </w:r>
      <w:r>
        <w:rPr>
          <w:rFonts w:ascii="Times New Roman" w:hAnsi="Times New Roman" w:cs="Times New Roman" w:hint="eastAsia"/>
        </w:rPr>
        <w:t>490</w:t>
      </w: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亿元，较年初增长</w:t>
      </w:r>
      <w:r>
        <w:rPr>
          <w:rFonts w:ascii="Times New Roman" w:hAnsi="Times New Roman" w:cs="Times New Roman" w:hint="eastAsia"/>
        </w:rPr>
        <w:t>4</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rPr>
        <w:t>。</w:t>
      </w:r>
    </w:p>
    <w:p w14:paraId="6D1CD1D4" w14:textId="77777777" w:rsidR="00DE1B44" w:rsidRDefault="00D40582">
      <w:pPr>
        <w:pStyle w:val="58"/>
        <w:spacing w:before="120"/>
        <w:ind w:firstLine="482"/>
        <w:rPr>
          <w:rFonts w:ascii="Times New Roman" w:hAnsi="Times New Roman"/>
        </w:rPr>
      </w:pPr>
      <w:r>
        <w:rPr>
          <w:rFonts w:ascii="Times New Roman" w:hAnsi="Times New Roman"/>
        </w:rPr>
        <w:t>3</w:t>
      </w:r>
      <w:r>
        <w:rPr>
          <w:rFonts w:ascii="Times New Roman" w:hAnsi="Times New Roman"/>
        </w:rPr>
        <w:t>、</w:t>
      </w:r>
      <w:r>
        <w:rPr>
          <w:rFonts w:ascii="Times New Roman" w:hAnsi="Times New Roman" w:hint="eastAsia"/>
        </w:rPr>
        <w:t>信用卡业务</w:t>
      </w:r>
    </w:p>
    <w:p w14:paraId="05AAABC7"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本行信用卡业务顺应消费趋势，加快产品创新，优化</w:t>
      </w:r>
      <w:proofErr w:type="gramStart"/>
      <w:r>
        <w:rPr>
          <w:rFonts w:ascii="Times New Roman" w:hAnsi="Times New Roman" w:cs="Times New Roman" w:hint="eastAsia"/>
        </w:rPr>
        <w:t>获客模式</w:t>
      </w:r>
      <w:proofErr w:type="gramEnd"/>
      <w:r>
        <w:rPr>
          <w:rFonts w:ascii="Times New Roman" w:hAnsi="Times New Roman" w:cs="Times New Roman" w:hint="eastAsia"/>
        </w:rPr>
        <w:t>与场景建设。在实现</w:t>
      </w:r>
      <w:proofErr w:type="gramStart"/>
      <w:r>
        <w:rPr>
          <w:rFonts w:ascii="Times New Roman" w:hAnsi="Times New Roman" w:cs="Times New Roman" w:hint="eastAsia"/>
        </w:rPr>
        <w:t>业务扩量的</w:t>
      </w:r>
      <w:proofErr w:type="gramEnd"/>
      <w:r>
        <w:rPr>
          <w:rFonts w:ascii="Times New Roman" w:hAnsi="Times New Roman" w:cs="Times New Roman" w:hint="eastAsia"/>
        </w:rPr>
        <w:t>同时，进行资产结构调优、成本精细化管理，并推进平台化战略，实现综合经营的高质量发展，进一步夯实股份制商业银行一流信用卡品牌的市场地位。截至</w:t>
      </w:r>
      <w:r>
        <w:rPr>
          <w:rFonts w:ascii="Times New Roman" w:hAnsi="Times New Roman" w:cs="Times New Roman"/>
        </w:rPr>
        <w:t>202</w:t>
      </w:r>
      <w:r>
        <w:rPr>
          <w:rFonts w:ascii="Times New Roman" w:hAnsi="Times New Roman" w:cs="Times New Roman" w:hint="eastAsia"/>
        </w:rPr>
        <w:t>1</w:t>
      </w:r>
      <w:r>
        <w:rPr>
          <w:rFonts w:ascii="Times New Roman" w:hAnsi="Times New Roman" w:cs="Times New Roman"/>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rPr>
        <w:t>末，本行信用卡</w:t>
      </w:r>
      <w:r>
        <w:rPr>
          <w:rFonts w:ascii="Times New Roman" w:hAnsi="Times New Roman" w:cs="Times New Roman" w:hint="eastAsia"/>
        </w:rPr>
        <w:t>应收款项余额</w:t>
      </w:r>
      <w:r>
        <w:rPr>
          <w:rFonts w:ascii="Times New Roman" w:hAnsi="Times New Roman" w:cs="Times New Roman" w:hint="eastAsia"/>
        </w:rPr>
        <w:t>4,214.4</w:t>
      </w:r>
      <w:r>
        <w:rPr>
          <w:rFonts w:ascii="Times New Roman" w:hAnsi="Times New Roman" w:cs="Times New Roman" w:hint="eastAsia"/>
        </w:rPr>
        <w:t>亿元</w:t>
      </w:r>
      <w:r>
        <w:rPr>
          <w:rFonts w:ascii="Times New Roman" w:hAnsi="Times New Roman" w:cs="Times New Roman"/>
        </w:rPr>
        <w:t>，较年初</w:t>
      </w:r>
      <w:r>
        <w:rPr>
          <w:rFonts w:ascii="Times New Roman" w:hAnsi="Times New Roman" w:cs="Times New Roman" w:hint="eastAsia"/>
        </w:rPr>
        <w:t>持续增长</w:t>
      </w:r>
      <w:r>
        <w:rPr>
          <w:rFonts w:ascii="Times New Roman" w:hAnsi="Times New Roman" w:cs="Times New Roman"/>
        </w:rPr>
        <w:t>。</w:t>
      </w:r>
    </w:p>
    <w:p w14:paraId="7F8CAB36" w14:textId="77777777" w:rsidR="00DE1B44" w:rsidRDefault="00D40582">
      <w:pPr>
        <w:pStyle w:val="58"/>
        <w:spacing w:before="120"/>
        <w:ind w:firstLine="482"/>
        <w:rPr>
          <w:rFonts w:ascii="Times New Roman" w:hAnsi="Times New Roman"/>
        </w:rPr>
      </w:pPr>
      <w:r>
        <w:rPr>
          <w:rFonts w:ascii="Times New Roman" w:hAnsi="Times New Roman"/>
        </w:rPr>
        <w:lastRenderedPageBreak/>
        <w:t>4</w:t>
      </w:r>
      <w:r>
        <w:rPr>
          <w:rFonts w:ascii="Times New Roman" w:hAnsi="Times New Roman"/>
        </w:rPr>
        <w:t>、</w:t>
      </w:r>
      <w:r>
        <w:rPr>
          <w:rFonts w:ascii="Times New Roman" w:hAnsi="Times New Roman" w:hint="eastAsia"/>
        </w:rPr>
        <w:t>网络金融业务</w:t>
      </w:r>
    </w:p>
    <w:p w14:paraId="5291201E"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本行积极推进构建以线</w:t>
      </w:r>
      <w:proofErr w:type="gramStart"/>
      <w:r>
        <w:rPr>
          <w:rFonts w:ascii="Times New Roman" w:hAnsi="Times New Roman" w:cs="Times New Roman" w:hint="eastAsia"/>
        </w:rPr>
        <w:t>上渠道</w:t>
      </w:r>
      <w:proofErr w:type="gramEnd"/>
      <w:r>
        <w:rPr>
          <w:rFonts w:ascii="Times New Roman" w:hAnsi="Times New Roman" w:cs="Times New Roman" w:hint="eastAsia"/>
        </w:rPr>
        <w:t>为载体，以一线经营的线上化和线</w:t>
      </w:r>
      <w:proofErr w:type="gramStart"/>
      <w:r>
        <w:rPr>
          <w:rFonts w:ascii="Times New Roman" w:hAnsi="Times New Roman" w:cs="Times New Roman" w:hint="eastAsia"/>
        </w:rPr>
        <w:t>上渠道</w:t>
      </w:r>
      <w:proofErr w:type="gramEnd"/>
      <w:r>
        <w:rPr>
          <w:rFonts w:ascii="Times New Roman" w:hAnsi="Times New Roman" w:cs="Times New Roman" w:hint="eastAsia"/>
        </w:rPr>
        <w:t>经营为两翼，以保银协同和数据驱动为引擎，以价值创造和高质量发展为目标的“一体、两翼、双引擎”线上化数字化经营转型新格局。</w:t>
      </w:r>
    </w:p>
    <w:p w14:paraId="2489EF26" w14:textId="77777777" w:rsidR="00DE1B44" w:rsidRDefault="00D40582">
      <w:pPr>
        <w:pStyle w:val="4a"/>
        <w:spacing w:before="120"/>
        <w:rPr>
          <w:rFonts w:ascii="Times New Roman" w:hAnsi="Times New Roman"/>
        </w:rPr>
      </w:pPr>
      <w:r>
        <w:rPr>
          <w:rFonts w:ascii="Times New Roman" w:hAnsi="Times New Roman"/>
        </w:rPr>
        <w:t>（</w:t>
      </w:r>
      <w:r>
        <w:rPr>
          <w:rFonts w:ascii="Times New Roman" w:hAnsi="Times New Roman" w:hint="eastAsia"/>
        </w:rPr>
        <w:t>三</w:t>
      </w:r>
      <w:r>
        <w:rPr>
          <w:rFonts w:ascii="Times New Roman" w:hAnsi="Times New Roman"/>
        </w:rPr>
        <w:t>）</w:t>
      </w:r>
      <w:r>
        <w:rPr>
          <w:rFonts w:ascii="Times New Roman" w:hAnsi="Times New Roman" w:hint="eastAsia"/>
        </w:rPr>
        <w:t>投行与金融市场业务</w:t>
      </w:r>
    </w:p>
    <w:p w14:paraId="5AA84CE2"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本行投</w:t>
      </w:r>
      <w:proofErr w:type="gramStart"/>
      <w:r>
        <w:rPr>
          <w:rFonts w:ascii="Times New Roman" w:hAnsi="Times New Roman" w:cs="Times New Roman"/>
        </w:rPr>
        <w:t>金业务</w:t>
      </w:r>
      <w:proofErr w:type="gramEnd"/>
      <w:r>
        <w:rPr>
          <w:rFonts w:ascii="Times New Roman" w:hAnsi="Times New Roman" w:cs="Times New Roman"/>
        </w:rPr>
        <w:t>以高质量发展为导向，通过开展债券投资、债券承分销、资产管理、资产托管、外汇交易等业务，积极服务国家重大战略和实体经济。按照</w:t>
      </w:r>
      <w:r>
        <w:rPr>
          <w:rFonts w:ascii="Times New Roman" w:hAnsi="Times New Roman" w:cs="Times New Roman" w:hint="eastAsia"/>
        </w:rPr>
        <w:t>“</w:t>
      </w:r>
      <w:r>
        <w:rPr>
          <w:rFonts w:ascii="Times New Roman" w:hAnsi="Times New Roman" w:cs="Times New Roman"/>
        </w:rPr>
        <w:t>做优同业</w:t>
      </w:r>
      <w:r>
        <w:rPr>
          <w:rFonts w:ascii="Times New Roman" w:hAnsi="Times New Roman" w:cs="Times New Roman" w:hint="eastAsia"/>
        </w:rPr>
        <w:t>”</w:t>
      </w:r>
      <w:r>
        <w:rPr>
          <w:rFonts w:ascii="Times New Roman" w:hAnsi="Times New Roman" w:cs="Times New Roman"/>
        </w:rPr>
        <w:t>战略定位，优化产品供给，发挥协同优势，推动集团内、行内综合金融服务，推进</w:t>
      </w:r>
      <w:r>
        <w:rPr>
          <w:rFonts w:ascii="Times New Roman" w:hAnsi="Times New Roman" w:cs="Times New Roman" w:hint="eastAsia"/>
        </w:rPr>
        <w:t>“</w:t>
      </w:r>
      <w:r>
        <w:rPr>
          <w:rFonts w:ascii="Times New Roman" w:hAnsi="Times New Roman" w:cs="Times New Roman"/>
        </w:rPr>
        <w:t>双轻</w:t>
      </w:r>
      <w:r>
        <w:rPr>
          <w:rFonts w:ascii="Times New Roman" w:hAnsi="Times New Roman" w:cs="Times New Roman" w:hint="eastAsia"/>
        </w:rPr>
        <w:t>”</w:t>
      </w:r>
      <w:r>
        <w:rPr>
          <w:rFonts w:ascii="Times New Roman" w:hAnsi="Times New Roman" w:cs="Times New Roman"/>
        </w:rPr>
        <w:t>业务转型升级。</w:t>
      </w:r>
    </w:p>
    <w:p w14:paraId="059A7044" w14:textId="77777777" w:rsidR="00DE1B44" w:rsidRDefault="00D40582">
      <w:pPr>
        <w:pStyle w:val="58"/>
        <w:spacing w:before="120"/>
        <w:ind w:firstLine="482"/>
        <w:rPr>
          <w:rFonts w:ascii="Times New Roman" w:hAnsi="Times New Roman"/>
        </w:rPr>
      </w:pPr>
      <w:r>
        <w:rPr>
          <w:rFonts w:ascii="Times New Roman" w:hAnsi="Times New Roman"/>
        </w:rPr>
        <w:t>1</w:t>
      </w:r>
      <w:r>
        <w:rPr>
          <w:rFonts w:ascii="Times New Roman" w:hAnsi="Times New Roman"/>
        </w:rPr>
        <w:t>、</w:t>
      </w:r>
      <w:r>
        <w:rPr>
          <w:rFonts w:ascii="Times New Roman" w:hAnsi="Times New Roman" w:hint="eastAsia"/>
        </w:rPr>
        <w:t>金融机构业务</w:t>
      </w:r>
    </w:p>
    <w:p w14:paraId="10D1A557"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本行持续加强金融机构客户关系拓展与维护，不断完善金融机构客户授信管理机制，强化金融机构交易对手准入管理，利用大数据技术构建全景式客户视图，赋能对客精准营销。</w:t>
      </w:r>
    </w:p>
    <w:p w14:paraId="55C0BCC4" w14:textId="77777777" w:rsidR="00DE1B44" w:rsidRDefault="00D40582">
      <w:pPr>
        <w:pStyle w:val="58"/>
        <w:spacing w:before="120"/>
        <w:ind w:firstLine="482"/>
        <w:rPr>
          <w:rFonts w:ascii="Times New Roman" w:hAnsi="Times New Roman"/>
        </w:rPr>
      </w:pPr>
      <w:r>
        <w:rPr>
          <w:rFonts w:ascii="Times New Roman" w:hAnsi="Times New Roman"/>
        </w:rPr>
        <w:t>2</w:t>
      </w:r>
      <w:r>
        <w:rPr>
          <w:rFonts w:ascii="Times New Roman" w:hAnsi="Times New Roman"/>
        </w:rPr>
        <w:t>、</w:t>
      </w:r>
      <w:r>
        <w:rPr>
          <w:rFonts w:ascii="Times New Roman" w:hAnsi="Times New Roman" w:hint="eastAsia"/>
        </w:rPr>
        <w:t>投资银行业务</w:t>
      </w:r>
    </w:p>
    <w:p w14:paraId="5E1693F4"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本行以</w:t>
      </w:r>
      <w:r>
        <w:rPr>
          <w:rFonts w:ascii="Times New Roman" w:hAnsi="Times New Roman" w:cs="Times New Roman" w:hint="eastAsia"/>
        </w:rPr>
        <w:t>“</w:t>
      </w:r>
      <w:r>
        <w:rPr>
          <w:rFonts w:ascii="Times New Roman" w:hAnsi="Times New Roman" w:cs="Times New Roman"/>
        </w:rPr>
        <w:t>轻资本</w:t>
      </w:r>
      <w:r>
        <w:rPr>
          <w:rFonts w:ascii="Times New Roman" w:hAnsi="Times New Roman" w:cs="Times New Roman" w:hint="eastAsia"/>
        </w:rPr>
        <w:t>”</w:t>
      </w:r>
      <w:r>
        <w:rPr>
          <w:rFonts w:ascii="Times New Roman" w:hAnsi="Times New Roman" w:cs="Times New Roman"/>
        </w:rPr>
        <w:t>为核心，不断优化业务结构，持续推动投行业务转型，走低资本消耗、低风险占用的发展之路。优先支持疫情影响较大的企业发行抗</w:t>
      </w:r>
      <w:proofErr w:type="gramStart"/>
      <w:r>
        <w:rPr>
          <w:rFonts w:ascii="Times New Roman" w:hAnsi="Times New Roman" w:cs="Times New Roman"/>
        </w:rPr>
        <w:t>疫</w:t>
      </w:r>
      <w:proofErr w:type="gramEnd"/>
      <w:r>
        <w:rPr>
          <w:rFonts w:ascii="Times New Roman" w:hAnsi="Times New Roman" w:cs="Times New Roman"/>
        </w:rPr>
        <w:t>专项债，为疫情防控领域提供精准的金融支持。</w:t>
      </w:r>
    </w:p>
    <w:p w14:paraId="2336CEEF" w14:textId="77777777" w:rsidR="00DE1B44" w:rsidRDefault="00D40582">
      <w:pPr>
        <w:pStyle w:val="58"/>
        <w:spacing w:before="120"/>
        <w:ind w:firstLine="482"/>
        <w:rPr>
          <w:rFonts w:ascii="Times New Roman" w:hAnsi="Times New Roman"/>
        </w:rPr>
      </w:pPr>
      <w:r>
        <w:rPr>
          <w:rFonts w:ascii="Times New Roman" w:hAnsi="Times New Roman"/>
        </w:rPr>
        <w:t>3</w:t>
      </w:r>
      <w:r>
        <w:rPr>
          <w:rFonts w:ascii="Times New Roman" w:hAnsi="Times New Roman"/>
        </w:rPr>
        <w:t>、</w:t>
      </w:r>
      <w:r>
        <w:rPr>
          <w:rFonts w:ascii="Times New Roman" w:hAnsi="Times New Roman" w:hint="eastAsia"/>
        </w:rPr>
        <w:t>金融市场业务</w:t>
      </w:r>
    </w:p>
    <w:p w14:paraId="08AD71C2"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本行积极开展做市与自营交易及客户服务工作，提供包括汇率、利率、贵金属、债券承分销等丰富的客户金融产品与服务。作为公开市场一级交易商、</w:t>
      </w:r>
      <w:proofErr w:type="spellStart"/>
      <w:r>
        <w:rPr>
          <w:rFonts w:ascii="Times New Roman" w:hAnsi="Times New Roman" w:cs="Times New Roman"/>
        </w:rPr>
        <w:t>Shibor</w:t>
      </w:r>
      <w:proofErr w:type="spellEnd"/>
      <w:r>
        <w:rPr>
          <w:rFonts w:ascii="Times New Roman" w:hAnsi="Times New Roman" w:cs="Times New Roman"/>
        </w:rPr>
        <w:t>报价行、国债及政策金融债主承销商以及人民币汇率、债券、衍生品、票据和贵金属做市商，本行积极贯彻落实国家重大战略，服务实体经济，支持粤港澳大湾区、京津冀、长江经济带、</w:t>
      </w:r>
      <w:r>
        <w:rPr>
          <w:rFonts w:ascii="Times New Roman" w:hAnsi="Times New Roman" w:cs="Times New Roman" w:hint="eastAsia"/>
        </w:rPr>
        <w:t>“</w:t>
      </w:r>
      <w:r>
        <w:rPr>
          <w:rFonts w:ascii="Times New Roman" w:hAnsi="Times New Roman" w:cs="Times New Roman"/>
        </w:rPr>
        <w:t>一带一路</w:t>
      </w:r>
      <w:r>
        <w:rPr>
          <w:rFonts w:ascii="Times New Roman" w:hAnsi="Times New Roman" w:cs="Times New Roman" w:hint="eastAsia"/>
        </w:rPr>
        <w:t>”</w:t>
      </w:r>
      <w:r>
        <w:rPr>
          <w:rFonts w:ascii="Times New Roman" w:hAnsi="Times New Roman" w:cs="Times New Roman"/>
        </w:rPr>
        <w:t>等国家重点发展区域的</w:t>
      </w:r>
      <w:proofErr w:type="gramStart"/>
      <w:r>
        <w:rPr>
          <w:rFonts w:ascii="Times New Roman" w:hAnsi="Times New Roman" w:cs="Times New Roman"/>
        </w:rPr>
        <w:t>地方政府债承分销</w:t>
      </w:r>
      <w:proofErr w:type="gramEnd"/>
      <w:r>
        <w:rPr>
          <w:rFonts w:ascii="Times New Roman" w:hAnsi="Times New Roman" w:cs="Times New Roman"/>
        </w:rPr>
        <w:t>、信用债投资、企业外汇交易服务，拓展企业融资渠道，助力区域经济发展。</w:t>
      </w:r>
    </w:p>
    <w:p w14:paraId="00F1C52B" w14:textId="77777777" w:rsidR="00DE1B44" w:rsidRDefault="00D40582">
      <w:pPr>
        <w:pStyle w:val="58"/>
        <w:spacing w:before="120"/>
        <w:ind w:firstLine="482"/>
        <w:rPr>
          <w:rFonts w:ascii="Times New Roman" w:hAnsi="Times New Roman"/>
        </w:rPr>
      </w:pPr>
      <w:r>
        <w:rPr>
          <w:rFonts w:ascii="Times New Roman" w:hAnsi="Times New Roman"/>
        </w:rPr>
        <w:lastRenderedPageBreak/>
        <w:t>4</w:t>
      </w:r>
      <w:r>
        <w:rPr>
          <w:rFonts w:ascii="Times New Roman" w:hAnsi="Times New Roman"/>
        </w:rPr>
        <w:t>、</w:t>
      </w:r>
      <w:r>
        <w:rPr>
          <w:rFonts w:ascii="Times New Roman" w:hAnsi="Times New Roman" w:hint="eastAsia"/>
        </w:rPr>
        <w:t>资产管理业务</w:t>
      </w:r>
    </w:p>
    <w:p w14:paraId="5625C41B"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本行理财业务严格落实</w:t>
      </w:r>
      <w:proofErr w:type="gramStart"/>
      <w:r>
        <w:rPr>
          <w:rFonts w:ascii="Times New Roman" w:hAnsi="Times New Roman" w:cs="Times New Roman"/>
        </w:rPr>
        <w:t>资管新规</w:t>
      </w:r>
      <w:proofErr w:type="gramEnd"/>
      <w:r>
        <w:rPr>
          <w:rFonts w:ascii="Times New Roman" w:hAnsi="Times New Roman" w:cs="Times New Roman"/>
        </w:rPr>
        <w:t>要求，坚持稳健发展，搭建完善</w:t>
      </w:r>
      <w:r>
        <w:rPr>
          <w:rFonts w:ascii="Times New Roman" w:hAnsi="Times New Roman" w:cs="Times New Roman" w:hint="eastAsia"/>
        </w:rPr>
        <w:t>“</w:t>
      </w:r>
      <w:r>
        <w:rPr>
          <w:rFonts w:ascii="Times New Roman" w:hAnsi="Times New Roman" w:cs="Times New Roman"/>
        </w:rPr>
        <w:t>幸福理财</w:t>
      </w:r>
      <w:r>
        <w:rPr>
          <w:rFonts w:ascii="Times New Roman" w:hAnsi="Times New Roman" w:cs="Times New Roman" w:hint="eastAsia"/>
        </w:rPr>
        <w:t>”</w:t>
      </w:r>
      <w:r>
        <w:rPr>
          <w:rFonts w:ascii="Times New Roman" w:hAnsi="Times New Roman" w:cs="Times New Roman"/>
        </w:rPr>
        <w:t>净值型产品体系，积极推进产品转型，实现理财投资者结构优化。报告期内，本行获准筹建全资理财子公司</w:t>
      </w:r>
      <w:r>
        <w:rPr>
          <w:rFonts w:ascii="Times New Roman" w:hAnsi="Times New Roman" w:cs="Times New Roman"/>
        </w:rPr>
        <w:t>—</w:t>
      </w:r>
      <w:r>
        <w:rPr>
          <w:rFonts w:ascii="Times New Roman" w:hAnsi="Times New Roman" w:cs="Times New Roman"/>
        </w:rPr>
        <w:t>广银理财有限责任公司，筹建组以在监管正式批准成立前即具备独立运作条件为目标，高质量、高标准推进筹建工作，确保经营</w:t>
      </w:r>
      <w:proofErr w:type="gramStart"/>
      <w:r>
        <w:rPr>
          <w:rFonts w:ascii="Times New Roman" w:hAnsi="Times New Roman" w:cs="Times New Roman"/>
        </w:rPr>
        <w:t>管理平稳</w:t>
      </w:r>
      <w:proofErr w:type="gramEnd"/>
      <w:r>
        <w:rPr>
          <w:rFonts w:ascii="Times New Roman" w:hAnsi="Times New Roman" w:cs="Times New Roman"/>
        </w:rPr>
        <w:t>过渡，力争实现</w:t>
      </w:r>
      <w:r>
        <w:rPr>
          <w:rFonts w:ascii="Times New Roman" w:hAnsi="Times New Roman" w:cs="Times New Roman" w:hint="eastAsia"/>
        </w:rPr>
        <w:t>“</w:t>
      </w:r>
      <w:r>
        <w:rPr>
          <w:rFonts w:ascii="Times New Roman" w:hAnsi="Times New Roman" w:cs="Times New Roman"/>
        </w:rPr>
        <w:t>十四五</w:t>
      </w:r>
      <w:r>
        <w:rPr>
          <w:rFonts w:ascii="Times New Roman" w:hAnsi="Times New Roman" w:cs="Times New Roman" w:hint="eastAsia"/>
        </w:rPr>
        <w:t>”</w:t>
      </w:r>
      <w:r>
        <w:rPr>
          <w:rFonts w:ascii="Times New Roman" w:hAnsi="Times New Roman" w:cs="Times New Roman"/>
        </w:rPr>
        <w:t>期间理财业务的良好开局。</w:t>
      </w:r>
    </w:p>
    <w:p w14:paraId="01E13693" w14:textId="77777777" w:rsidR="00DE1B44" w:rsidRDefault="00D40582">
      <w:pPr>
        <w:pStyle w:val="58"/>
        <w:spacing w:before="120"/>
        <w:ind w:firstLine="482"/>
        <w:rPr>
          <w:rFonts w:ascii="Times New Roman" w:hAnsi="Times New Roman"/>
        </w:rPr>
      </w:pPr>
      <w:r>
        <w:rPr>
          <w:rFonts w:ascii="Times New Roman" w:hAnsi="Times New Roman"/>
        </w:rPr>
        <w:t>5</w:t>
      </w:r>
      <w:r>
        <w:rPr>
          <w:rFonts w:ascii="Times New Roman" w:hAnsi="Times New Roman"/>
        </w:rPr>
        <w:t>、</w:t>
      </w:r>
      <w:r>
        <w:rPr>
          <w:rFonts w:ascii="Times New Roman" w:hAnsi="Times New Roman" w:hint="eastAsia"/>
        </w:rPr>
        <w:t>资产托管业务</w:t>
      </w:r>
    </w:p>
    <w:p w14:paraId="37F76086"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本行以</w:t>
      </w:r>
      <w:r>
        <w:rPr>
          <w:rFonts w:ascii="Times New Roman" w:hAnsi="Times New Roman" w:cs="Times New Roman" w:hint="eastAsia"/>
        </w:rPr>
        <w:t>“</w:t>
      </w:r>
      <w:r>
        <w:rPr>
          <w:rFonts w:ascii="Times New Roman" w:hAnsi="Times New Roman" w:cs="Times New Roman"/>
        </w:rPr>
        <w:t>重点客户突破、科技提升赋能、管理能力强化</w:t>
      </w:r>
      <w:r>
        <w:rPr>
          <w:rFonts w:ascii="Times New Roman" w:hAnsi="Times New Roman" w:cs="Times New Roman" w:hint="eastAsia"/>
        </w:rPr>
        <w:t>”</w:t>
      </w:r>
      <w:r>
        <w:rPr>
          <w:rFonts w:ascii="Times New Roman" w:hAnsi="Times New Roman" w:cs="Times New Roman"/>
        </w:rPr>
        <w:t>为抓手开展工作，托管业务持续保持稳健良好发展</w:t>
      </w:r>
      <w:r>
        <w:rPr>
          <w:rFonts w:ascii="Times New Roman" w:hAnsi="Times New Roman" w:cs="Times New Roman" w:hint="eastAsia"/>
        </w:rPr>
        <w:t>，</w:t>
      </w:r>
      <w:r>
        <w:rPr>
          <w:rFonts w:ascii="Times New Roman" w:hAnsi="Times New Roman" w:cs="Times New Roman"/>
        </w:rPr>
        <w:t>跨境托管业务规模连续六年保持股份制银行首位</w:t>
      </w:r>
      <w:r>
        <w:rPr>
          <w:rFonts w:ascii="Times New Roman" w:hAnsi="Times New Roman" w:cs="Times New Roman" w:hint="eastAsia"/>
        </w:rPr>
        <w:t>。本行</w:t>
      </w:r>
      <w:r>
        <w:rPr>
          <w:rFonts w:ascii="Times New Roman" w:hAnsi="Times New Roman" w:cs="Times New Roman"/>
        </w:rPr>
        <w:t>落地多个粤港澳大湾区、长江经济带、京津冀等支持实体经济发展的托管项目，托管系统先后与中央国债登记公司、银行间市场清算所股份有限公司、中国外汇交易中心暨全国银行间同业拆借中心、中国证券登记结算公司、机构投资者</w:t>
      </w:r>
      <w:proofErr w:type="gramStart"/>
      <w:r>
        <w:rPr>
          <w:rFonts w:ascii="Times New Roman" w:hAnsi="Times New Roman" w:cs="Times New Roman"/>
        </w:rPr>
        <w:t>场外投资</w:t>
      </w:r>
      <w:proofErr w:type="gramEnd"/>
      <w:r>
        <w:rPr>
          <w:rFonts w:ascii="Times New Roman" w:hAnsi="Times New Roman" w:cs="Times New Roman"/>
        </w:rPr>
        <w:t>业务平台的业务处理系统实现直联，业务全面线上化、流程化。</w:t>
      </w:r>
    </w:p>
    <w:p w14:paraId="283EB439" w14:textId="77777777" w:rsidR="00DE1B44" w:rsidRDefault="00D40582">
      <w:pPr>
        <w:pStyle w:val="2f0"/>
        <w:spacing w:before="120"/>
      </w:pPr>
      <w:bookmarkStart w:id="45" w:name="_Toc89016904"/>
      <w:r>
        <w:t>六、</w:t>
      </w:r>
      <w:r>
        <w:rPr>
          <w:rFonts w:hint="eastAsia"/>
        </w:rPr>
        <w:t>本行信息披露</w:t>
      </w:r>
      <w:bookmarkEnd w:id="45"/>
    </w:p>
    <w:p w14:paraId="0894BA63"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本行高度重视信息披露工作，依托良好的公司治理和完善的内部控制为投资者及时、准确、平等地获取信息提供保障。</w:t>
      </w:r>
    </w:p>
    <w:p w14:paraId="4CBF2CF9"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报告期内，本行根据相关要求，严格履行信息披露义务，相关重大事项及定期报告均披露于本行官方网站。后续本行仍将按照相关要求，继续履行信息披露义务。与本次定向发行相关的本行</w:t>
      </w:r>
      <w:r>
        <w:rPr>
          <w:rFonts w:ascii="Times New Roman" w:hAnsi="Times New Roman" w:cs="Times New Roman"/>
        </w:rPr>
        <w:t>2019</w:t>
      </w:r>
      <w:r>
        <w:rPr>
          <w:rFonts w:ascii="Times New Roman" w:hAnsi="Times New Roman" w:cs="Times New Roman"/>
        </w:rPr>
        <w:t>年度报告、</w:t>
      </w:r>
      <w:r>
        <w:rPr>
          <w:rFonts w:ascii="Times New Roman" w:hAnsi="Times New Roman" w:cs="Times New Roman"/>
        </w:rPr>
        <w:t>2020</w:t>
      </w:r>
      <w:r>
        <w:rPr>
          <w:rFonts w:ascii="Times New Roman" w:hAnsi="Times New Roman" w:cs="Times New Roman" w:hint="eastAsia"/>
        </w:rPr>
        <w:t>年度报告及</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1-</w:t>
      </w:r>
      <w:r>
        <w:rPr>
          <w:rFonts w:ascii="Times New Roman" w:hAnsi="Times New Roman" w:cs="Times New Roman"/>
        </w:rPr>
        <w:t>6</w:t>
      </w:r>
      <w:r>
        <w:rPr>
          <w:rFonts w:ascii="Times New Roman" w:hAnsi="Times New Roman" w:cs="Times New Roman" w:hint="eastAsia"/>
        </w:rPr>
        <w:t>月财务报告已在本行网站公开，供公众查阅</w:t>
      </w:r>
      <w:r>
        <w:rPr>
          <w:rFonts w:ascii="Times New Roman" w:hAnsi="Times New Roman" w:cs="Times New Roman"/>
        </w:rPr>
        <w:t>。</w:t>
      </w:r>
      <w:r>
        <w:rPr>
          <w:rFonts w:ascii="Times New Roman" w:hAnsi="Times New Roman" w:cs="Times New Roman" w:hint="eastAsia"/>
        </w:rPr>
        <w:t>上述信息的查询网址为</w:t>
      </w:r>
      <w:r>
        <w:rPr>
          <w:rFonts w:ascii="Times New Roman" w:hAnsi="Times New Roman" w:cs="Times New Roman"/>
        </w:rPr>
        <w:t>http://www.cgbchina.com.cn</w:t>
      </w:r>
      <w:r>
        <w:rPr>
          <w:rFonts w:ascii="Times New Roman" w:hAnsi="Times New Roman" w:cs="Times New Roman" w:hint="eastAsia"/>
        </w:rPr>
        <w:t>。</w:t>
      </w:r>
    </w:p>
    <w:p w14:paraId="5D2D3175" w14:textId="77777777" w:rsidR="00DE1B44" w:rsidRDefault="00D40582">
      <w:pPr>
        <w:pStyle w:val="2f0"/>
        <w:spacing w:before="120"/>
      </w:pPr>
      <w:bookmarkStart w:id="46" w:name="_Toc89016905"/>
      <w:r>
        <w:rPr>
          <w:rFonts w:hint="eastAsia"/>
        </w:rPr>
        <w:t>七、公司最近两年及一期主要财务数据</w:t>
      </w:r>
      <w:bookmarkEnd w:id="46"/>
    </w:p>
    <w:p w14:paraId="29CF5003" w14:textId="77777777" w:rsidR="00DE1B44" w:rsidRDefault="00DE1B44">
      <w:pPr>
        <w:spacing w:before="120"/>
        <w:ind w:firstLine="480"/>
        <w:rPr>
          <w:rFonts w:ascii="Times New Roman" w:hAnsi="Times New Roman" w:cs="Times New Roman"/>
        </w:rPr>
      </w:pPr>
    </w:p>
    <w:p w14:paraId="113D5C42"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本行的财务报表以持续经营为基础，按照财政部于</w:t>
      </w:r>
      <w:r>
        <w:rPr>
          <w:rFonts w:ascii="Times New Roman" w:hAnsi="Times New Roman" w:cs="Times New Roman"/>
        </w:rPr>
        <w:t>2006</w:t>
      </w:r>
      <w:r>
        <w:rPr>
          <w:rFonts w:ascii="Times New Roman" w:hAnsi="Times New Roman" w:cs="Times New Roman"/>
        </w:rPr>
        <w:t>年</w:t>
      </w:r>
      <w:r>
        <w:rPr>
          <w:rFonts w:ascii="Times New Roman" w:hAnsi="Times New Roman" w:cs="Times New Roman"/>
        </w:rPr>
        <w:t>2</w:t>
      </w:r>
      <w:r>
        <w:rPr>
          <w:rFonts w:ascii="Times New Roman" w:hAnsi="Times New Roman" w:cs="Times New Roman"/>
        </w:rPr>
        <w:t>月</w:t>
      </w:r>
      <w:r>
        <w:rPr>
          <w:rFonts w:ascii="Times New Roman" w:hAnsi="Times New Roman" w:cs="Times New Roman"/>
        </w:rPr>
        <w:t>15</w:t>
      </w:r>
      <w:r>
        <w:rPr>
          <w:rFonts w:ascii="Times New Roman" w:hAnsi="Times New Roman" w:cs="Times New Roman"/>
        </w:rPr>
        <w:t>日及以后期间颁布的《企业会计准则</w:t>
      </w:r>
      <w:r>
        <w:rPr>
          <w:rFonts w:ascii="Times New Roman" w:hAnsi="Times New Roman" w:cs="Times New Roman"/>
        </w:rPr>
        <w:t>——</w:t>
      </w:r>
      <w:r>
        <w:rPr>
          <w:rFonts w:ascii="Times New Roman" w:hAnsi="Times New Roman" w:cs="Times New Roman"/>
        </w:rPr>
        <w:t>基本准则》、各项具体会计准则及相关规定（以下合称《企业会计准则》）编制。</w:t>
      </w:r>
    </w:p>
    <w:p w14:paraId="7A09094B"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lastRenderedPageBreak/>
        <w:t>本节的财务会计数据及有关分析说明反映了本行</w:t>
      </w:r>
      <w:r>
        <w:rPr>
          <w:rFonts w:ascii="Times New Roman" w:hAnsi="Times New Roman" w:cs="Times New Roman"/>
        </w:rPr>
        <w:t>2019</w:t>
      </w:r>
      <w:r>
        <w:rPr>
          <w:rFonts w:ascii="Times New Roman" w:hAnsi="Times New Roman" w:cs="Times New Roman"/>
        </w:rPr>
        <w:t>年度</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年度</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1</w:t>
      </w:r>
      <w:r>
        <w:rPr>
          <w:rFonts w:ascii="Times New Roman" w:hAnsi="Times New Roman" w:cs="Times New Roman"/>
        </w:rPr>
        <w:t>-6</w:t>
      </w:r>
      <w:r>
        <w:rPr>
          <w:rFonts w:ascii="Times New Roman" w:hAnsi="Times New Roman" w:cs="Times New Roman" w:hint="eastAsia"/>
        </w:rPr>
        <w:t>月</w:t>
      </w:r>
      <w:r>
        <w:rPr>
          <w:rFonts w:ascii="Times New Roman" w:hAnsi="Times New Roman" w:cs="Times New Roman"/>
        </w:rPr>
        <w:t>的财务状况、经营成果和现金流量。</w:t>
      </w:r>
    </w:p>
    <w:p w14:paraId="47B680BA" w14:textId="77777777" w:rsidR="00DE1B44" w:rsidRDefault="00D40582">
      <w:pPr>
        <w:spacing w:before="120"/>
        <w:ind w:firstLine="480"/>
        <w:rPr>
          <w:rFonts w:ascii="Times New Roman" w:hAnsi="Times New Roman" w:cs="Times New Roman"/>
        </w:rPr>
      </w:pPr>
      <w:bookmarkStart w:id="47" w:name="_Hlk71321804"/>
      <w:r>
        <w:rPr>
          <w:rFonts w:ascii="Times New Roman" w:hAnsi="Times New Roman" w:cs="Times New Roman" w:hint="eastAsia"/>
        </w:rPr>
        <w:t>本行聘请安永华明会计师事务所（特殊普通合伙）依据中国注册会计师审计准则对本行截至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日和</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日的会计年度的财务报表进行了审计，分别出具了无保留意见的审计报告（</w:t>
      </w:r>
      <w:r>
        <w:rPr>
          <w:rFonts w:ascii="Times New Roman" w:hAnsi="Times New Roman" w:cs="Times New Roman" w:hint="eastAsia"/>
        </w:rPr>
        <w:t>安永华明</w:t>
      </w:r>
      <w:r>
        <w:rPr>
          <w:rFonts w:ascii="Times New Roman" w:hAnsi="Times New Roman" w:cs="Times New Roman"/>
        </w:rPr>
        <w:t>(2020)</w:t>
      </w:r>
      <w:r>
        <w:rPr>
          <w:rFonts w:ascii="Times New Roman" w:hAnsi="Times New Roman" w:cs="Times New Roman" w:hint="eastAsia"/>
        </w:rPr>
        <w:t>审字第</w:t>
      </w:r>
      <w:r>
        <w:rPr>
          <w:rFonts w:ascii="Times New Roman" w:hAnsi="Times New Roman" w:cs="Times New Roman"/>
        </w:rPr>
        <w:t>60651003_G01</w:t>
      </w:r>
      <w:r>
        <w:rPr>
          <w:rFonts w:ascii="Times New Roman" w:hAnsi="Times New Roman" w:cs="Times New Roman" w:hint="eastAsia"/>
        </w:rPr>
        <w:t>号</w:t>
      </w:r>
      <w:r>
        <w:rPr>
          <w:rFonts w:ascii="Times New Roman" w:hAnsi="Times New Roman" w:cs="Times New Roman"/>
        </w:rPr>
        <w:t>和</w:t>
      </w:r>
      <w:r>
        <w:rPr>
          <w:rFonts w:ascii="Times New Roman" w:hAnsi="Times New Roman" w:cs="Times New Roman" w:hint="eastAsia"/>
        </w:rPr>
        <w:t>安永华明（</w:t>
      </w:r>
      <w:r>
        <w:rPr>
          <w:rFonts w:ascii="Times New Roman" w:hAnsi="Times New Roman" w:cs="Times New Roman"/>
        </w:rPr>
        <w:t>2021</w:t>
      </w:r>
      <w:r>
        <w:rPr>
          <w:rFonts w:ascii="Times New Roman" w:hAnsi="Times New Roman" w:cs="Times New Roman"/>
        </w:rPr>
        <w:t>）审字第</w:t>
      </w:r>
      <w:r>
        <w:rPr>
          <w:rFonts w:ascii="Times New Roman" w:hAnsi="Times New Roman" w:cs="Times New Roman"/>
        </w:rPr>
        <w:t>60651003_G01</w:t>
      </w:r>
      <w:r>
        <w:rPr>
          <w:rFonts w:ascii="Times New Roman" w:hAnsi="Times New Roman" w:cs="Times New Roman"/>
        </w:rPr>
        <w:t>号）。</w:t>
      </w:r>
      <w:r>
        <w:rPr>
          <w:rFonts w:ascii="Times New Roman" w:hAnsi="Times New Roman" w:cs="Times New Roman" w:hint="eastAsia"/>
        </w:rPr>
        <w:t>若无特别说明，本定向发行</w:t>
      </w:r>
      <w:r>
        <w:rPr>
          <w:rFonts w:ascii="Times New Roman" w:hAnsi="Times New Roman" w:cs="Times New Roman"/>
        </w:rPr>
        <w:t>说明书中引用的</w:t>
      </w:r>
      <w:r>
        <w:rPr>
          <w:rFonts w:ascii="Times New Roman" w:hAnsi="Times New Roman" w:cs="Times New Roman"/>
        </w:rPr>
        <w:t>2019</w:t>
      </w:r>
      <w:r>
        <w:rPr>
          <w:rFonts w:ascii="Times New Roman" w:hAnsi="Times New Roman" w:cs="Times New Roman"/>
        </w:rPr>
        <w:t>年</w:t>
      </w:r>
      <w:r>
        <w:rPr>
          <w:rFonts w:ascii="Times New Roman" w:hAnsi="Times New Roman" w:cs="Times New Roman" w:hint="eastAsia"/>
        </w:rPr>
        <w:t>和</w:t>
      </w:r>
      <w:r>
        <w:rPr>
          <w:rFonts w:ascii="Times New Roman" w:hAnsi="Times New Roman" w:cs="Times New Roman"/>
        </w:rPr>
        <w:t>2020</w:t>
      </w:r>
      <w:r>
        <w:rPr>
          <w:rFonts w:ascii="Times New Roman" w:hAnsi="Times New Roman" w:cs="Times New Roman"/>
        </w:rPr>
        <w:t>年财务数据均引自</w:t>
      </w:r>
      <w:r>
        <w:rPr>
          <w:rFonts w:ascii="Times New Roman" w:hAnsi="Times New Roman" w:cs="Times New Roman" w:hint="eastAsia"/>
        </w:rPr>
        <w:t>本行</w:t>
      </w:r>
      <w:r>
        <w:rPr>
          <w:rFonts w:ascii="Times New Roman" w:hAnsi="Times New Roman" w:cs="Times New Roman"/>
        </w:rPr>
        <w:t>2019</w:t>
      </w:r>
      <w:r>
        <w:rPr>
          <w:rFonts w:ascii="Times New Roman" w:hAnsi="Times New Roman" w:cs="Times New Roman"/>
        </w:rPr>
        <w:t>年和</w:t>
      </w:r>
      <w:r>
        <w:rPr>
          <w:rFonts w:ascii="Times New Roman" w:hAnsi="Times New Roman" w:cs="Times New Roman"/>
        </w:rPr>
        <w:t>2020</w:t>
      </w:r>
      <w:r>
        <w:rPr>
          <w:rFonts w:ascii="Times New Roman" w:hAnsi="Times New Roman" w:cs="Times New Roman"/>
        </w:rPr>
        <w:t>年经审计</w:t>
      </w:r>
      <w:r>
        <w:rPr>
          <w:rFonts w:ascii="Times New Roman" w:hAnsi="Times New Roman" w:cs="Times New Roman" w:hint="eastAsia"/>
        </w:rPr>
        <w:t>的财务报</w:t>
      </w:r>
      <w:r>
        <w:rPr>
          <w:rFonts w:ascii="Times New Roman" w:hAnsi="Times New Roman" w:cs="Times New Roman"/>
        </w:rPr>
        <w:t>告。</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1-6</w:t>
      </w:r>
      <w:r>
        <w:rPr>
          <w:rFonts w:ascii="Times New Roman" w:hAnsi="Times New Roman" w:cs="Times New Roman"/>
        </w:rPr>
        <w:t>月财务数据引自</w:t>
      </w:r>
      <w:r>
        <w:rPr>
          <w:rFonts w:ascii="Times New Roman" w:hAnsi="Times New Roman" w:cs="Times New Roman" w:hint="eastAsia"/>
        </w:rPr>
        <w:t>本行</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1-6</w:t>
      </w:r>
      <w:r>
        <w:rPr>
          <w:rFonts w:ascii="Times New Roman" w:hAnsi="Times New Roman" w:cs="Times New Roman"/>
        </w:rPr>
        <w:t>月未经审计的财务</w:t>
      </w:r>
      <w:r>
        <w:rPr>
          <w:rFonts w:ascii="Times New Roman" w:hAnsi="Times New Roman" w:cs="Times New Roman" w:hint="eastAsia"/>
        </w:rPr>
        <w:t>报表</w:t>
      </w:r>
      <w:r>
        <w:rPr>
          <w:rFonts w:ascii="Times New Roman" w:hAnsi="Times New Roman" w:cs="Times New Roman"/>
        </w:rPr>
        <w:t>。</w:t>
      </w:r>
    </w:p>
    <w:bookmarkEnd w:id="47"/>
    <w:p w14:paraId="3F752A6D"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本行最近两年</w:t>
      </w:r>
      <w:r>
        <w:rPr>
          <w:rFonts w:ascii="Times New Roman" w:hAnsi="Times New Roman" w:cs="Times New Roman" w:hint="eastAsia"/>
        </w:rPr>
        <w:t>及一期</w:t>
      </w:r>
      <w:r>
        <w:rPr>
          <w:rFonts w:ascii="Times New Roman" w:hAnsi="Times New Roman" w:cs="Times New Roman"/>
        </w:rPr>
        <w:t>的主要财务数据情况如下表所示：</w:t>
      </w:r>
    </w:p>
    <w:p w14:paraId="0CE95CAF" w14:textId="77777777" w:rsidR="00DE1B44" w:rsidRDefault="00D40582">
      <w:pPr>
        <w:snapToGrid w:val="0"/>
        <w:spacing w:before="120" w:line="240" w:lineRule="auto"/>
        <w:ind w:firstLine="420"/>
        <w:jc w:val="right"/>
        <w:rPr>
          <w:rFonts w:ascii="Times New Roman" w:hAnsi="Times New Roman" w:cs="Times New Roman"/>
          <w:sz w:val="21"/>
          <w:szCs w:val="21"/>
        </w:rPr>
      </w:pPr>
      <w:r>
        <w:rPr>
          <w:rFonts w:ascii="Times New Roman" w:hAnsi="Times New Roman" w:cs="Times New Roman"/>
          <w:sz w:val="21"/>
          <w:szCs w:val="21"/>
        </w:rPr>
        <w:t>单位：</w:t>
      </w:r>
      <w:r>
        <w:rPr>
          <w:rFonts w:ascii="Times New Roman" w:hAnsi="Times New Roman" w:cs="Times New Roman" w:hint="eastAsia"/>
          <w:sz w:val="21"/>
          <w:szCs w:val="21"/>
        </w:rPr>
        <w:t>百万</w:t>
      </w:r>
      <w:r>
        <w:rPr>
          <w:rFonts w:ascii="Times New Roman" w:hAnsi="Times New Roman" w:cs="Times New Roman"/>
          <w:sz w:val="21"/>
          <w:szCs w:val="21"/>
        </w:rPr>
        <w:t>元</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214"/>
        <w:gridCol w:w="2214"/>
        <w:gridCol w:w="2213"/>
      </w:tblGrid>
      <w:tr w:rsidR="00DE1B44" w14:paraId="7441D49B" w14:textId="77777777">
        <w:trPr>
          <w:trHeight w:val="397"/>
          <w:tblHeader/>
          <w:jc w:val="center"/>
        </w:trPr>
        <w:tc>
          <w:tcPr>
            <w:tcW w:w="2375" w:type="dxa"/>
            <w:shd w:val="clear" w:color="auto" w:fill="auto"/>
            <w:vAlign w:val="center"/>
          </w:tcPr>
          <w:p w14:paraId="6F956B2E" w14:textId="77777777" w:rsidR="00DE1B44" w:rsidRDefault="00D40582">
            <w:pPr>
              <w:spacing w:beforeLines="0" w:before="156" w:line="0" w:lineRule="atLeast"/>
              <w:ind w:firstLineChars="0" w:firstLine="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项目</w:t>
            </w:r>
          </w:p>
        </w:tc>
        <w:tc>
          <w:tcPr>
            <w:tcW w:w="2214" w:type="dxa"/>
            <w:vAlign w:val="center"/>
          </w:tcPr>
          <w:p w14:paraId="523DBA19" w14:textId="77777777" w:rsidR="00DE1B44" w:rsidRDefault="00D40582">
            <w:pPr>
              <w:spacing w:beforeLines="0" w:before="0" w:line="0" w:lineRule="atLeast"/>
              <w:ind w:firstLineChars="0" w:firstLine="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2</w:t>
            </w:r>
            <w:r>
              <w:rPr>
                <w:rFonts w:ascii="Times New Roman" w:hAnsi="Times New Roman" w:cs="Times New Roman"/>
                <w:b/>
                <w:color w:val="000000"/>
                <w:sz w:val="21"/>
                <w:szCs w:val="21"/>
              </w:rPr>
              <w:t>021</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6</w:t>
            </w:r>
            <w:r>
              <w:rPr>
                <w:rFonts w:ascii="Times New Roman" w:hAnsi="Times New Roman" w:cs="Times New Roman" w:hint="eastAsia"/>
                <w:b/>
                <w:color w:val="000000"/>
                <w:sz w:val="21"/>
                <w:szCs w:val="21"/>
              </w:rPr>
              <w:t>月</w:t>
            </w:r>
            <w:r>
              <w:rPr>
                <w:rFonts w:ascii="Times New Roman" w:hAnsi="Times New Roman" w:cs="Times New Roman" w:hint="eastAsia"/>
                <w:b/>
                <w:color w:val="000000"/>
                <w:sz w:val="21"/>
                <w:szCs w:val="21"/>
              </w:rPr>
              <w:t>3</w:t>
            </w:r>
            <w:r>
              <w:rPr>
                <w:rFonts w:ascii="Times New Roman" w:hAnsi="Times New Roman" w:cs="Times New Roman"/>
                <w:b/>
                <w:color w:val="000000"/>
                <w:sz w:val="21"/>
                <w:szCs w:val="21"/>
              </w:rPr>
              <w:t>0</w:t>
            </w:r>
            <w:r>
              <w:rPr>
                <w:rFonts w:ascii="Times New Roman" w:hAnsi="Times New Roman" w:cs="Times New Roman" w:hint="eastAsia"/>
                <w:b/>
                <w:color w:val="000000"/>
                <w:sz w:val="21"/>
                <w:szCs w:val="21"/>
              </w:rPr>
              <w:t>日</w:t>
            </w:r>
            <w:r>
              <w:rPr>
                <w:rFonts w:ascii="Times New Roman" w:hAnsi="Times New Roman" w:cs="Times New Roman" w:hint="eastAsia"/>
                <w:b/>
                <w:color w:val="000000"/>
                <w:sz w:val="21"/>
                <w:szCs w:val="21"/>
              </w:rPr>
              <w:t>/</w:t>
            </w:r>
            <w:r>
              <w:rPr>
                <w:rFonts w:ascii="Times New Roman" w:hAnsi="Times New Roman" w:cs="Times New Roman"/>
                <w:b/>
                <w:color w:val="000000"/>
                <w:sz w:val="21"/>
                <w:szCs w:val="21"/>
              </w:rPr>
              <w:t>2021</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1</w:t>
            </w:r>
            <w:r>
              <w:rPr>
                <w:rFonts w:ascii="Times New Roman" w:hAnsi="Times New Roman" w:cs="Times New Roman"/>
                <w:b/>
                <w:color w:val="000000"/>
                <w:sz w:val="21"/>
                <w:szCs w:val="21"/>
              </w:rPr>
              <w:t>-6</w:t>
            </w:r>
            <w:r>
              <w:rPr>
                <w:rFonts w:ascii="Times New Roman" w:hAnsi="Times New Roman" w:cs="Times New Roman" w:hint="eastAsia"/>
                <w:b/>
                <w:color w:val="000000"/>
                <w:sz w:val="21"/>
                <w:szCs w:val="21"/>
              </w:rPr>
              <w:t>月</w:t>
            </w:r>
          </w:p>
        </w:tc>
        <w:tc>
          <w:tcPr>
            <w:tcW w:w="2214" w:type="dxa"/>
            <w:shd w:val="clear" w:color="auto" w:fill="auto"/>
            <w:vAlign w:val="center"/>
          </w:tcPr>
          <w:p w14:paraId="25192AA0" w14:textId="77777777" w:rsidR="00DE1B44" w:rsidRDefault="00D40582">
            <w:pPr>
              <w:spacing w:beforeLines="0" w:before="0" w:line="0" w:lineRule="atLeast"/>
              <w:ind w:firstLineChars="0" w:firstLine="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20</w:t>
            </w:r>
            <w:r>
              <w:rPr>
                <w:rFonts w:ascii="Times New Roman" w:hAnsi="Times New Roman" w:cs="Times New Roman"/>
                <w:b/>
                <w:color w:val="000000"/>
                <w:sz w:val="21"/>
                <w:szCs w:val="21"/>
              </w:rPr>
              <w:t>20</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12</w:t>
            </w:r>
            <w:r>
              <w:rPr>
                <w:rFonts w:ascii="Times New Roman" w:hAnsi="Times New Roman" w:cs="Times New Roman" w:hint="eastAsia"/>
                <w:b/>
                <w:color w:val="000000"/>
                <w:sz w:val="21"/>
                <w:szCs w:val="21"/>
              </w:rPr>
              <w:t>月</w:t>
            </w:r>
            <w:r>
              <w:rPr>
                <w:rFonts w:ascii="Times New Roman" w:hAnsi="Times New Roman" w:cs="Times New Roman" w:hint="eastAsia"/>
                <w:b/>
                <w:color w:val="000000"/>
                <w:sz w:val="21"/>
                <w:szCs w:val="21"/>
              </w:rPr>
              <w:t>31</w:t>
            </w:r>
            <w:r>
              <w:rPr>
                <w:rFonts w:ascii="Times New Roman" w:hAnsi="Times New Roman" w:cs="Times New Roman" w:hint="eastAsia"/>
                <w:b/>
                <w:color w:val="000000"/>
                <w:sz w:val="21"/>
                <w:szCs w:val="21"/>
              </w:rPr>
              <w:t>日</w:t>
            </w:r>
            <w:r>
              <w:rPr>
                <w:rFonts w:ascii="Times New Roman" w:hAnsi="Times New Roman" w:cs="Times New Roman" w:hint="eastAsia"/>
                <w:b/>
                <w:color w:val="000000"/>
                <w:sz w:val="21"/>
                <w:szCs w:val="21"/>
              </w:rPr>
              <w:t>/20</w:t>
            </w:r>
            <w:r>
              <w:rPr>
                <w:rFonts w:ascii="Times New Roman" w:hAnsi="Times New Roman" w:cs="Times New Roman"/>
                <w:b/>
                <w:color w:val="000000"/>
                <w:sz w:val="21"/>
                <w:szCs w:val="21"/>
              </w:rPr>
              <w:t>20</w:t>
            </w:r>
            <w:r>
              <w:rPr>
                <w:rFonts w:ascii="Times New Roman" w:hAnsi="Times New Roman" w:cs="Times New Roman" w:hint="eastAsia"/>
                <w:b/>
                <w:color w:val="000000"/>
                <w:sz w:val="21"/>
                <w:szCs w:val="21"/>
              </w:rPr>
              <w:t>年度</w:t>
            </w:r>
          </w:p>
        </w:tc>
        <w:tc>
          <w:tcPr>
            <w:tcW w:w="2213" w:type="dxa"/>
            <w:shd w:val="clear" w:color="auto" w:fill="auto"/>
            <w:vAlign w:val="center"/>
          </w:tcPr>
          <w:p w14:paraId="5184F1EC" w14:textId="77777777" w:rsidR="00DE1B44" w:rsidRDefault="00D40582">
            <w:pPr>
              <w:spacing w:beforeLines="0" w:before="0" w:line="0" w:lineRule="atLeast"/>
              <w:ind w:firstLineChars="0" w:firstLine="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20</w:t>
            </w:r>
            <w:r>
              <w:rPr>
                <w:rFonts w:ascii="Times New Roman" w:hAnsi="Times New Roman" w:cs="Times New Roman"/>
                <w:b/>
                <w:color w:val="000000"/>
                <w:sz w:val="21"/>
                <w:szCs w:val="21"/>
              </w:rPr>
              <w:t>19</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12</w:t>
            </w:r>
            <w:r>
              <w:rPr>
                <w:rFonts w:ascii="Times New Roman" w:hAnsi="Times New Roman" w:cs="Times New Roman" w:hint="eastAsia"/>
                <w:b/>
                <w:color w:val="000000"/>
                <w:sz w:val="21"/>
                <w:szCs w:val="21"/>
              </w:rPr>
              <w:t>月</w:t>
            </w:r>
            <w:r>
              <w:rPr>
                <w:rFonts w:ascii="Times New Roman" w:hAnsi="Times New Roman" w:cs="Times New Roman" w:hint="eastAsia"/>
                <w:b/>
                <w:color w:val="000000"/>
                <w:sz w:val="21"/>
                <w:szCs w:val="21"/>
              </w:rPr>
              <w:t>31</w:t>
            </w:r>
            <w:r>
              <w:rPr>
                <w:rFonts w:ascii="Times New Roman" w:hAnsi="Times New Roman" w:cs="Times New Roman" w:hint="eastAsia"/>
                <w:b/>
                <w:color w:val="000000"/>
                <w:sz w:val="21"/>
                <w:szCs w:val="21"/>
              </w:rPr>
              <w:t>日</w:t>
            </w:r>
            <w:r>
              <w:rPr>
                <w:rFonts w:ascii="Times New Roman" w:hAnsi="Times New Roman" w:cs="Times New Roman" w:hint="eastAsia"/>
                <w:b/>
                <w:color w:val="000000"/>
                <w:sz w:val="21"/>
                <w:szCs w:val="21"/>
              </w:rPr>
              <w:t>/20</w:t>
            </w:r>
            <w:r>
              <w:rPr>
                <w:rFonts w:ascii="Times New Roman" w:hAnsi="Times New Roman" w:cs="Times New Roman"/>
                <w:b/>
                <w:color w:val="000000"/>
                <w:sz w:val="21"/>
                <w:szCs w:val="21"/>
              </w:rPr>
              <w:t>19</w:t>
            </w:r>
            <w:r>
              <w:rPr>
                <w:rFonts w:ascii="Times New Roman" w:hAnsi="Times New Roman" w:cs="Times New Roman" w:hint="eastAsia"/>
                <w:b/>
                <w:color w:val="000000"/>
                <w:sz w:val="21"/>
                <w:szCs w:val="21"/>
              </w:rPr>
              <w:t>年度</w:t>
            </w:r>
          </w:p>
        </w:tc>
      </w:tr>
      <w:tr w:rsidR="00DE1B44" w14:paraId="3F00D313" w14:textId="77777777">
        <w:trPr>
          <w:trHeight w:val="397"/>
          <w:jc w:val="center"/>
        </w:trPr>
        <w:tc>
          <w:tcPr>
            <w:tcW w:w="2375" w:type="dxa"/>
            <w:shd w:val="clear" w:color="auto" w:fill="auto"/>
            <w:vAlign w:val="center"/>
          </w:tcPr>
          <w:p w14:paraId="1C863167"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总资产</w:t>
            </w:r>
          </w:p>
        </w:tc>
        <w:tc>
          <w:tcPr>
            <w:tcW w:w="2214" w:type="dxa"/>
            <w:vAlign w:val="center"/>
          </w:tcPr>
          <w:p w14:paraId="6321EFE4"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3,185,689</w:t>
            </w:r>
          </w:p>
        </w:tc>
        <w:tc>
          <w:tcPr>
            <w:tcW w:w="2214" w:type="dxa"/>
            <w:shd w:val="clear" w:color="auto" w:fill="auto"/>
            <w:vAlign w:val="center"/>
          </w:tcPr>
          <w:p w14:paraId="27FCF5DD"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3,027,972</w:t>
            </w:r>
          </w:p>
        </w:tc>
        <w:tc>
          <w:tcPr>
            <w:tcW w:w="2213" w:type="dxa"/>
            <w:shd w:val="clear" w:color="auto" w:fill="auto"/>
            <w:vAlign w:val="center"/>
          </w:tcPr>
          <w:p w14:paraId="2E70F8AD"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2,632,798</w:t>
            </w:r>
          </w:p>
        </w:tc>
      </w:tr>
      <w:tr w:rsidR="00DE1B44" w14:paraId="0A68DB73" w14:textId="77777777">
        <w:trPr>
          <w:trHeight w:val="397"/>
          <w:jc w:val="center"/>
        </w:trPr>
        <w:tc>
          <w:tcPr>
            <w:tcW w:w="2375" w:type="dxa"/>
            <w:shd w:val="clear" w:color="auto" w:fill="auto"/>
            <w:vAlign w:val="center"/>
          </w:tcPr>
          <w:p w14:paraId="1DAE4BA8"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总负债</w:t>
            </w:r>
          </w:p>
        </w:tc>
        <w:tc>
          <w:tcPr>
            <w:tcW w:w="2214" w:type="dxa"/>
            <w:vAlign w:val="center"/>
          </w:tcPr>
          <w:p w14:paraId="4299380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2,956,767</w:t>
            </w:r>
          </w:p>
        </w:tc>
        <w:tc>
          <w:tcPr>
            <w:tcW w:w="2214" w:type="dxa"/>
            <w:shd w:val="clear" w:color="auto" w:fill="auto"/>
            <w:vAlign w:val="center"/>
          </w:tcPr>
          <w:p w14:paraId="0B06859D"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2,809,822</w:t>
            </w:r>
          </w:p>
        </w:tc>
        <w:tc>
          <w:tcPr>
            <w:tcW w:w="2213" w:type="dxa"/>
            <w:shd w:val="clear" w:color="auto" w:fill="auto"/>
            <w:vAlign w:val="center"/>
          </w:tcPr>
          <w:p w14:paraId="1440863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2,423,234</w:t>
            </w:r>
          </w:p>
        </w:tc>
      </w:tr>
      <w:tr w:rsidR="00DE1B44" w14:paraId="420F36F7" w14:textId="77777777">
        <w:trPr>
          <w:trHeight w:val="397"/>
          <w:jc w:val="center"/>
        </w:trPr>
        <w:tc>
          <w:tcPr>
            <w:tcW w:w="2375" w:type="dxa"/>
            <w:shd w:val="clear" w:color="auto" w:fill="auto"/>
            <w:vAlign w:val="center"/>
          </w:tcPr>
          <w:p w14:paraId="73B76F7D"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股东权益</w:t>
            </w:r>
          </w:p>
        </w:tc>
        <w:tc>
          <w:tcPr>
            <w:tcW w:w="2214" w:type="dxa"/>
            <w:vAlign w:val="center"/>
          </w:tcPr>
          <w:p w14:paraId="5F3D0EC3"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228,922</w:t>
            </w:r>
          </w:p>
        </w:tc>
        <w:tc>
          <w:tcPr>
            <w:tcW w:w="2214" w:type="dxa"/>
            <w:shd w:val="clear" w:color="auto" w:fill="auto"/>
            <w:vAlign w:val="center"/>
          </w:tcPr>
          <w:p w14:paraId="446C2E86"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218,150</w:t>
            </w:r>
          </w:p>
        </w:tc>
        <w:tc>
          <w:tcPr>
            <w:tcW w:w="2213" w:type="dxa"/>
            <w:shd w:val="clear" w:color="auto" w:fill="auto"/>
            <w:vAlign w:val="center"/>
          </w:tcPr>
          <w:p w14:paraId="0541A2CD"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209,564</w:t>
            </w:r>
          </w:p>
        </w:tc>
      </w:tr>
      <w:tr w:rsidR="00DE1B44" w14:paraId="6B23E5AE" w14:textId="77777777">
        <w:trPr>
          <w:trHeight w:val="397"/>
          <w:jc w:val="center"/>
        </w:trPr>
        <w:tc>
          <w:tcPr>
            <w:tcW w:w="2375" w:type="dxa"/>
            <w:shd w:val="clear" w:color="auto" w:fill="auto"/>
            <w:vAlign w:val="center"/>
          </w:tcPr>
          <w:p w14:paraId="5CBC66D0"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吸收存款</w:t>
            </w:r>
          </w:p>
        </w:tc>
        <w:tc>
          <w:tcPr>
            <w:tcW w:w="2214" w:type="dxa"/>
            <w:vAlign w:val="center"/>
          </w:tcPr>
          <w:p w14:paraId="42C12589"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1,990,199</w:t>
            </w:r>
          </w:p>
        </w:tc>
        <w:tc>
          <w:tcPr>
            <w:tcW w:w="2214" w:type="dxa"/>
            <w:shd w:val="clear" w:color="auto" w:fill="auto"/>
            <w:vAlign w:val="center"/>
          </w:tcPr>
          <w:p w14:paraId="06C9C8CC"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1,852,555</w:t>
            </w:r>
          </w:p>
        </w:tc>
        <w:tc>
          <w:tcPr>
            <w:tcW w:w="2213" w:type="dxa"/>
            <w:shd w:val="clear" w:color="auto" w:fill="auto"/>
            <w:vAlign w:val="center"/>
          </w:tcPr>
          <w:p w14:paraId="0628ED4A"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1,600,170</w:t>
            </w:r>
          </w:p>
        </w:tc>
      </w:tr>
      <w:tr w:rsidR="00DE1B44" w14:paraId="14C36B7B" w14:textId="77777777">
        <w:trPr>
          <w:trHeight w:val="397"/>
          <w:jc w:val="center"/>
        </w:trPr>
        <w:tc>
          <w:tcPr>
            <w:tcW w:w="2375" w:type="dxa"/>
            <w:shd w:val="clear" w:color="auto" w:fill="auto"/>
            <w:vAlign w:val="center"/>
          </w:tcPr>
          <w:p w14:paraId="5B2F2E15"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贷款及垫款总额</w:t>
            </w:r>
          </w:p>
        </w:tc>
        <w:tc>
          <w:tcPr>
            <w:tcW w:w="2214" w:type="dxa"/>
            <w:vAlign w:val="center"/>
          </w:tcPr>
          <w:p w14:paraId="3C07CECB"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1,968,647</w:t>
            </w:r>
          </w:p>
        </w:tc>
        <w:tc>
          <w:tcPr>
            <w:tcW w:w="2214" w:type="dxa"/>
            <w:shd w:val="clear" w:color="auto" w:fill="auto"/>
            <w:vAlign w:val="center"/>
          </w:tcPr>
          <w:p w14:paraId="1295228E"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1,803,981</w:t>
            </w:r>
          </w:p>
        </w:tc>
        <w:tc>
          <w:tcPr>
            <w:tcW w:w="2213" w:type="dxa"/>
            <w:shd w:val="clear" w:color="auto" w:fill="auto"/>
            <w:vAlign w:val="center"/>
          </w:tcPr>
          <w:p w14:paraId="7E5B6F2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1,573,263</w:t>
            </w:r>
          </w:p>
        </w:tc>
      </w:tr>
      <w:tr w:rsidR="00DE1B44" w14:paraId="06A249AB" w14:textId="77777777">
        <w:trPr>
          <w:trHeight w:val="397"/>
          <w:jc w:val="center"/>
        </w:trPr>
        <w:tc>
          <w:tcPr>
            <w:tcW w:w="2375" w:type="dxa"/>
            <w:shd w:val="clear" w:color="auto" w:fill="auto"/>
            <w:vAlign w:val="center"/>
          </w:tcPr>
          <w:p w14:paraId="27FF188A"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贷款减值准备</w:t>
            </w:r>
          </w:p>
        </w:tc>
        <w:tc>
          <w:tcPr>
            <w:tcW w:w="2214" w:type="dxa"/>
            <w:vAlign w:val="center"/>
          </w:tcPr>
          <w:p w14:paraId="005D2B39"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color w:val="000000"/>
                <w:sz w:val="21"/>
                <w:szCs w:val="21"/>
              </w:rPr>
              <w:t>51,097)</w:t>
            </w:r>
          </w:p>
        </w:tc>
        <w:tc>
          <w:tcPr>
            <w:tcW w:w="2214" w:type="dxa"/>
            <w:shd w:val="clear" w:color="auto" w:fill="auto"/>
            <w:vAlign w:val="center"/>
          </w:tcPr>
          <w:p w14:paraId="114FC8F5"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(49,612)</w:t>
            </w:r>
          </w:p>
        </w:tc>
        <w:tc>
          <w:tcPr>
            <w:tcW w:w="2213" w:type="dxa"/>
            <w:shd w:val="clear" w:color="auto" w:fill="auto"/>
            <w:vAlign w:val="center"/>
          </w:tcPr>
          <w:p w14:paraId="3CDD08AB"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(42,141)</w:t>
            </w:r>
          </w:p>
        </w:tc>
      </w:tr>
      <w:tr w:rsidR="00DE1B44" w14:paraId="1AF7452E" w14:textId="77777777">
        <w:trPr>
          <w:trHeight w:val="397"/>
          <w:jc w:val="center"/>
        </w:trPr>
        <w:tc>
          <w:tcPr>
            <w:tcW w:w="2375" w:type="dxa"/>
            <w:shd w:val="clear" w:color="auto" w:fill="auto"/>
            <w:vAlign w:val="center"/>
          </w:tcPr>
          <w:p w14:paraId="1AF0DDFF"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营业收入</w:t>
            </w:r>
          </w:p>
        </w:tc>
        <w:tc>
          <w:tcPr>
            <w:tcW w:w="2214" w:type="dxa"/>
            <w:vAlign w:val="center"/>
          </w:tcPr>
          <w:p w14:paraId="25812DF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37,010</w:t>
            </w:r>
          </w:p>
        </w:tc>
        <w:tc>
          <w:tcPr>
            <w:tcW w:w="2214" w:type="dxa"/>
            <w:shd w:val="clear" w:color="auto" w:fill="auto"/>
            <w:vAlign w:val="center"/>
          </w:tcPr>
          <w:p w14:paraId="67CC5A21"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80,525</w:t>
            </w:r>
          </w:p>
        </w:tc>
        <w:tc>
          <w:tcPr>
            <w:tcW w:w="2213" w:type="dxa"/>
            <w:shd w:val="clear" w:color="auto" w:fill="auto"/>
            <w:vAlign w:val="center"/>
          </w:tcPr>
          <w:p w14:paraId="25AA8D31"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76,312</w:t>
            </w:r>
          </w:p>
        </w:tc>
      </w:tr>
      <w:tr w:rsidR="00DE1B44" w14:paraId="3E77719D" w14:textId="77777777">
        <w:trPr>
          <w:trHeight w:val="397"/>
          <w:jc w:val="center"/>
        </w:trPr>
        <w:tc>
          <w:tcPr>
            <w:tcW w:w="2375" w:type="dxa"/>
            <w:shd w:val="clear" w:color="auto" w:fill="auto"/>
            <w:vAlign w:val="center"/>
          </w:tcPr>
          <w:p w14:paraId="1B25A7EA"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净利润</w:t>
            </w:r>
          </w:p>
        </w:tc>
        <w:tc>
          <w:tcPr>
            <w:tcW w:w="2214" w:type="dxa"/>
            <w:vAlign w:val="center"/>
          </w:tcPr>
          <w:p w14:paraId="0EA78A50"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10,025</w:t>
            </w:r>
          </w:p>
        </w:tc>
        <w:tc>
          <w:tcPr>
            <w:tcW w:w="2214" w:type="dxa"/>
            <w:shd w:val="clear" w:color="auto" w:fill="auto"/>
            <w:vAlign w:val="center"/>
          </w:tcPr>
          <w:p w14:paraId="4C71CB6B"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1</w:t>
            </w:r>
            <w:r>
              <w:rPr>
                <w:rFonts w:ascii="Times New Roman" w:hAnsi="Times New Roman" w:cs="Times New Roman"/>
                <w:color w:val="000000"/>
                <w:sz w:val="21"/>
                <w:szCs w:val="21"/>
              </w:rPr>
              <w:t>3</w:t>
            </w:r>
            <w:r>
              <w:rPr>
                <w:rFonts w:ascii="Times New Roman" w:hAnsi="Times New Roman" w:cs="Times New Roman" w:hint="eastAsia"/>
                <w:color w:val="000000"/>
                <w:sz w:val="21"/>
                <w:szCs w:val="21"/>
              </w:rPr>
              <w:t>,</w:t>
            </w:r>
            <w:r>
              <w:rPr>
                <w:rFonts w:ascii="Times New Roman" w:hAnsi="Times New Roman" w:cs="Times New Roman"/>
                <w:color w:val="000000"/>
                <w:sz w:val="21"/>
                <w:szCs w:val="21"/>
              </w:rPr>
              <w:t>812</w:t>
            </w:r>
          </w:p>
        </w:tc>
        <w:tc>
          <w:tcPr>
            <w:tcW w:w="2213" w:type="dxa"/>
            <w:shd w:val="clear" w:color="auto" w:fill="auto"/>
            <w:vAlign w:val="center"/>
          </w:tcPr>
          <w:p w14:paraId="4495B617"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12,581</w:t>
            </w:r>
          </w:p>
        </w:tc>
      </w:tr>
      <w:tr w:rsidR="00DE1B44" w14:paraId="436DDD2E" w14:textId="77777777">
        <w:trPr>
          <w:trHeight w:val="397"/>
          <w:jc w:val="center"/>
        </w:trPr>
        <w:tc>
          <w:tcPr>
            <w:tcW w:w="2375" w:type="dxa"/>
            <w:shd w:val="clear" w:color="auto" w:fill="auto"/>
            <w:vAlign w:val="center"/>
          </w:tcPr>
          <w:p w14:paraId="074E6509"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经营活动产生的现金流量净额</w:t>
            </w:r>
          </w:p>
        </w:tc>
        <w:tc>
          <w:tcPr>
            <w:tcW w:w="2214" w:type="dxa"/>
            <w:vAlign w:val="center"/>
          </w:tcPr>
          <w:p w14:paraId="6586CB4E"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(2,983)</w:t>
            </w:r>
          </w:p>
        </w:tc>
        <w:tc>
          <w:tcPr>
            <w:tcW w:w="2214" w:type="dxa"/>
            <w:shd w:val="clear" w:color="auto" w:fill="auto"/>
            <w:vAlign w:val="center"/>
          </w:tcPr>
          <w:p w14:paraId="7F3262A6"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41,098</w:t>
            </w:r>
          </w:p>
        </w:tc>
        <w:tc>
          <w:tcPr>
            <w:tcW w:w="2213" w:type="dxa"/>
            <w:shd w:val="clear" w:color="auto" w:fill="auto"/>
            <w:vAlign w:val="center"/>
          </w:tcPr>
          <w:p w14:paraId="4AFF690C"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(29,144)</w:t>
            </w:r>
          </w:p>
        </w:tc>
      </w:tr>
      <w:tr w:rsidR="00DE1B44" w14:paraId="5AC340C4" w14:textId="77777777">
        <w:trPr>
          <w:trHeight w:val="397"/>
          <w:jc w:val="center"/>
        </w:trPr>
        <w:tc>
          <w:tcPr>
            <w:tcW w:w="2375" w:type="dxa"/>
            <w:shd w:val="clear" w:color="auto" w:fill="auto"/>
            <w:vAlign w:val="center"/>
          </w:tcPr>
          <w:p w14:paraId="68CB1629"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基本每股收益（元）</w:t>
            </w:r>
          </w:p>
        </w:tc>
        <w:tc>
          <w:tcPr>
            <w:tcW w:w="2214" w:type="dxa"/>
            <w:vAlign w:val="center"/>
          </w:tcPr>
          <w:p w14:paraId="521E04AD"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.51</w:t>
            </w:r>
          </w:p>
        </w:tc>
        <w:tc>
          <w:tcPr>
            <w:tcW w:w="2214" w:type="dxa"/>
            <w:shd w:val="clear" w:color="auto" w:fill="auto"/>
            <w:vAlign w:val="center"/>
          </w:tcPr>
          <w:p w14:paraId="64A63C4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0.60</w:t>
            </w:r>
          </w:p>
        </w:tc>
        <w:tc>
          <w:tcPr>
            <w:tcW w:w="2213" w:type="dxa"/>
            <w:shd w:val="clear" w:color="auto" w:fill="auto"/>
            <w:vAlign w:val="center"/>
          </w:tcPr>
          <w:p w14:paraId="5862A0E4"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0.64</w:t>
            </w:r>
          </w:p>
        </w:tc>
      </w:tr>
      <w:tr w:rsidR="00DE1B44" w14:paraId="17F87D3B" w14:textId="77777777">
        <w:trPr>
          <w:trHeight w:val="397"/>
          <w:jc w:val="center"/>
        </w:trPr>
        <w:tc>
          <w:tcPr>
            <w:tcW w:w="2375" w:type="dxa"/>
            <w:shd w:val="clear" w:color="auto" w:fill="auto"/>
            <w:vAlign w:val="center"/>
          </w:tcPr>
          <w:p w14:paraId="0F98754D"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稀释每股收益（元）</w:t>
            </w:r>
          </w:p>
        </w:tc>
        <w:tc>
          <w:tcPr>
            <w:tcW w:w="2214" w:type="dxa"/>
            <w:vAlign w:val="center"/>
          </w:tcPr>
          <w:p w14:paraId="66D8B322"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.51</w:t>
            </w:r>
          </w:p>
        </w:tc>
        <w:tc>
          <w:tcPr>
            <w:tcW w:w="2214" w:type="dxa"/>
            <w:shd w:val="clear" w:color="auto" w:fill="auto"/>
            <w:vAlign w:val="center"/>
          </w:tcPr>
          <w:p w14:paraId="225D06FB"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0.60</w:t>
            </w:r>
          </w:p>
        </w:tc>
        <w:tc>
          <w:tcPr>
            <w:tcW w:w="2213" w:type="dxa"/>
            <w:shd w:val="clear" w:color="auto" w:fill="auto"/>
            <w:vAlign w:val="center"/>
          </w:tcPr>
          <w:p w14:paraId="65E186AD"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0.64</w:t>
            </w:r>
          </w:p>
        </w:tc>
      </w:tr>
      <w:tr w:rsidR="00DE1B44" w14:paraId="413B0747" w14:textId="77777777">
        <w:trPr>
          <w:trHeight w:val="397"/>
          <w:jc w:val="center"/>
        </w:trPr>
        <w:tc>
          <w:tcPr>
            <w:tcW w:w="2375" w:type="dxa"/>
            <w:shd w:val="clear" w:color="auto" w:fill="auto"/>
            <w:vAlign w:val="center"/>
          </w:tcPr>
          <w:p w14:paraId="32E906DE"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总资产收益率（</w:t>
            </w:r>
            <w:r>
              <w:rPr>
                <w:rFonts w:ascii="Times New Roman" w:hAnsi="Times New Roman" w:cs="Times New Roman"/>
                <w:color w:val="000000"/>
                <w:sz w:val="21"/>
                <w:szCs w:val="21"/>
              </w:rPr>
              <w:t>%</w:t>
            </w:r>
            <w:r>
              <w:rPr>
                <w:rFonts w:ascii="Times New Roman" w:hAnsi="Times New Roman" w:cs="Times New Roman"/>
                <w:color w:val="000000"/>
                <w:sz w:val="21"/>
                <w:szCs w:val="21"/>
              </w:rPr>
              <w:t>）</w:t>
            </w:r>
          </w:p>
        </w:tc>
        <w:tc>
          <w:tcPr>
            <w:tcW w:w="2214" w:type="dxa"/>
            <w:vAlign w:val="center"/>
          </w:tcPr>
          <w:p w14:paraId="30B94299"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0</w:t>
            </w:r>
            <w:r>
              <w:rPr>
                <w:rFonts w:ascii="Times New Roman" w:hAnsi="Times New Roman" w:cs="Times New Roman"/>
                <w:color w:val="000000"/>
                <w:sz w:val="21"/>
                <w:szCs w:val="21"/>
              </w:rPr>
              <w:t>.65</w:t>
            </w:r>
          </w:p>
        </w:tc>
        <w:tc>
          <w:tcPr>
            <w:tcW w:w="2214" w:type="dxa"/>
            <w:shd w:val="clear" w:color="auto" w:fill="auto"/>
            <w:vAlign w:val="center"/>
          </w:tcPr>
          <w:p w14:paraId="4E3CBA27"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0.49</w:t>
            </w:r>
          </w:p>
        </w:tc>
        <w:tc>
          <w:tcPr>
            <w:tcW w:w="2213" w:type="dxa"/>
            <w:shd w:val="clear" w:color="auto" w:fill="auto"/>
            <w:vAlign w:val="center"/>
          </w:tcPr>
          <w:p w14:paraId="0ABE4A74"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0.50</w:t>
            </w:r>
          </w:p>
        </w:tc>
      </w:tr>
      <w:tr w:rsidR="00DE1B44" w14:paraId="15AEB999" w14:textId="77777777">
        <w:trPr>
          <w:trHeight w:val="397"/>
          <w:jc w:val="center"/>
        </w:trPr>
        <w:tc>
          <w:tcPr>
            <w:tcW w:w="2375" w:type="dxa"/>
            <w:shd w:val="clear" w:color="auto" w:fill="auto"/>
            <w:vAlign w:val="center"/>
          </w:tcPr>
          <w:p w14:paraId="1092FF0B"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加权平均净资产收益率（</w:t>
            </w:r>
            <w:r>
              <w:rPr>
                <w:rFonts w:ascii="Times New Roman" w:hAnsi="Times New Roman" w:cs="Times New Roman"/>
                <w:color w:val="000000"/>
                <w:sz w:val="21"/>
                <w:szCs w:val="21"/>
              </w:rPr>
              <w:t>%</w:t>
            </w:r>
            <w:r>
              <w:rPr>
                <w:rFonts w:ascii="Times New Roman" w:hAnsi="Times New Roman" w:cs="Times New Roman"/>
                <w:color w:val="000000"/>
                <w:sz w:val="21"/>
                <w:szCs w:val="21"/>
              </w:rPr>
              <w:t>）</w:t>
            </w:r>
          </w:p>
        </w:tc>
        <w:tc>
          <w:tcPr>
            <w:tcW w:w="2214" w:type="dxa"/>
            <w:vAlign w:val="center"/>
          </w:tcPr>
          <w:p w14:paraId="724F1113"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1</w:t>
            </w:r>
            <w:r>
              <w:rPr>
                <w:rFonts w:ascii="Times New Roman" w:hAnsi="Times New Roman" w:cs="Times New Roman"/>
                <w:color w:val="000000"/>
                <w:sz w:val="21"/>
                <w:szCs w:val="21"/>
              </w:rPr>
              <w:t>0.10</w:t>
            </w:r>
          </w:p>
        </w:tc>
        <w:tc>
          <w:tcPr>
            <w:tcW w:w="2214" w:type="dxa"/>
            <w:shd w:val="clear" w:color="auto" w:fill="auto"/>
            <w:vAlign w:val="center"/>
          </w:tcPr>
          <w:p w14:paraId="5E4EFC10"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6.98</w:t>
            </w:r>
          </w:p>
        </w:tc>
        <w:tc>
          <w:tcPr>
            <w:tcW w:w="2213" w:type="dxa"/>
            <w:shd w:val="clear" w:color="auto" w:fill="auto"/>
            <w:vAlign w:val="center"/>
          </w:tcPr>
          <w:p w14:paraId="1728DCE3"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7.42</w:t>
            </w:r>
          </w:p>
        </w:tc>
      </w:tr>
      <w:tr w:rsidR="00DE1B44" w14:paraId="673B12DC" w14:textId="77777777">
        <w:trPr>
          <w:trHeight w:val="397"/>
          <w:jc w:val="center"/>
        </w:trPr>
        <w:tc>
          <w:tcPr>
            <w:tcW w:w="2375" w:type="dxa"/>
            <w:shd w:val="clear" w:color="auto" w:fill="auto"/>
            <w:vAlign w:val="center"/>
          </w:tcPr>
          <w:p w14:paraId="6B12E0D8"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净利差（</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w:t>
            </w:r>
          </w:p>
        </w:tc>
        <w:tc>
          <w:tcPr>
            <w:tcW w:w="2214" w:type="dxa"/>
            <w:vAlign w:val="center"/>
          </w:tcPr>
          <w:p w14:paraId="4E48BC7F"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1.81</w:t>
            </w:r>
          </w:p>
        </w:tc>
        <w:tc>
          <w:tcPr>
            <w:tcW w:w="2214" w:type="dxa"/>
            <w:shd w:val="clear" w:color="auto" w:fill="auto"/>
            <w:vAlign w:val="center"/>
          </w:tcPr>
          <w:p w14:paraId="5774420E"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2.21</w:t>
            </w:r>
          </w:p>
        </w:tc>
        <w:tc>
          <w:tcPr>
            <w:tcW w:w="2213" w:type="dxa"/>
            <w:shd w:val="clear" w:color="auto" w:fill="auto"/>
            <w:vAlign w:val="center"/>
          </w:tcPr>
          <w:p w14:paraId="2216FED6"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2.53</w:t>
            </w:r>
          </w:p>
        </w:tc>
      </w:tr>
      <w:tr w:rsidR="00DE1B44" w14:paraId="7C11204D" w14:textId="77777777">
        <w:trPr>
          <w:trHeight w:val="397"/>
          <w:jc w:val="center"/>
        </w:trPr>
        <w:tc>
          <w:tcPr>
            <w:tcW w:w="2375" w:type="dxa"/>
            <w:shd w:val="clear" w:color="auto" w:fill="auto"/>
            <w:vAlign w:val="center"/>
          </w:tcPr>
          <w:p w14:paraId="604F67D3"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净息差（</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w:t>
            </w:r>
          </w:p>
        </w:tc>
        <w:tc>
          <w:tcPr>
            <w:tcW w:w="2214" w:type="dxa"/>
            <w:vAlign w:val="center"/>
          </w:tcPr>
          <w:p w14:paraId="614EE4B0"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1.95</w:t>
            </w:r>
          </w:p>
        </w:tc>
        <w:tc>
          <w:tcPr>
            <w:tcW w:w="2214" w:type="dxa"/>
            <w:shd w:val="clear" w:color="auto" w:fill="auto"/>
            <w:vAlign w:val="center"/>
          </w:tcPr>
          <w:p w14:paraId="2AA82861"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2.34</w:t>
            </w:r>
          </w:p>
        </w:tc>
        <w:tc>
          <w:tcPr>
            <w:tcW w:w="2213" w:type="dxa"/>
            <w:shd w:val="clear" w:color="auto" w:fill="auto"/>
            <w:vAlign w:val="center"/>
          </w:tcPr>
          <w:p w14:paraId="1021CF0F"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2.62</w:t>
            </w:r>
          </w:p>
        </w:tc>
      </w:tr>
    </w:tbl>
    <w:p w14:paraId="38113078" w14:textId="77777777" w:rsidR="00DE1B44" w:rsidRDefault="00D40582">
      <w:pPr>
        <w:spacing w:beforeLines="0" w:before="0" w:line="240" w:lineRule="auto"/>
        <w:ind w:firstLineChars="0" w:firstLine="0"/>
        <w:jc w:val="left"/>
        <w:rPr>
          <w:rFonts w:ascii="Times New Roman" w:hAnsi="Times New Roman" w:cs="Times New Roman"/>
          <w:sz w:val="21"/>
          <w:szCs w:val="21"/>
        </w:rPr>
      </w:pPr>
      <w:r>
        <w:rPr>
          <w:rFonts w:ascii="Times New Roman" w:hAnsi="Times New Roman" w:cs="Times New Roman" w:hint="eastAsia"/>
          <w:sz w:val="21"/>
          <w:szCs w:val="21"/>
        </w:rPr>
        <w:t>注：</w:t>
      </w:r>
      <w:r>
        <w:rPr>
          <w:rFonts w:ascii="Times New Roman" w:hAnsi="Times New Roman" w:cs="Times New Roman"/>
          <w:sz w:val="21"/>
          <w:szCs w:val="21"/>
        </w:rPr>
        <w:t>1</w:t>
      </w:r>
      <w:r>
        <w:rPr>
          <w:rFonts w:ascii="Times New Roman" w:hAnsi="Times New Roman" w:cs="Times New Roman" w:hint="eastAsia"/>
          <w:sz w:val="21"/>
          <w:szCs w:val="21"/>
        </w:rPr>
        <w:t>：以上财务指标以合并报表的数据为基础进行计算；</w:t>
      </w:r>
    </w:p>
    <w:p w14:paraId="067D473C"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hint="eastAsia"/>
          <w:sz w:val="21"/>
          <w:szCs w:val="21"/>
        </w:rPr>
        <w:t>：总资产收益率</w:t>
      </w:r>
      <w:r>
        <w:rPr>
          <w:rFonts w:ascii="Times New Roman" w:hAnsi="Times New Roman" w:cs="Times New Roman" w:hint="eastAsia"/>
          <w:sz w:val="21"/>
          <w:szCs w:val="21"/>
        </w:rPr>
        <w:t>=</w:t>
      </w:r>
      <w:r>
        <w:rPr>
          <w:rFonts w:ascii="Times New Roman" w:hAnsi="Times New Roman" w:cs="Times New Roman" w:hint="eastAsia"/>
          <w:sz w:val="21"/>
          <w:szCs w:val="21"/>
        </w:rPr>
        <w:t>净利润</w:t>
      </w:r>
      <w:r>
        <w:rPr>
          <w:rFonts w:ascii="Times New Roman" w:hAnsi="Times New Roman" w:cs="Times New Roman" w:hint="eastAsia"/>
          <w:sz w:val="21"/>
          <w:szCs w:val="21"/>
        </w:rPr>
        <w:t>/</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期初资产总额</w:t>
      </w:r>
      <w:r>
        <w:rPr>
          <w:rFonts w:ascii="Times New Roman" w:hAnsi="Times New Roman" w:cs="Times New Roman" w:hint="eastAsia"/>
          <w:sz w:val="21"/>
          <w:szCs w:val="21"/>
        </w:rPr>
        <w:t>+</w:t>
      </w:r>
      <w:r>
        <w:rPr>
          <w:rFonts w:ascii="Times New Roman" w:hAnsi="Times New Roman" w:cs="Times New Roman"/>
          <w:sz w:val="21"/>
          <w:szCs w:val="21"/>
        </w:rPr>
        <w:t>期末资产总额</w:t>
      </w:r>
      <w:r>
        <w:rPr>
          <w:rFonts w:ascii="Times New Roman" w:hAnsi="Times New Roman" w:cs="Times New Roman" w:hint="eastAsia"/>
          <w:sz w:val="21"/>
          <w:szCs w:val="21"/>
        </w:rPr>
        <w:t>）</w:t>
      </w:r>
      <w:r>
        <w:rPr>
          <w:rFonts w:ascii="Times New Roman" w:hAnsi="Times New Roman" w:cs="Times New Roman"/>
          <w:sz w:val="21"/>
          <w:szCs w:val="21"/>
        </w:rPr>
        <w:t>/2</w:t>
      </w:r>
      <w:r>
        <w:rPr>
          <w:rFonts w:ascii="Times New Roman" w:hAnsi="Times New Roman" w:cs="Times New Roman" w:hint="eastAsia"/>
          <w:sz w:val="21"/>
          <w:szCs w:val="21"/>
        </w:rPr>
        <w:t>]</w:t>
      </w:r>
      <w:r>
        <w:rPr>
          <w:rFonts w:ascii="Times New Roman" w:hAnsi="Times New Roman" w:cs="Times New Roman" w:hint="eastAsia"/>
          <w:sz w:val="21"/>
          <w:szCs w:val="21"/>
        </w:rPr>
        <w:t>；</w:t>
      </w:r>
    </w:p>
    <w:p w14:paraId="0F2281E5"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hint="eastAsia"/>
          <w:sz w:val="21"/>
          <w:szCs w:val="21"/>
        </w:rPr>
        <w:t>：基本每股收益、加权平均净资产收益率根据《公开发行证券的公司信息披露编报规则第</w:t>
      </w:r>
      <w:r>
        <w:rPr>
          <w:rFonts w:ascii="Times New Roman" w:hAnsi="Times New Roman" w:cs="Times New Roman"/>
          <w:sz w:val="21"/>
          <w:szCs w:val="21"/>
        </w:rPr>
        <w:t>9</w:t>
      </w:r>
      <w:r>
        <w:rPr>
          <w:rFonts w:ascii="Times New Roman" w:hAnsi="Times New Roman" w:cs="Times New Roman"/>
          <w:sz w:val="21"/>
          <w:szCs w:val="21"/>
        </w:rPr>
        <w:t>号</w:t>
      </w:r>
      <w:r>
        <w:rPr>
          <w:rFonts w:ascii="Times New Roman" w:hAnsi="Times New Roman" w:cs="Times New Roman"/>
          <w:sz w:val="21"/>
          <w:szCs w:val="21"/>
        </w:rPr>
        <w:t>——</w:t>
      </w:r>
      <w:r>
        <w:rPr>
          <w:rFonts w:ascii="Times New Roman" w:hAnsi="Times New Roman" w:cs="Times New Roman"/>
          <w:sz w:val="21"/>
          <w:szCs w:val="21"/>
        </w:rPr>
        <w:t>净资产收益率和每股收益的计算及披露》（</w:t>
      </w:r>
      <w:r>
        <w:rPr>
          <w:rFonts w:ascii="Times New Roman" w:hAnsi="Times New Roman" w:cs="Times New Roman"/>
          <w:sz w:val="21"/>
          <w:szCs w:val="21"/>
        </w:rPr>
        <w:t>2010</w:t>
      </w:r>
      <w:r>
        <w:rPr>
          <w:rFonts w:ascii="Times New Roman" w:hAnsi="Times New Roman" w:cs="Times New Roman"/>
          <w:sz w:val="21"/>
          <w:szCs w:val="21"/>
        </w:rPr>
        <w:t>年修订）计算</w:t>
      </w:r>
      <w:r>
        <w:rPr>
          <w:rFonts w:ascii="Times New Roman" w:hAnsi="Times New Roman" w:cs="Times New Roman" w:hint="eastAsia"/>
          <w:sz w:val="21"/>
          <w:szCs w:val="21"/>
        </w:rPr>
        <w:t>；</w:t>
      </w:r>
    </w:p>
    <w:p w14:paraId="39DDF167"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hint="eastAsia"/>
          <w:sz w:val="21"/>
          <w:szCs w:val="21"/>
        </w:rPr>
        <w:t>4</w:t>
      </w:r>
      <w:r>
        <w:rPr>
          <w:rFonts w:ascii="Times New Roman" w:hAnsi="Times New Roman" w:cs="Times New Roman" w:hint="eastAsia"/>
          <w:sz w:val="21"/>
          <w:szCs w:val="21"/>
        </w:rPr>
        <w:t>：根据财政部《关于严格执行企业会计准则</w:t>
      </w:r>
      <w:r>
        <w:rPr>
          <w:rFonts w:ascii="Times New Roman" w:hAnsi="Times New Roman" w:cs="Times New Roman"/>
          <w:sz w:val="21"/>
          <w:szCs w:val="21"/>
        </w:rPr>
        <w:t xml:space="preserve"> </w:t>
      </w:r>
      <w:r>
        <w:rPr>
          <w:rFonts w:ascii="Times New Roman" w:hAnsi="Times New Roman" w:cs="Times New Roman"/>
          <w:sz w:val="21"/>
          <w:szCs w:val="21"/>
        </w:rPr>
        <w:t>切实加强企业</w:t>
      </w:r>
      <w:r>
        <w:rPr>
          <w:rFonts w:ascii="Times New Roman" w:hAnsi="Times New Roman" w:cs="Times New Roman"/>
          <w:sz w:val="21"/>
          <w:szCs w:val="21"/>
        </w:rPr>
        <w:t>2020</w:t>
      </w:r>
      <w:r>
        <w:rPr>
          <w:rFonts w:ascii="Times New Roman" w:hAnsi="Times New Roman" w:cs="Times New Roman"/>
          <w:sz w:val="21"/>
          <w:szCs w:val="21"/>
        </w:rPr>
        <w:t>年年报工作的通知》（财会</w:t>
      </w:r>
      <w:r>
        <w:rPr>
          <w:rFonts w:ascii="Times New Roman" w:hAnsi="Times New Roman" w:cs="Times New Roman"/>
          <w:sz w:val="21"/>
          <w:szCs w:val="21"/>
        </w:rPr>
        <w:t>[2021]2</w:t>
      </w:r>
      <w:r>
        <w:rPr>
          <w:rFonts w:ascii="Times New Roman" w:hAnsi="Times New Roman" w:cs="Times New Roman"/>
          <w:sz w:val="21"/>
          <w:szCs w:val="21"/>
        </w:rPr>
        <w:t>号），本行将信用卡分期收入从手续费</w:t>
      </w:r>
      <w:proofErr w:type="gramStart"/>
      <w:r>
        <w:rPr>
          <w:rFonts w:ascii="Times New Roman" w:hAnsi="Times New Roman" w:cs="Times New Roman"/>
          <w:sz w:val="21"/>
          <w:szCs w:val="21"/>
        </w:rPr>
        <w:t>收入重</w:t>
      </w:r>
      <w:proofErr w:type="gramEnd"/>
      <w:r>
        <w:rPr>
          <w:rFonts w:ascii="Times New Roman" w:hAnsi="Times New Roman" w:cs="Times New Roman"/>
          <w:sz w:val="21"/>
          <w:szCs w:val="21"/>
        </w:rPr>
        <w:t>分类至利息收入，</w:t>
      </w:r>
      <w:r>
        <w:rPr>
          <w:rFonts w:ascii="Times New Roman" w:hAnsi="Times New Roman" w:cs="Times New Roman"/>
          <w:sz w:val="21"/>
          <w:szCs w:val="21"/>
        </w:rPr>
        <w:t>2019</w:t>
      </w:r>
      <w:r>
        <w:rPr>
          <w:rFonts w:ascii="Times New Roman" w:hAnsi="Times New Roman" w:cs="Times New Roman"/>
          <w:sz w:val="21"/>
          <w:szCs w:val="21"/>
        </w:rPr>
        <w:t>年净利息差、净利息收益率和手续费及佣金净收入比营业收入指标数据已相应调整</w:t>
      </w:r>
      <w:r>
        <w:rPr>
          <w:rFonts w:ascii="Times New Roman" w:hAnsi="Times New Roman" w:cs="Times New Roman" w:hint="eastAsia"/>
          <w:sz w:val="21"/>
          <w:szCs w:val="21"/>
        </w:rPr>
        <w:t>；</w:t>
      </w:r>
    </w:p>
    <w:p w14:paraId="1282D3A3"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sz w:val="21"/>
          <w:szCs w:val="21"/>
        </w:rPr>
        <w:lastRenderedPageBreak/>
        <w:t>5</w:t>
      </w:r>
      <w:r>
        <w:rPr>
          <w:rFonts w:ascii="Times New Roman" w:hAnsi="Times New Roman" w:cs="Times New Roman" w:hint="eastAsia"/>
          <w:sz w:val="21"/>
          <w:szCs w:val="21"/>
        </w:rPr>
        <w:t>：本行为银行业金融机构，不适用应收账款、预付账款、存货、应付账款、资产负债率、流动比率、速动比率、应收账款周转率、存货周转率、毛利率指标。</w:t>
      </w:r>
    </w:p>
    <w:p w14:paraId="3FFDD82D" w14:textId="77777777" w:rsidR="00DE1B44" w:rsidRDefault="00D40582">
      <w:pPr>
        <w:pStyle w:val="4a"/>
        <w:spacing w:before="120"/>
        <w:rPr>
          <w:rFonts w:ascii="Times New Roman" w:hAnsi="Times New Roman"/>
        </w:rPr>
      </w:pPr>
      <w:r>
        <w:rPr>
          <w:rFonts w:ascii="Times New Roman" w:hAnsi="Times New Roman" w:hint="eastAsia"/>
        </w:rPr>
        <w:t>（一）合并资产负债表重要项目分析</w:t>
      </w:r>
    </w:p>
    <w:p w14:paraId="085B0686" w14:textId="77777777" w:rsidR="00DE1B44" w:rsidRDefault="00D40582">
      <w:pPr>
        <w:pStyle w:val="58"/>
        <w:spacing w:before="120"/>
        <w:ind w:firstLine="482"/>
        <w:rPr>
          <w:rFonts w:ascii="Times New Roman" w:hAnsi="Times New Roman"/>
        </w:rPr>
      </w:pPr>
      <w:r>
        <w:rPr>
          <w:rFonts w:ascii="Times New Roman" w:hAnsi="Times New Roman" w:hint="eastAsia"/>
        </w:rPr>
        <w:t>1</w:t>
      </w:r>
      <w:r>
        <w:rPr>
          <w:rFonts w:ascii="Times New Roman" w:hAnsi="Times New Roman" w:hint="eastAsia"/>
        </w:rPr>
        <w:t>、资产情况分析</w:t>
      </w:r>
    </w:p>
    <w:p w14:paraId="271603CB"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，本行总资产分别为</w:t>
      </w:r>
      <w:r>
        <w:rPr>
          <w:rFonts w:ascii="Times New Roman" w:hAnsi="Times New Roman" w:cs="Times New Roman" w:hint="eastAsia"/>
        </w:rPr>
        <w:t>2</w:t>
      </w:r>
      <w:r>
        <w:rPr>
          <w:rFonts w:ascii="Times New Roman" w:hAnsi="Times New Roman" w:cs="Times New Roman"/>
        </w:rPr>
        <w:t>6,327.98</w:t>
      </w:r>
      <w:r>
        <w:rPr>
          <w:rFonts w:ascii="Times New Roman" w:hAnsi="Times New Roman" w:cs="Times New Roman" w:hint="eastAsia"/>
        </w:rPr>
        <w:t>亿元、</w:t>
      </w:r>
      <w:r>
        <w:rPr>
          <w:rFonts w:ascii="Times New Roman" w:hAnsi="Times New Roman" w:cs="Times New Roman" w:hint="eastAsia"/>
        </w:rPr>
        <w:t>3</w:t>
      </w:r>
      <w:r>
        <w:rPr>
          <w:rFonts w:ascii="Times New Roman" w:hAnsi="Times New Roman" w:cs="Times New Roman"/>
        </w:rPr>
        <w:t>0,279.72</w:t>
      </w:r>
      <w:r>
        <w:rPr>
          <w:rFonts w:ascii="Times New Roman" w:hAnsi="Times New Roman" w:cs="Times New Roman"/>
        </w:rPr>
        <w:t>亿元</w:t>
      </w:r>
      <w:r>
        <w:rPr>
          <w:rFonts w:ascii="Times New Roman" w:hAnsi="Times New Roman" w:cs="Times New Roman" w:hint="eastAsia"/>
        </w:rPr>
        <w:t>和</w:t>
      </w:r>
      <w:r>
        <w:rPr>
          <w:rFonts w:ascii="Times New Roman" w:hAnsi="Times New Roman" w:cs="Times New Roman" w:hint="eastAsia"/>
        </w:rPr>
        <w:t>3</w:t>
      </w:r>
      <w:r>
        <w:rPr>
          <w:rFonts w:ascii="Times New Roman" w:hAnsi="Times New Roman" w:cs="Times New Roman"/>
        </w:rPr>
        <w:t>1,856.89</w:t>
      </w:r>
      <w:r>
        <w:rPr>
          <w:rFonts w:ascii="Times New Roman" w:hAnsi="Times New Roman" w:cs="Times New Roman" w:hint="eastAsia"/>
        </w:rPr>
        <w:t>亿元</w:t>
      </w:r>
      <w:r>
        <w:rPr>
          <w:rFonts w:ascii="Times New Roman" w:hAnsi="Times New Roman" w:cs="Times New Roman"/>
        </w:rPr>
        <w:t>，较上年末同比增长分别为</w:t>
      </w:r>
      <w:r>
        <w:rPr>
          <w:rFonts w:ascii="Times New Roman" w:hAnsi="Times New Roman" w:cs="Times New Roman"/>
        </w:rPr>
        <w:t>11.52%</w:t>
      </w:r>
      <w:r>
        <w:rPr>
          <w:rFonts w:ascii="Times New Roman" w:hAnsi="Times New Roman" w:cs="Times New Roman" w:hint="eastAsia"/>
        </w:rPr>
        <w:t>、</w:t>
      </w:r>
      <w:r>
        <w:rPr>
          <w:rFonts w:ascii="Times New Roman" w:hAnsi="Times New Roman" w:cs="Times New Roman"/>
        </w:rPr>
        <w:t>15.01%</w:t>
      </w:r>
      <w:r>
        <w:rPr>
          <w:rFonts w:ascii="Times New Roman" w:hAnsi="Times New Roman" w:cs="Times New Roman" w:hint="eastAsia"/>
        </w:rPr>
        <w:t>和</w:t>
      </w:r>
      <w:r>
        <w:rPr>
          <w:rFonts w:ascii="Times New Roman" w:hAnsi="Times New Roman" w:cs="Times New Roman" w:hint="eastAsia"/>
        </w:rPr>
        <w:t>5</w:t>
      </w:r>
      <w:r>
        <w:rPr>
          <w:rFonts w:ascii="Times New Roman" w:hAnsi="Times New Roman" w:cs="Times New Roman"/>
        </w:rPr>
        <w:t>.21%</w:t>
      </w:r>
      <w:r>
        <w:rPr>
          <w:rFonts w:ascii="Times New Roman" w:hAnsi="Times New Roman" w:cs="Times New Roman"/>
        </w:rPr>
        <w:t>。报告期内，</w:t>
      </w:r>
      <w:r>
        <w:rPr>
          <w:rFonts w:ascii="Times New Roman" w:hAnsi="Times New Roman" w:cs="Times New Roman" w:hint="eastAsia"/>
        </w:rPr>
        <w:t>本行资产规模增长的主要来源为发放贷款的增加。</w:t>
      </w:r>
    </w:p>
    <w:p w14:paraId="129C56AB"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，本行合并资产负债表中总资</w:t>
      </w:r>
      <w:r>
        <w:rPr>
          <w:rFonts w:ascii="Times New Roman" w:hAnsi="Times New Roman" w:cs="Times New Roman" w:hint="eastAsia"/>
        </w:rPr>
        <w:t>产的构成情况如下：</w:t>
      </w:r>
    </w:p>
    <w:p w14:paraId="12B5A262" w14:textId="77777777" w:rsidR="00DE1B44" w:rsidRDefault="00D40582">
      <w:pPr>
        <w:snapToGrid w:val="0"/>
        <w:spacing w:before="120" w:line="240" w:lineRule="auto"/>
        <w:ind w:firstLine="420"/>
        <w:jc w:val="right"/>
        <w:rPr>
          <w:rFonts w:ascii="Times New Roman" w:hAnsi="Times New Roman" w:cs="Times New Roman"/>
          <w:sz w:val="21"/>
          <w:szCs w:val="21"/>
        </w:rPr>
      </w:pPr>
      <w:r>
        <w:rPr>
          <w:rFonts w:ascii="Times New Roman" w:hAnsi="Times New Roman" w:cs="Times New Roman"/>
          <w:sz w:val="21"/>
          <w:szCs w:val="21"/>
        </w:rPr>
        <w:t>单位：</w:t>
      </w:r>
      <w:r>
        <w:rPr>
          <w:rFonts w:ascii="Times New Roman" w:hAnsi="Times New Roman" w:cs="Times New Roman" w:hint="eastAsia"/>
          <w:sz w:val="21"/>
          <w:szCs w:val="21"/>
        </w:rPr>
        <w:t>百万</w:t>
      </w:r>
      <w:r>
        <w:rPr>
          <w:rFonts w:ascii="Times New Roman" w:hAnsi="Times New Roman" w:cs="Times New Roman"/>
          <w:sz w:val="21"/>
          <w:szCs w:val="21"/>
        </w:rPr>
        <w:t>元</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2023"/>
        <w:gridCol w:w="2023"/>
        <w:gridCol w:w="2243"/>
      </w:tblGrid>
      <w:tr w:rsidR="00DE1B44" w14:paraId="2ED8A6B1" w14:textId="77777777">
        <w:trPr>
          <w:trHeight w:val="397"/>
          <w:tblHeader/>
          <w:jc w:val="center"/>
        </w:trPr>
        <w:tc>
          <w:tcPr>
            <w:tcW w:w="2727" w:type="dxa"/>
            <w:shd w:val="clear" w:color="auto" w:fill="auto"/>
            <w:vAlign w:val="center"/>
          </w:tcPr>
          <w:p w14:paraId="5D234F49" w14:textId="77777777" w:rsidR="00DE1B44" w:rsidRDefault="00D40582">
            <w:pPr>
              <w:spacing w:beforeLines="0" w:before="0" w:line="0" w:lineRule="atLeast"/>
              <w:ind w:firstLineChars="0" w:firstLine="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项目</w:t>
            </w:r>
          </w:p>
        </w:tc>
        <w:tc>
          <w:tcPr>
            <w:tcW w:w="2023" w:type="dxa"/>
            <w:vAlign w:val="center"/>
          </w:tcPr>
          <w:p w14:paraId="2EA57A83" w14:textId="77777777" w:rsidR="00DE1B44" w:rsidRDefault="00D40582">
            <w:pPr>
              <w:spacing w:beforeLines="0" w:before="0" w:line="0" w:lineRule="atLeast"/>
              <w:ind w:firstLineChars="0" w:firstLine="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2</w:t>
            </w:r>
            <w:r>
              <w:rPr>
                <w:rFonts w:ascii="Times New Roman" w:hAnsi="Times New Roman" w:cs="Times New Roman"/>
                <w:b/>
                <w:color w:val="000000"/>
                <w:sz w:val="21"/>
                <w:szCs w:val="21"/>
              </w:rPr>
              <w:t>021</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6</w:t>
            </w:r>
            <w:r>
              <w:rPr>
                <w:rFonts w:ascii="Times New Roman" w:hAnsi="Times New Roman" w:cs="Times New Roman" w:hint="eastAsia"/>
                <w:b/>
                <w:color w:val="000000"/>
                <w:sz w:val="21"/>
                <w:szCs w:val="21"/>
              </w:rPr>
              <w:t>月</w:t>
            </w:r>
            <w:r>
              <w:rPr>
                <w:rFonts w:ascii="Times New Roman" w:hAnsi="Times New Roman" w:cs="Times New Roman" w:hint="eastAsia"/>
                <w:b/>
                <w:color w:val="000000"/>
                <w:sz w:val="21"/>
                <w:szCs w:val="21"/>
              </w:rPr>
              <w:t>3</w:t>
            </w:r>
            <w:r>
              <w:rPr>
                <w:rFonts w:ascii="Times New Roman" w:hAnsi="Times New Roman" w:cs="Times New Roman"/>
                <w:b/>
                <w:color w:val="000000"/>
                <w:sz w:val="21"/>
                <w:szCs w:val="21"/>
              </w:rPr>
              <w:t>0</w:t>
            </w:r>
            <w:r>
              <w:rPr>
                <w:rFonts w:ascii="Times New Roman" w:hAnsi="Times New Roman" w:cs="Times New Roman" w:hint="eastAsia"/>
                <w:b/>
                <w:color w:val="000000"/>
                <w:sz w:val="21"/>
                <w:szCs w:val="21"/>
              </w:rPr>
              <w:t>日</w:t>
            </w:r>
          </w:p>
        </w:tc>
        <w:tc>
          <w:tcPr>
            <w:tcW w:w="2023" w:type="dxa"/>
            <w:shd w:val="clear" w:color="auto" w:fill="auto"/>
            <w:vAlign w:val="center"/>
          </w:tcPr>
          <w:p w14:paraId="1D59C903" w14:textId="77777777" w:rsidR="00DE1B44" w:rsidRDefault="00D40582">
            <w:pPr>
              <w:spacing w:beforeLines="0" w:before="0" w:line="0" w:lineRule="atLeast"/>
              <w:ind w:firstLineChars="0" w:firstLine="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20</w:t>
            </w:r>
            <w:r>
              <w:rPr>
                <w:rFonts w:ascii="Times New Roman" w:hAnsi="Times New Roman" w:cs="Times New Roman"/>
                <w:b/>
                <w:color w:val="000000"/>
                <w:sz w:val="21"/>
                <w:szCs w:val="21"/>
              </w:rPr>
              <w:t>20</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12</w:t>
            </w:r>
            <w:r>
              <w:rPr>
                <w:rFonts w:ascii="Times New Roman" w:hAnsi="Times New Roman" w:cs="Times New Roman" w:hint="eastAsia"/>
                <w:b/>
                <w:color w:val="000000"/>
                <w:sz w:val="21"/>
                <w:szCs w:val="21"/>
              </w:rPr>
              <w:t>月</w:t>
            </w:r>
            <w:r>
              <w:rPr>
                <w:rFonts w:ascii="Times New Roman" w:hAnsi="Times New Roman" w:cs="Times New Roman" w:hint="eastAsia"/>
                <w:b/>
                <w:color w:val="000000"/>
                <w:sz w:val="21"/>
                <w:szCs w:val="21"/>
              </w:rPr>
              <w:t>31</w:t>
            </w:r>
            <w:r>
              <w:rPr>
                <w:rFonts w:ascii="Times New Roman" w:hAnsi="Times New Roman" w:cs="Times New Roman" w:hint="eastAsia"/>
                <w:b/>
                <w:color w:val="000000"/>
                <w:sz w:val="21"/>
                <w:szCs w:val="21"/>
              </w:rPr>
              <w:t>日</w:t>
            </w:r>
          </w:p>
        </w:tc>
        <w:tc>
          <w:tcPr>
            <w:tcW w:w="2243" w:type="dxa"/>
            <w:shd w:val="clear" w:color="auto" w:fill="auto"/>
            <w:vAlign w:val="center"/>
          </w:tcPr>
          <w:p w14:paraId="18812E44" w14:textId="77777777" w:rsidR="00DE1B44" w:rsidRDefault="00D40582">
            <w:pPr>
              <w:spacing w:beforeLines="0" w:before="0" w:line="0" w:lineRule="atLeast"/>
              <w:ind w:firstLineChars="0" w:firstLine="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20</w:t>
            </w:r>
            <w:r>
              <w:rPr>
                <w:rFonts w:ascii="Times New Roman" w:hAnsi="Times New Roman" w:cs="Times New Roman"/>
                <w:b/>
                <w:color w:val="000000"/>
                <w:sz w:val="21"/>
                <w:szCs w:val="21"/>
              </w:rPr>
              <w:t>19</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12</w:t>
            </w:r>
            <w:r>
              <w:rPr>
                <w:rFonts w:ascii="Times New Roman" w:hAnsi="Times New Roman" w:cs="Times New Roman" w:hint="eastAsia"/>
                <w:b/>
                <w:color w:val="000000"/>
                <w:sz w:val="21"/>
                <w:szCs w:val="21"/>
              </w:rPr>
              <w:t>月</w:t>
            </w:r>
            <w:r>
              <w:rPr>
                <w:rFonts w:ascii="Times New Roman" w:hAnsi="Times New Roman" w:cs="Times New Roman" w:hint="eastAsia"/>
                <w:b/>
                <w:color w:val="000000"/>
                <w:sz w:val="21"/>
                <w:szCs w:val="21"/>
              </w:rPr>
              <w:t>31</w:t>
            </w:r>
            <w:r>
              <w:rPr>
                <w:rFonts w:ascii="Times New Roman" w:hAnsi="Times New Roman" w:cs="Times New Roman" w:hint="eastAsia"/>
                <w:b/>
                <w:color w:val="000000"/>
                <w:sz w:val="21"/>
                <w:szCs w:val="21"/>
              </w:rPr>
              <w:t>日</w:t>
            </w:r>
          </w:p>
        </w:tc>
      </w:tr>
      <w:tr w:rsidR="00DE1B44" w14:paraId="01161EF8" w14:textId="77777777">
        <w:trPr>
          <w:trHeight w:val="397"/>
          <w:jc w:val="center"/>
        </w:trPr>
        <w:tc>
          <w:tcPr>
            <w:tcW w:w="2727" w:type="dxa"/>
            <w:shd w:val="clear" w:color="auto" w:fill="auto"/>
            <w:vAlign w:val="center"/>
          </w:tcPr>
          <w:p w14:paraId="487FB2C9"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现金及存放中央银行款项</w:t>
            </w:r>
          </w:p>
        </w:tc>
        <w:tc>
          <w:tcPr>
            <w:tcW w:w="2023" w:type="dxa"/>
            <w:shd w:val="clear" w:color="auto" w:fill="auto"/>
            <w:vAlign w:val="center"/>
          </w:tcPr>
          <w:p w14:paraId="65FAA4BB"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231,419</w:t>
            </w:r>
          </w:p>
        </w:tc>
        <w:tc>
          <w:tcPr>
            <w:tcW w:w="2023" w:type="dxa"/>
            <w:shd w:val="clear" w:color="auto" w:fill="auto"/>
            <w:vAlign w:val="center"/>
          </w:tcPr>
          <w:p w14:paraId="5B8E805C"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249,293</w:t>
            </w:r>
          </w:p>
        </w:tc>
        <w:tc>
          <w:tcPr>
            <w:tcW w:w="2243" w:type="dxa"/>
            <w:shd w:val="clear" w:color="auto" w:fill="auto"/>
            <w:vAlign w:val="center"/>
          </w:tcPr>
          <w:p w14:paraId="04DF2EE1"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232,378</w:t>
            </w:r>
          </w:p>
        </w:tc>
      </w:tr>
      <w:tr w:rsidR="00DE1B44" w14:paraId="15BB6AE0" w14:textId="77777777">
        <w:trPr>
          <w:trHeight w:val="397"/>
          <w:jc w:val="center"/>
        </w:trPr>
        <w:tc>
          <w:tcPr>
            <w:tcW w:w="2727" w:type="dxa"/>
            <w:shd w:val="clear" w:color="auto" w:fill="auto"/>
            <w:vAlign w:val="center"/>
          </w:tcPr>
          <w:p w14:paraId="48AED088"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存放同业及其他金融机构款项</w:t>
            </w:r>
          </w:p>
        </w:tc>
        <w:tc>
          <w:tcPr>
            <w:tcW w:w="2023" w:type="dxa"/>
            <w:shd w:val="clear" w:color="auto" w:fill="auto"/>
            <w:vAlign w:val="center"/>
          </w:tcPr>
          <w:p w14:paraId="7582D356"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17,927</w:t>
            </w:r>
          </w:p>
        </w:tc>
        <w:tc>
          <w:tcPr>
            <w:tcW w:w="2023" w:type="dxa"/>
            <w:shd w:val="clear" w:color="auto" w:fill="auto"/>
            <w:vAlign w:val="center"/>
          </w:tcPr>
          <w:p w14:paraId="36F27F0E"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15,320</w:t>
            </w:r>
          </w:p>
        </w:tc>
        <w:tc>
          <w:tcPr>
            <w:tcW w:w="2243" w:type="dxa"/>
            <w:shd w:val="clear" w:color="auto" w:fill="auto"/>
            <w:vAlign w:val="center"/>
          </w:tcPr>
          <w:p w14:paraId="10011CD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16,733</w:t>
            </w:r>
          </w:p>
        </w:tc>
      </w:tr>
      <w:tr w:rsidR="00DE1B44" w14:paraId="1954CAC1" w14:textId="77777777">
        <w:trPr>
          <w:trHeight w:val="397"/>
          <w:jc w:val="center"/>
        </w:trPr>
        <w:tc>
          <w:tcPr>
            <w:tcW w:w="2727" w:type="dxa"/>
            <w:shd w:val="clear" w:color="auto" w:fill="auto"/>
            <w:vAlign w:val="center"/>
          </w:tcPr>
          <w:p w14:paraId="51FFCAE5"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贵金属</w:t>
            </w:r>
          </w:p>
        </w:tc>
        <w:tc>
          <w:tcPr>
            <w:tcW w:w="2023" w:type="dxa"/>
            <w:shd w:val="clear" w:color="auto" w:fill="auto"/>
            <w:vAlign w:val="center"/>
          </w:tcPr>
          <w:p w14:paraId="5D17A3E2"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607</w:t>
            </w:r>
          </w:p>
        </w:tc>
        <w:tc>
          <w:tcPr>
            <w:tcW w:w="2023" w:type="dxa"/>
            <w:shd w:val="clear" w:color="auto" w:fill="auto"/>
            <w:vAlign w:val="center"/>
          </w:tcPr>
          <w:p w14:paraId="6EF6F62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2,134</w:t>
            </w:r>
          </w:p>
        </w:tc>
        <w:tc>
          <w:tcPr>
            <w:tcW w:w="2243" w:type="dxa"/>
            <w:shd w:val="clear" w:color="auto" w:fill="auto"/>
            <w:vAlign w:val="center"/>
          </w:tcPr>
          <w:p w14:paraId="134D58CF"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1,363</w:t>
            </w:r>
          </w:p>
        </w:tc>
      </w:tr>
      <w:tr w:rsidR="00DE1B44" w14:paraId="701B849B" w14:textId="77777777">
        <w:trPr>
          <w:trHeight w:val="397"/>
          <w:jc w:val="center"/>
        </w:trPr>
        <w:tc>
          <w:tcPr>
            <w:tcW w:w="2727" w:type="dxa"/>
            <w:shd w:val="clear" w:color="auto" w:fill="auto"/>
            <w:vAlign w:val="center"/>
          </w:tcPr>
          <w:p w14:paraId="64F30183"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拆出资金</w:t>
            </w:r>
          </w:p>
        </w:tc>
        <w:tc>
          <w:tcPr>
            <w:tcW w:w="2023" w:type="dxa"/>
            <w:shd w:val="clear" w:color="auto" w:fill="auto"/>
            <w:vAlign w:val="center"/>
          </w:tcPr>
          <w:p w14:paraId="598DEFA8"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78,603</w:t>
            </w:r>
          </w:p>
        </w:tc>
        <w:tc>
          <w:tcPr>
            <w:tcW w:w="2023" w:type="dxa"/>
            <w:shd w:val="clear" w:color="auto" w:fill="auto"/>
            <w:vAlign w:val="center"/>
          </w:tcPr>
          <w:p w14:paraId="352FDD8B"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97,985</w:t>
            </w:r>
          </w:p>
        </w:tc>
        <w:tc>
          <w:tcPr>
            <w:tcW w:w="2243" w:type="dxa"/>
            <w:shd w:val="clear" w:color="auto" w:fill="auto"/>
            <w:vAlign w:val="center"/>
          </w:tcPr>
          <w:p w14:paraId="0852EB5A"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89,479</w:t>
            </w:r>
          </w:p>
        </w:tc>
      </w:tr>
      <w:tr w:rsidR="00DE1B44" w14:paraId="02E54723" w14:textId="77777777">
        <w:trPr>
          <w:trHeight w:val="397"/>
          <w:jc w:val="center"/>
        </w:trPr>
        <w:tc>
          <w:tcPr>
            <w:tcW w:w="2727" w:type="dxa"/>
            <w:shd w:val="clear" w:color="auto" w:fill="auto"/>
            <w:vAlign w:val="center"/>
          </w:tcPr>
          <w:p w14:paraId="6ABB0EE4"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衍生金融资产</w:t>
            </w:r>
          </w:p>
        </w:tc>
        <w:tc>
          <w:tcPr>
            <w:tcW w:w="2023" w:type="dxa"/>
            <w:shd w:val="clear" w:color="auto" w:fill="auto"/>
            <w:vAlign w:val="center"/>
          </w:tcPr>
          <w:p w14:paraId="25371FEA"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17,919</w:t>
            </w:r>
          </w:p>
        </w:tc>
        <w:tc>
          <w:tcPr>
            <w:tcW w:w="2023" w:type="dxa"/>
            <w:shd w:val="clear" w:color="auto" w:fill="auto"/>
            <w:vAlign w:val="center"/>
          </w:tcPr>
          <w:p w14:paraId="4ED01ABD"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28,641</w:t>
            </w:r>
          </w:p>
        </w:tc>
        <w:tc>
          <w:tcPr>
            <w:tcW w:w="2243" w:type="dxa"/>
            <w:shd w:val="clear" w:color="auto" w:fill="auto"/>
            <w:vAlign w:val="center"/>
          </w:tcPr>
          <w:p w14:paraId="209EB07C"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25,175</w:t>
            </w:r>
          </w:p>
        </w:tc>
      </w:tr>
      <w:tr w:rsidR="00DE1B44" w14:paraId="367DA440" w14:textId="77777777">
        <w:trPr>
          <w:trHeight w:val="397"/>
          <w:jc w:val="center"/>
        </w:trPr>
        <w:tc>
          <w:tcPr>
            <w:tcW w:w="2727" w:type="dxa"/>
            <w:shd w:val="clear" w:color="auto" w:fill="auto"/>
            <w:vAlign w:val="center"/>
          </w:tcPr>
          <w:p w14:paraId="30E6C522"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买入返售金融资产</w:t>
            </w:r>
          </w:p>
        </w:tc>
        <w:tc>
          <w:tcPr>
            <w:tcW w:w="2023" w:type="dxa"/>
            <w:shd w:val="clear" w:color="auto" w:fill="auto"/>
            <w:vAlign w:val="center"/>
          </w:tcPr>
          <w:p w14:paraId="202584C5"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160,023</w:t>
            </w:r>
          </w:p>
        </w:tc>
        <w:tc>
          <w:tcPr>
            <w:tcW w:w="2023" w:type="dxa"/>
            <w:shd w:val="clear" w:color="auto" w:fill="auto"/>
            <w:vAlign w:val="center"/>
          </w:tcPr>
          <w:p w14:paraId="5A6334C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107,045</w:t>
            </w:r>
          </w:p>
        </w:tc>
        <w:tc>
          <w:tcPr>
            <w:tcW w:w="2243" w:type="dxa"/>
            <w:shd w:val="clear" w:color="auto" w:fill="auto"/>
            <w:vAlign w:val="center"/>
          </w:tcPr>
          <w:p w14:paraId="2AEBE359"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66,849</w:t>
            </w:r>
          </w:p>
        </w:tc>
      </w:tr>
      <w:tr w:rsidR="00DE1B44" w14:paraId="5AC7D763" w14:textId="77777777">
        <w:trPr>
          <w:trHeight w:val="397"/>
          <w:jc w:val="center"/>
        </w:trPr>
        <w:tc>
          <w:tcPr>
            <w:tcW w:w="2727" w:type="dxa"/>
            <w:shd w:val="clear" w:color="auto" w:fill="auto"/>
            <w:vAlign w:val="center"/>
          </w:tcPr>
          <w:p w14:paraId="0D12F9B4"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发放贷款和垫款</w:t>
            </w:r>
          </w:p>
        </w:tc>
        <w:tc>
          <w:tcPr>
            <w:tcW w:w="2023" w:type="dxa"/>
            <w:shd w:val="clear" w:color="auto" w:fill="auto"/>
            <w:vAlign w:val="center"/>
          </w:tcPr>
          <w:p w14:paraId="2C0228B0"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1,917,885</w:t>
            </w:r>
          </w:p>
        </w:tc>
        <w:tc>
          <w:tcPr>
            <w:tcW w:w="2023" w:type="dxa"/>
            <w:shd w:val="clear" w:color="auto" w:fill="auto"/>
            <w:vAlign w:val="center"/>
          </w:tcPr>
          <w:p w14:paraId="69DFA78D"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1,754,573</w:t>
            </w:r>
          </w:p>
        </w:tc>
        <w:tc>
          <w:tcPr>
            <w:tcW w:w="2243" w:type="dxa"/>
            <w:shd w:val="clear" w:color="auto" w:fill="auto"/>
            <w:vAlign w:val="center"/>
          </w:tcPr>
          <w:p w14:paraId="442BAE3B"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1,531,311</w:t>
            </w:r>
          </w:p>
        </w:tc>
      </w:tr>
      <w:tr w:rsidR="00DE1B44" w14:paraId="392910B8" w14:textId="77777777">
        <w:trPr>
          <w:trHeight w:val="397"/>
          <w:jc w:val="center"/>
        </w:trPr>
        <w:tc>
          <w:tcPr>
            <w:tcW w:w="2727" w:type="dxa"/>
            <w:shd w:val="clear" w:color="auto" w:fill="auto"/>
            <w:vAlign w:val="center"/>
          </w:tcPr>
          <w:p w14:paraId="3F9ED585"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金融投资</w:t>
            </w:r>
          </w:p>
        </w:tc>
        <w:tc>
          <w:tcPr>
            <w:tcW w:w="2023" w:type="dxa"/>
            <w:shd w:val="clear" w:color="auto" w:fill="auto"/>
            <w:vAlign w:val="center"/>
          </w:tcPr>
          <w:p w14:paraId="4B722004"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702,792</w:t>
            </w:r>
          </w:p>
        </w:tc>
        <w:tc>
          <w:tcPr>
            <w:tcW w:w="2023" w:type="dxa"/>
            <w:shd w:val="clear" w:color="auto" w:fill="auto"/>
            <w:vAlign w:val="center"/>
          </w:tcPr>
          <w:p w14:paraId="744304FA"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725,755</w:t>
            </w:r>
          </w:p>
        </w:tc>
        <w:tc>
          <w:tcPr>
            <w:tcW w:w="2243" w:type="dxa"/>
            <w:shd w:val="clear" w:color="auto" w:fill="auto"/>
            <w:vAlign w:val="center"/>
          </w:tcPr>
          <w:p w14:paraId="4A22EE9E"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631,103</w:t>
            </w:r>
          </w:p>
        </w:tc>
      </w:tr>
      <w:tr w:rsidR="00DE1B44" w14:paraId="74DF900A" w14:textId="77777777">
        <w:trPr>
          <w:trHeight w:val="397"/>
          <w:jc w:val="center"/>
        </w:trPr>
        <w:tc>
          <w:tcPr>
            <w:tcW w:w="2727" w:type="dxa"/>
            <w:shd w:val="clear" w:color="auto" w:fill="auto"/>
            <w:vAlign w:val="center"/>
          </w:tcPr>
          <w:p w14:paraId="77733D34"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其中：交易性金融资产</w:t>
            </w:r>
          </w:p>
        </w:tc>
        <w:tc>
          <w:tcPr>
            <w:tcW w:w="2023" w:type="dxa"/>
            <w:shd w:val="clear" w:color="auto" w:fill="auto"/>
            <w:vAlign w:val="center"/>
          </w:tcPr>
          <w:p w14:paraId="1AFFF658"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145,543</w:t>
            </w:r>
          </w:p>
        </w:tc>
        <w:tc>
          <w:tcPr>
            <w:tcW w:w="2023" w:type="dxa"/>
            <w:shd w:val="clear" w:color="auto" w:fill="auto"/>
            <w:vAlign w:val="center"/>
          </w:tcPr>
          <w:p w14:paraId="689A4A95"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146,810</w:t>
            </w:r>
          </w:p>
        </w:tc>
        <w:tc>
          <w:tcPr>
            <w:tcW w:w="2243" w:type="dxa"/>
            <w:shd w:val="clear" w:color="auto" w:fill="auto"/>
            <w:vAlign w:val="center"/>
          </w:tcPr>
          <w:p w14:paraId="022C3450"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129,304</w:t>
            </w:r>
          </w:p>
        </w:tc>
      </w:tr>
      <w:tr w:rsidR="00DE1B44" w14:paraId="4112A0E7" w14:textId="77777777">
        <w:trPr>
          <w:trHeight w:val="397"/>
          <w:jc w:val="center"/>
        </w:trPr>
        <w:tc>
          <w:tcPr>
            <w:tcW w:w="2727" w:type="dxa"/>
            <w:shd w:val="clear" w:color="auto" w:fill="auto"/>
            <w:vAlign w:val="center"/>
          </w:tcPr>
          <w:p w14:paraId="3FA5CB91" w14:textId="77777777" w:rsidR="00DE1B44" w:rsidRDefault="00D40582">
            <w:pPr>
              <w:spacing w:beforeLines="0" w:before="0" w:line="0" w:lineRule="atLeast"/>
              <w:ind w:firstLineChars="300" w:firstLine="630"/>
              <w:rPr>
                <w:rFonts w:ascii="Times New Roman" w:hAnsi="Times New Roman" w:cs="Times New Roman"/>
                <w:color w:val="000000"/>
                <w:sz w:val="21"/>
                <w:szCs w:val="21"/>
              </w:rPr>
            </w:pPr>
            <w:r>
              <w:rPr>
                <w:rFonts w:ascii="Times New Roman" w:hAnsi="Times New Roman" w:cs="Times New Roman" w:hint="eastAsia"/>
                <w:color w:val="000000"/>
                <w:sz w:val="21"/>
                <w:szCs w:val="21"/>
              </w:rPr>
              <w:t>债权投资</w:t>
            </w:r>
          </w:p>
        </w:tc>
        <w:tc>
          <w:tcPr>
            <w:tcW w:w="2023" w:type="dxa"/>
            <w:shd w:val="clear" w:color="auto" w:fill="auto"/>
            <w:vAlign w:val="center"/>
          </w:tcPr>
          <w:p w14:paraId="567F54DD" w14:textId="77777777" w:rsidR="00DE1B44" w:rsidRDefault="00D40582">
            <w:pPr>
              <w:snapToGrid w:val="0"/>
              <w:spacing w:beforeLines="0" w:before="0" w:line="0" w:lineRule="atLeast"/>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336,181</w:t>
            </w:r>
          </w:p>
        </w:tc>
        <w:tc>
          <w:tcPr>
            <w:tcW w:w="2023" w:type="dxa"/>
            <w:shd w:val="clear" w:color="auto" w:fill="auto"/>
            <w:vAlign w:val="center"/>
          </w:tcPr>
          <w:p w14:paraId="6DE77E4B"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332,401</w:t>
            </w:r>
          </w:p>
        </w:tc>
        <w:tc>
          <w:tcPr>
            <w:tcW w:w="2243" w:type="dxa"/>
            <w:shd w:val="clear" w:color="auto" w:fill="auto"/>
            <w:vAlign w:val="center"/>
          </w:tcPr>
          <w:p w14:paraId="64E5058B"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307,501</w:t>
            </w:r>
          </w:p>
        </w:tc>
      </w:tr>
      <w:tr w:rsidR="00DE1B44" w14:paraId="49DA8E01" w14:textId="77777777">
        <w:trPr>
          <w:trHeight w:val="397"/>
          <w:jc w:val="center"/>
        </w:trPr>
        <w:tc>
          <w:tcPr>
            <w:tcW w:w="2727" w:type="dxa"/>
            <w:shd w:val="clear" w:color="auto" w:fill="auto"/>
            <w:vAlign w:val="center"/>
          </w:tcPr>
          <w:p w14:paraId="02B39DFB" w14:textId="77777777" w:rsidR="00DE1B44" w:rsidRDefault="00D40582">
            <w:pPr>
              <w:spacing w:beforeLines="0" w:before="0" w:line="0" w:lineRule="atLeast"/>
              <w:ind w:firstLineChars="300" w:firstLine="630"/>
              <w:rPr>
                <w:rFonts w:ascii="Times New Roman" w:hAnsi="Times New Roman" w:cs="Times New Roman"/>
                <w:color w:val="000000"/>
                <w:sz w:val="21"/>
                <w:szCs w:val="21"/>
              </w:rPr>
            </w:pPr>
            <w:r>
              <w:rPr>
                <w:rFonts w:ascii="Times New Roman" w:hAnsi="Times New Roman" w:cs="Times New Roman" w:hint="eastAsia"/>
                <w:color w:val="000000"/>
                <w:sz w:val="21"/>
                <w:szCs w:val="21"/>
              </w:rPr>
              <w:t>其他债权投资</w:t>
            </w:r>
          </w:p>
        </w:tc>
        <w:tc>
          <w:tcPr>
            <w:tcW w:w="2023" w:type="dxa"/>
            <w:shd w:val="clear" w:color="auto" w:fill="auto"/>
            <w:vAlign w:val="center"/>
          </w:tcPr>
          <w:p w14:paraId="3FC0546A" w14:textId="77777777" w:rsidR="00DE1B44" w:rsidRDefault="00D40582">
            <w:pPr>
              <w:snapToGrid w:val="0"/>
              <w:spacing w:beforeLines="0" w:before="0" w:line="0" w:lineRule="atLeast"/>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218,330</w:t>
            </w:r>
          </w:p>
        </w:tc>
        <w:tc>
          <w:tcPr>
            <w:tcW w:w="2023" w:type="dxa"/>
            <w:shd w:val="clear" w:color="auto" w:fill="auto"/>
            <w:vAlign w:val="center"/>
          </w:tcPr>
          <w:p w14:paraId="5073431F"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243,800</w:t>
            </w:r>
          </w:p>
        </w:tc>
        <w:tc>
          <w:tcPr>
            <w:tcW w:w="2243" w:type="dxa"/>
            <w:shd w:val="clear" w:color="auto" w:fill="auto"/>
            <w:vAlign w:val="center"/>
          </w:tcPr>
          <w:p w14:paraId="70E2DA38"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192,148</w:t>
            </w:r>
          </w:p>
        </w:tc>
      </w:tr>
      <w:tr w:rsidR="00DE1B44" w14:paraId="6B8730A5" w14:textId="77777777">
        <w:trPr>
          <w:trHeight w:val="397"/>
          <w:jc w:val="center"/>
        </w:trPr>
        <w:tc>
          <w:tcPr>
            <w:tcW w:w="2727" w:type="dxa"/>
            <w:shd w:val="clear" w:color="auto" w:fill="auto"/>
            <w:vAlign w:val="center"/>
          </w:tcPr>
          <w:p w14:paraId="60869959" w14:textId="77777777" w:rsidR="00DE1B44" w:rsidRDefault="00D40582">
            <w:pPr>
              <w:spacing w:beforeLines="0" w:before="0" w:line="0" w:lineRule="atLeast"/>
              <w:ind w:firstLineChars="300" w:firstLine="630"/>
              <w:rPr>
                <w:rFonts w:ascii="Times New Roman" w:hAnsi="Times New Roman" w:cs="Times New Roman"/>
                <w:color w:val="000000"/>
                <w:sz w:val="21"/>
                <w:szCs w:val="21"/>
              </w:rPr>
            </w:pPr>
            <w:r>
              <w:rPr>
                <w:rFonts w:ascii="Times New Roman" w:hAnsi="Times New Roman" w:cs="Times New Roman" w:hint="eastAsia"/>
                <w:color w:val="000000"/>
                <w:sz w:val="21"/>
                <w:szCs w:val="21"/>
              </w:rPr>
              <w:t>其他权益工具投资</w:t>
            </w:r>
          </w:p>
        </w:tc>
        <w:tc>
          <w:tcPr>
            <w:tcW w:w="2023" w:type="dxa"/>
            <w:shd w:val="clear" w:color="auto" w:fill="auto"/>
            <w:vAlign w:val="center"/>
          </w:tcPr>
          <w:p w14:paraId="26B5D522" w14:textId="77777777" w:rsidR="00DE1B44" w:rsidRDefault="00D40582">
            <w:pPr>
              <w:snapToGrid w:val="0"/>
              <w:spacing w:beforeLines="0" w:before="0" w:line="0" w:lineRule="atLeast"/>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2,738</w:t>
            </w:r>
          </w:p>
        </w:tc>
        <w:tc>
          <w:tcPr>
            <w:tcW w:w="2023" w:type="dxa"/>
            <w:shd w:val="clear" w:color="auto" w:fill="auto"/>
            <w:vAlign w:val="center"/>
          </w:tcPr>
          <w:p w14:paraId="28BE3F1D"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2,744</w:t>
            </w:r>
          </w:p>
        </w:tc>
        <w:tc>
          <w:tcPr>
            <w:tcW w:w="2243" w:type="dxa"/>
            <w:shd w:val="clear" w:color="auto" w:fill="auto"/>
            <w:vAlign w:val="center"/>
          </w:tcPr>
          <w:p w14:paraId="2587F322"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2,150</w:t>
            </w:r>
          </w:p>
        </w:tc>
      </w:tr>
      <w:tr w:rsidR="00DE1B44" w14:paraId="4A501809" w14:textId="77777777">
        <w:trPr>
          <w:trHeight w:val="397"/>
          <w:jc w:val="center"/>
        </w:trPr>
        <w:tc>
          <w:tcPr>
            <w:tcW w:w="2727" w:type="dxa"/>
            <w:shd w:val="clear" w:color="auto" w:fill="auto"/>
            <w:vAlign w:val="center"/>
          </w:tcPr>
          <w:p w14:paraId="3C622D37"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长期股权投资</w:t>
            </w:r>
          </w:p>
        </w:tc>
        <w:tc>
          <w:tcPr>
            <w:tcW w:w="2023" w:type="dxa"/>
            <w:shd w:val="clear" w:color="auto" w:fill="auto"/>
            <w:vAlign w:val="center"/>
          </w:tcPr>
          <w:p w14:paraId="1D6D79D0" w14:textId="77777777" w:rsidR="00DE1B44" w:rsidRDefault="00D40582">
            <w:pPr>
              <w:snapToGrid w:val="0"/>
              <w:spacing w:beforeLines="0" w:before="0" w:line="0" w:lineRule="atLeast"/>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w:t>
            </w:r>
          </w:p>
        </w:tc>
        <w:tc>
          <w:tcPr>
            <w:tcW w:w="2023" w:type="dxa"/>
            <w:shd w:val="clear" w:color="auto" w:fill="auto"/>
            <w:vAlign w:val="center"/>
          </w:tcPr>
          <w:p w14:paraId="0BE6EA72"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w:t>
            </w:r>
          </w:p>
        </w:tc>
        <w:tc>
          <w:tcPr>
            <w:tcW w:w="2243" w:type="dxa"/>
            <w:shd w:val="clear" w:color="auto" w:fill="auto"/>
            <w:vAlign w:val="center"/>
          </w:tcPr>
          <w:p w14:paraId="34BCCEA3"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5</w:t>
            </w:r>
          </w:p>
        </w:tc>
      </w:tr>
      <w:tr w:rsidR="00DE1B44" w14:paraId="362D53E3" w14:textId="77777777">
        <w:trPr>
          <w:trHeight w:val="397"/>
          <w:jc w:val="center"/>
        </w:trPr>
        <w:tc>
          <w:tcPr>
            <w:tcW w:w="2727" w:type="dxa"/>
            <w:shd w:val="clear" w:color="auto" w:fill="auto"/>
            <w:vAlign w:val="center"/>
          </w:tcPr>
          <w:p w14:paraId="7DB6DC6B"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固定资产</w:t>
            </w:r>
          </w:p>
        </w:tc>
        <w:tc>
          <w:tcPr>
            <w:tcW w:w="2023" w:type="dxa"/>
            <w:shd w:val="clear" w:color="auto" w:fill="auto"/>
            <w:vAlign w:val="center"/>
          </w:tcPr>
          <w:p w14:paraId="6B32FC30" w14:textId="77777777" w:rsidR="00DE1B44" w:rsidRDefault="00D40582">
            <w:pPr>
              <w:snapToGrid w:val="0"/>
              <w:spacing w:beforeLines="0" w:before="0" w:line="0" w:lineRule="atLeast"/>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10,783</w:t>
            </w:r>
          </w:p>
        </w:tc>
        <w:tc>
          <w:tcPr>
            <w:tcW w:w="2023" w:type="dxa"/>
            <w:shd w:val="clear" w:color="auto" w:fill="auto"/>
            <w:vAlign w:val="center"/>
          </w:tcPr>
          <w:p w14:paraId="1E01BF71"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10,581</w:t>
            </w:r>
          </w:p>
        </w:tc>
        <w:tc>
          <w:tcPr>
            <w:tcW w:w="2243" w:type="dxa"/>
            <w:shd w:val="clear" w:color="auto" w:fill="auto"/>
            <w:vAlign w:val="center"/>
          </w:tcPr>
          <w:p w14:paraId="441A0B39"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10,231</w:t>
            </w:r>
          </w:p>
        </w:tc>
      </w:tr>
      <w:tr w:rsidR="00DE1B44" w14:paraId="74274E2A" w14:textId="77777777">
        <w:trPr>
          <w:trHeight w:val="397"/>
          <w:jc w:val="center"/>
        </w:trPr>
        <w:tc>
          <w:tcPr>
            <w:tcW w:w="2727" w:type="dxa"/>
            <w:shd w:val="clear" w:color="auto" w:fill="auto"/>
            <w:vAlign w:val="center"/>
          </w:tcPr>
          <w:p w14:paraId="03F7FE90"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无形资产</w:t>
            </w:r>
          </w:p>
        </w:tc>
        <w:tc>
          <w:tcPr>
            <w:tcW w:w="2023" w:type="dxa"/>
            <w:shd w:val="clear" w:color="auto" w:fill="auto"/>
            <w:vAlign w:val="center"/>
          </w:tcPr>
          <w:p w14:paraId="5BED9EA5" w14:textId="77777777" w:rsidR="00DE1B44" w:rsidRDefault="00D40582">
            <w:pPr>
              <w:snapToGrid w:val="0"/>
              <w:spacing w:beforeLines="0" w:before="0" w:line="0" w:lineRule="atLeast"/>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5,017</w:t>
            </w:r>
          </w:p>
        </w:tc>
        <w:tc>
          <w:tcPr>
            <w:tcW w:w="2023" w:type="dxa"/>
            <w:shd w:val="clear" w:color="auto" w:fill="auto"/>
            <w:vAlign w:val="center"/>
          </w:tcPr>
          <w:p w14:paraId="45EC12F5"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4,598</w:t>
            </w:r>
          </w:p>
        </w:tc>
        <w:tc>
          <w:tcPr>
            <w:tcW w:w="2243" w:type="dxa"/>
            <w:shd w:val="clear" w:color="auto" w:fill="auto"/>
            <w:vAlign w:val="center"/>
          </w:tcPr>
          <w:p w14:paraId="0CA013E1"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4,289</w:t>
            </w:r>
          </w:p>
        </w:tc>
      </w:tr>
      <w:tr w:rsidR="00DE1B44" w14:paraId="58F3590C" w14:textId="77777777">
        <w:trPr>
          <w:trHeight w:val="397"/>
          <w:jc w:val="center"/>
        </w:trPr>
        <w:tc>
          <w:tcPr>
            <w:tcW w:w="2727" w:type="dxa"/>
            <w:shd w:val="clear" w:color="auto" w:fill="auto"/>
            <w:vAlign w:val="center"/>
          </w:tcPr>
          <w:p w14:paraId="22EEA0A3"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使用权资产</w:t>
            </w:r>
          </w:p>
        </w:tc>
        <w:tc>
          <w:tcPr>
            <w:tcW w:w="2023" w:type="dxa"/>
            <w:shd w:val="clear" w:color="auto" w:fill="auto"/>
            <w:vAlign w:val="center"/>
          </w:tcPr>
          <w:p w14:paraId="37955EF6" w14:textId="77777777" w:rsidR="00DE1B44" w:rsidRDefault="00D40582">
            <w:pPr>
              <w:snapToGrid w:val="0"/>
              <w:spacing w:beforeLines="0" w:before="0" w:line="0" w:lineRule="atLeast"/>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5,257</w:t>
            </w:r>
          </w:p>
        </w:tc>
        <w:tc>
          <w:tcPr>
            <w:tcW w:w="2023" w:type="dxa"/>
            <w:shd w:val="clear" w:color="auto" w:fill="auto"/>
            <w:vAlign w:val="center"/>
          </w:tcPr>
          <w:p w14:paraId="7868E3B9" w14:textId="77777777" w:rsidR="00DE1B44" w:rsidRDefault="00D40582">
            <w:pPr>
              <w:snapToGrid w:val="0"/>
              <w:spacing w:beforeLines="0" w:before="0" w:line="0" w:lineRule="atLeast"/>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不适用</w:t>
            </w:r>
          </w:p>
        </w:tc>
        <w:tc>
          <w:tcPr>
            <w:tcW w:w="2243" w:type="dxa"/>
            <w:shd w:val="clear" w:color="auto" w:fill="auto"/>
            <w:vAlign w:val="center"/>
          </w:tcPr>
          <w:p w14:paraId="6AF520AC" w14:textId="77777777" w:rsidR="00DE1B44" w:rsidRDefault="00D40582">
            <w:pPr>
              <w:snapToGrid w:val="0"/>
              <w:spacing w:beforeLines="0" w:before="0" w:line="0" w:lineRule="atLeast"/>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不适用</w:t>
            </w:r>
          </w:p>
        </w:tc>
      </w:tr>
      <w:tr w:rsidR="00DE1B44" w14:paraId="7FA88C56" w14:textId="77777777">
        <w:trPr>
          <w:trHeight w:val="397"/>
          <w:jc w:val="center"/>
        </w:trPr>
        <w:tc>
          <w:tcPr>
            <w:tcW w:w="2727" w:type="dxa"/>
            <w:shd w:val="clear" w:color="auto" w:fill="auto"/>
            <w:vAlign w:val="center"/>
          </w:tcPr>
          <w:p w14:paraId="0AAC173A"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递延所得税资产</w:t>
            </w:r>
          </w:p>
        </w:tc>
        <w:tc>
          <w:tcPr>
            <w:tcW w:w="2023" w:type="dxa"/>
            <w:shd w:val="clear" w:color="auto" w:fill="auto"/>
            <w:vAlign w:val="center"/>
          </w:tcPr>
          <w:p w14:paraId="0703B4D6" w14:textId="77777777" w:rsidR="00DE1B44" w:rsidRDefault="00D40582">
            <w:pPr>
              <w:snapToGrid w:val="0"/>
              <w:spacing w:beforeLines="0" w:before="0" w:line="0" w:lineRule="atLeast"/>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16,447</w:t>
            </w:r>
          </w:p>
        </w:tc>
        <w:tc>
          <w:tcPr>
            <w:tcW w:w="2023" w:type="dxa"/>
            <w:shd w:val="clear" w:color="auto" w:fill="auto"/>
            <w:vAlign w:val="center"/>
          </w:tcPr>
          <w:p w14:paraId="343D2207"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15,360</w:t>
            </w:r>
          </w:p>
        </w:tc>
        <w:tc>
          <w:tcPr>
            <w:tcW w:w="2243" w:type="dxa"/>
            <w:shd w:val="clear" w:color="auto" w:fill="auto"/>
            <w:vAlign w:val="center"/>
          </w:tcPr>
          <w:p w14:paraId="284F276F"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14,036</w:t>
            </w:r>
          </w:p>
        </w:tc>
      </w:tr>
      <w:tr w:rsidR="00DE1B44" w14:paraId="72F3E58C" w14:textId="77777777">
        <w:trPr>
          <w:trHeight w:val="397"/>
          <w:jc w:val="center"/>
        </w:trPr>
        <w:tc>
          <w:tcPr>
            <w:tcW w:w="2727" w:type="dxa"/>
            <w:shd w:val="clear" w:color="auto" w:fill="auto"/>
            <w:vAlign w:val="center"/>
          </w:tcPr>
          <w:p w14:paraId="001CB63C"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其他资产</w:t>
            </w:r>
          </w:p>
        </w:tc>
        <w:tc>
          <w:tcPr>
            <w:tcW w:w="2023" w:type="dxa"/>
            <w:shd w:val="clear" w:color="auto" w:fill="auto"/>
            <w:vAlign w:val="center"/>
          </w:tcPr>
          <w:p w14:paraId="6887B9FE" w14:textId="77777777" w:rsidR="00DE1B44" w:rsidRDefault="00D40582">
            <w:pPr>
              <w:snapToGrid w:val="0"/>
              <w:spacing w:beforeLines="0" w:before="0" w:line="0" w:lineRule="atLeast"/>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21,009</w:t>
            </w:r>
          </w:p>
        </w:tc>
        <w:tc>
          <w:tcPr>
            <w:tcW w:w="2023" w:type="dxa"/>
            <w:shd w:val="clear" w:color="auto" w:fill="auto"/>
            <w:vAlign w:val="center"/>
          </w:tcPr>
          <w:p w14:paraId="39F726D5"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16,688</w:t>
            </w:r>
          </w:p>
        </w:tc>
        <w:tc>
          <w:tcPr>
            <w:tcW w:w="2243" w:type="dxa"/>
            <w:shd w:val="clear" w:color="auto" w:fill="auto"/>
            <w:vAlign w:val="center"/>
          </w:tcPr>
          <w:p w14:paraId="59998E45" w14:textId="77777777" w:rsidR="00DE1B44" w:rsidRDefault="00D40582">
            <w:pPr>
              <w:snapToGrid w:val="0"/>
              <w:spacing w:beforeLines="0" w:before="0" w:line="0" w:lineRule="atLeast"/>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9,846</w:t>
            </w:r>
          </w:p>
        </w:tc>
      </w:tr>
      <w:tr w:rsidR="00DE1B44" w14:paraId="177AAEBA" w14:textId="77777777">
        <w:trPr>
          <w:trHeight w:val="397"/>
          <w:jc w:val="center"/>
        </w:trPr>
        <w:tc>
          <w:tcPr>
            <w:tcW w:w="2727" w:type="dxa"/>
            <w:shd w:val="clear" w:color="auto" w:fill="auto"/>
            <w:vAlign w:val="center"/>
          </w:tcPr>
          <w:p w14:paraId="11BA2F10" w14:textId="77777777" w:rsidR="00DE1B44" w:rsidRDefault="00D40582">
            <w:pPr>
              <w:spacing w:beforeLines="0" w:before="0" w:line="0" w:lineRule="atLeast"/>
              <w:ind w:firstLineChars="0" w:firstLine="0"/>
              <w:rPr>
                <w:rFonts w:ascii="Times New Roman" w:hAnsi="Times New Roman" w:cs="Times New Roman"/>
                <w:color w:val="000000"/>
                <w:sz w:val="21"/>
                <w:szCs w:val="21"/>
              </w:rPr>
            </w:pPr>
            <w:r>
              <w:rPr>
                <w:rFonts w:ascii="Times New Roman" w:hAnsi="Times New Roman" w:cs="Times New Roman" w:hint="eastAsia"/>
                <w:b/>
                <w:color w:val="000000"/>
                <w:sz w:val="21"/>
                <w:szCs w:val="21"/>
              </w:rPr>
              <w:t>资产总计</w:t>
            </w:r>
          </w:p>
        </w:tc>
        <w:tc>
          <w:tcPr>
            <w:tcW w:w="2023" w:type="dxa"/>
            <w:shd w:val="clear" w:color="auto" w:fill="auto"/>
            <w:vAlign w:val="center"/>
          </w:tcPr>
          <w:p w14:paraId="2EAC2E63" w14:textId="77777777" w:rsidR="00DE1B44" w:rsidRDefault="00D40582">
            <w:pPr>
              <w:snapToGrid w:val="0"/>
              <w:spacing w:beforeLines="0" w:before="0" w:line="0" w:lineRule="atLeast"/>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3,185,689</w:t>
            </w:r>
          </w:p>
        </w:tc>
        <w:tc>
          <w:tcPr>
            <w:tcW w:w="2023" w:type="dxa"/>
            <w:shd w:val="clear" w:color="auto" w:fill="auto"/>
            <w:vAlign w:val="center"/>
          </w:tcPr>
          <w:p w14:paraId="1E7C60F0" w14:textId="77777777" w:rsidR="00DE1B44" w:rsidRDefault="00D40582">
            <w:pPr>
              <w:snapToGrid w:val="0"/>
              <w:spacing w:beforeLines="0" w:before="0" w:line="0" w:lineRule="atLeast"/>
              <w:ind w:firstLineChars="0" w:firstLine="0"/>
              <w:jc w:val="right"/>
              <w:rPr>
                <w:rFonts w:ascii="Times New Roman" w:hAnsi="Times New Roman" w:cs="Times New Roman"/>
                <w:b/>
                <w:bCs/>
                <w:color w:val="000000"/>
                <w:sz w:val="21"/>
                <w:szCs w:val="21"/>
              </w:rPr>
            </w:pPr>
            <w:r>
              <w:rPr>
                <w:rFonts w:ascii="Times New Roman" w:hAnsi="Times New Roman" w:cs="Times New Roman"/>
                <w:b/>
                <w:bCs/>
                <w:sz w:val="21"/>
                <w:szCs w:val="21"/>
              </w:rPr>
              <w:t>3,027,972</w:t>
            </w:r>
          </w:p>
        </w:tc>
        <w:tc>
          <w:tcPr>
            <w:tcW w:w="2243" w:type="dxa"/>
            <w:shd w:val="clear" w:color="auto" w:fill="auto"/>
            <w:vAlign w:val="center"/>
          </w:tcPr>
          <w:p w14:paraId="249F89EA" w14:textId="77777777" w:rsidR="00DE1B44" w:rsidRDefault="00D40582">
            <w:pPr>
              <w:snapToGrid w:val="0"/>
              <w:spacing w:beforeLines="0" w:before="0" w:line="0" w:lineRule="atLeast"/>
              <w:ind w:firstLineChars="0" w:firstLine="0"/>
              <w:jc w:val="right"/>
              <w:rPr>
                <w:rFonts w:ascii="Times New Roman" w:hAnsi="Times New Roman" w:cs="Times New Roman"/>
                <w:b/>
                <w:bCs/>
                <w:color w:val="000000"/>
                <w:sz w:val="21"/>
                <w:szCs w:val="21"/>
              </w:rPr>
            </w:pPr>
            <w:r>
              <w:rPr>
                <w:rFonts w:ascii="Times New Roman" w:hAnsi="Times New Roman" w:cs="Times New Roman"/>
                <w:b/>
                <w:bCs/>
                <w:sz w:val="21"/>
                <w:szCs w:val="21"/>
              </w:rPr>
              <w:t>2,632,798</w:t>
            </w:r>
          </w:p>
        </w:tc>
      </w:tr>
    </w:tbl>
    <w:p w14:paraId="588DCB71" w14:textId="77777777" w:rsidR="00DE1B44" w:rsidRDefault="00D40582">
      <w:pPr>
        <w:spacing w:beforeLines="0" w:before="0" w:line="240" w:lineRule="auto"/>
        <w:ind w:firstLineChars="0" w:firstLine="0"/>
        <w:jc w:val="left"/>
        <w:rPr>
          <w:rFonts w:ascii="Times New Roman" w:hAnsi="Times New Roman" w:cs="Times New Roman"/>
          <w:sz w:val="21"/>
          <w:szCs w:val="21"/>
        </w:rPr>
      </w:pPr>
      <w:r>
        <w:rPr>
          <w:rFonts w:ascii="Times New Roman" w:hAnsi="Times New Roman" w:cs="Times New Roman" w:hint="eastAsia"/>
          <w:sz w:val="21"/>
          <w:szCs w:val="21"/>
        </w:rPr>
        <w:t>注：其他资产包括待清算款项、长期待摊费用、抵债资产、应收利息等</w:t>
      </w:r>
    </w:p>
    <w:p w14:paraId="52C29EE4" w14:textId="77777777" w:rsidR="00DE1B44" w:rsidRDefault="00DE1B44">
      <w:pPr>
        <w:snapToGrid w:val="0"/>
        <w:spacing w:beforeLines="0" w:before="0" w:line="240" w:lineRule="auto"/>
        <w:ind w:firstLineChars="0" w:firstLine="0"/>
        <w:rPr>
          <w:rFonts w:ascii="Times New Roman" w:hAnsi="Times New Roman" w:cs="Times New Roman"/>
          <w:sz w:val="21"/>
          <w:szCs w:val="21"/>
        </w:rPr>
      </w:pPr>
    </w:p>
    <w:p w14:paraId="0F567FCD" w14:textId="77777777" w:rsidR="00DE1B44" w:rsidRDefault="00D40582">
      <w:pPr>
        <w:snapToGrid w:val="0"/>
        <w:spacing w:before="120"/>
        <w:ind w:firstLine="482"/>
        <w:rPr>
          <w:rFonts w:ascii="Times New Roman" w:hAnsi="Times New Roman" w:cs="Times New Roman"/>
          <w:b/>
          <w:bCs/>
        </w:rPr>
      </w:pPr>
      <w:r>
        <w:rPr>
          <w:rFonts w:ascii="Times New Roman" w:hAnsi="Times New Roman" w:cs="Times New Roman" w:hint="eastAsia"/>
          <w:b/>
          <w:bCs/>
        </w:rPr>
        <w:lastRenderedPageBreak/>
        <w:t>（</w:t>
      </w:r>
      <w:r>
        <w:rPr>
          <w:rFonts w:ascii="Times New Roman" w:hAnsi="Times New Roman" w:cs="Times New Roman" w:hint="eastAsia"/>
          <w:b/>
          <w:bCs/>
        </w:rPr>
        <w:t>1</w:t>
      </w:r>
      <w:r>
        <w:rPr>
          <w:rFonts w:ascii="Times New Roman" w:hAnsi="Times New Roman" w:cs="Times New Roman" w:hint="eastAsia"/>
          <w:b/>
          <w:bCs/>
        </w:rPr>
        <w:t>）</w:t>
      </w:r>
      <w:r>
        <w:rPr>
          <w:rFonts w:ascii="Times New Roman" w:hAnsi="Times New Roman" w:cs="Times New Roman"/>
          <w:b/>
          <w:bCs/>
        </w:rPr>
        <w:t>发放贷款及垫款</w:t>
      </w:r>
    </w:p>
    <w:p w14:paraId="04718F54"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报告期内，本行根据国内外宏观经济金融形势，结合国家宏观经济政策，在防范风险的前提下，加大服务实体经济的力度，保持信贷资源的稳步投放，贷款规模稳步增长。</w:t>
      </w:r>
    </w:p>
    <w:p w14:paraId="1394314E"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①发放贷款及</w:t>
      </w:r>
      <w:proofErr w:type="gramStart"/>
      <w:r>
        <w:rPr>
          <w:rFonts w:ascii="Times New Roman" w:hAnsi="Times New Roman" w:cs="Times New Roman" w:hint="eastAsia"/>
        </w:rPr>
        <w:t>垫款余额</w:t>
      </w:r>
      <w:proofErr w:type="gramEnd"/>
      <w:r>
        <w:rPr>
          <w:rFonts w:ascii="Times New Roman" w:hAnsi="Times New Roman" w:cs="Times New Roman" w:hint="eastAsia"/>
        </w:rPr>
        <w:t>情况</w:t>
      </w:r>
    </w:p>
    <w:p w14:paraId="3734421F"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，本行的公司贷款和个人贷款</w:t>
      </w:r>
      <w:r>
        <w:rPr>
          <w:rFonts w:ascii="Times New Roman" w:hAnsi="Times New Roman" w:cs="Times New Roman" w:hint="eastAsia"/>
        </w:rPr>
        <w:t>的组成如下：</w:t>
      </w:r>
    </w:p>
    <w:p w14:paraId="6AD96F5C" w14:textId="77777777" w:rsidR="00DE1B44" w:rsidRDefault="00D40582">
      <w:pPr>
        <w:snapToGrid w:val="0"/>
        <w:spacing w:before="120" w:line="240" w:lineRule="auto"/>
        <w:ind w:firstLine="420"/>
        <w:jc w:val="right"/>
        <w:rPr>
          <w:rFonts w:ascii="Times New Roman" w:hAnsi="Times New Roman" w:cs="Times New Roman"/>
          <w:sz w:val="21"/>
          <w:szCs w:val="21"/>
        </w:rPr>
      </w:pPr>
      <w:r>
        <w:rPr>
          <w:rFonts w:ascii="Times New Roman" w:hAnsi="Times New Roman" w:cs="Times New Roman"/>
          <w:sz w:val="21"/>
          <w:szCs w:val="21"/>
        </w:rPr>
        <w:t>单位：</w:t>
      </w:r>
      <w:r>
        <w:rPr>
          <w:rFonts w:ascii="Times New Roman" w:hAnsi="Times New Roman" w:cs="Times New Roman" w:hint="eastAsia"/>
          <w:sz w:val="21"/>
          <w:szCs w:val="21"/>
        </w:rPr>
        <w:t>百万</w:t>
      </w:r>
      <w:r>
        <w:rPr>
          <w:rFonts w:ascii="Times New Roman" w:hAnsi="Times New Roman" w:cs="Times New Roman"/>
          <w:sz w:val="21"/>
          <w:szCs w:val="21"/>
        </w:rPr>
        <w:t>元</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97"/>
        <w:gridCol w:w="1171"/>
        <w:gridCol w:w="1170"/>
        <w:gridCol w:w="1170"/>
        <w:gridCol w:w="1170"/>
        <w:gridCol w:w="1170"/>
        <w:gridCol w:w="1168"/>
      </w:tblGrid>
      <w:tr w:rsidR="00DE1B44" w14:paraId="235E303D" w14:textId="77777777">
        <w:trPr>
          <w:tblHeader/>
          <w:jc w:val="center"/>
        </w:trPr>
        <w:tc>
          <w:tcPr>
            <w:tcW w:w="1997" w:type="dxa"/>
            <w:vMerge w:val="restart"/>
            <w:shd w:val="clear" w:color="auto" w:fill="auto"/>
            <w:vAlign w:val="center"/>
          </w:tcPr>
          <w:p w14:paraId="3291FCEE" w14:textId="77777777" w:rsidR="00DE1B44" w:rsidRDefault="00D40582">
            <w:pPr>
              <w:spacing w:beforeLines="0" w:before="0"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项目</w:t>
            </w:r>
          </w:p>
        </w:tc>
        <w:tc>
          <w:tcPr>
            <w:tcW w:w="2341" w:type="dxa"/>
            <w:gridSpan w:val="2"/>
            <w:vAlign w:val="center"/>
          </w:tcPr>
          <w:p w14:paraId="25A10E81" w14:textId="77777777" w:rsidR="00DE1B44" w:rsidRDefault="00D40582">
            <w:pPr>
              <w:spacing w:beforeLines="0" w:before="0"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021</w:t>
            </w:r>
            <w:r>
              <w:rPr>
                <w:rFonts w:ascii="Times New Roman" w:hAnsi="Times New Roman" w:cs="Times New Roman" w:hint="eastAsia"/>
                <w:b/>
                <w:bCs/>
                <w:color w:val="000000"/>
                <w:sz w:val="21"/>
                <w:szCs w:val="21"/>
              </w:rPr>
              <w:t>年</w:t>
            </w:r>
            <w:r>
              <w:rPr>
                <w:rFonts w:ascii="Times New Roman" w:hAnsi="Times New Roman" w:cs="Times New Roman" w:hint="eastAsia"/>
                <w:b/>
                <w:bCs/>
                <w:color w:val="000000"/>
                <w:sz w:val="21"/>
                <w:szCs w:val="21"/>
              </w:rPr>
              <w:t>6</w:t>
            </w:r>
            <w:r>
              <w:rPr>
                <w:rFonts w:ascii="Times New Roman" w:hAnsi="Times New Roman" w:cs="Times New Roman" w:hint="eastAsia"/>
                <w:b/>
                <w:bCs/>
                <w:color w:val="000000"/>
                <w:sz w:val="21"/>
                <w:szCs w:val="21"/>
              </w:rPr>
              <w:t>月</w:t>
            </w:r>
            <w:r>
              <w:rPr>
                <w:rFonts w:ascii="Times New Roman" w:hAnsi="Times New Roman" w:cs="Times New Roman" w:hint="eastAsia"/>
                <w:b/>
                <w:bCs/>
                <w:color w:val="000000"/>
                <w:sz w:val="21"/>
                <w:szCs w:val="21"/>
              </w:rPr>
              <w:t>3</w:t>
            </w:r>
            <w:r>
              <w:rPr>
                <w:rFonts w:ascii="Times New Roman" w:hAnsi="Times New Roman" w:cs="Times New Roman"/>
                <w:b/>
                <w:bCs/>
                <w:color w:val="000000"/>
                <w:sz w:val="21"/>
                <w:szCs w:val="21"/>
              </w:rPr>
              <w:t>0</w:t>
            </w:r>
            <w:r>
              <w:rPr>
                <w:rFonts w:ascii="Times New Roman" w:hAnsi="Times New Roman" w:cs="Times New Roman" w:hint="eastAsia"/>
                <w:b/>
                <w:bCs/>
                <w:color w:val="000000"/>
                <w:sz w:val="21"/>
                <w:szCs w:val="21"/>
              </w:rPr>
              <w:t>日</w:t>
            </w:r>
          </w:p>
        </w:tc>
        <w:tc>
          <w:tcPr>
            <w:tcW w:w="2340" w:type="dxa"/>
            <w:gridSpan w:val="2"/>
            <w:shd w:val="clear" w:color="auto" w:fill="auto"/>
            <w:vAlign w:val="center"/>
          </w:tcPr>
          <w:p w14:paraId="2EB62EC0" w14:textId="77777777" w:rsidR="00DE1B44" w:rsidRDefault="00D40582">
            <w:pPr>
              <w:spacing w:beforeLines="0" w:before="0"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w:t>
            </w:r>
            <w:r>
              <w:rPr>
                <w:rFonts w:ascii="Times New Roman" w:hAnsi="Times New Roman" w:cs="Times New Roman"/>
                <w:b/>
                <w:bCs/>
                <w:color w:val="000000"/>
                <w:sz w:val="21"/>
                <w:szCs w:val="21"/>
              </w:rPr>
              <w:t>12</w:t>
            </w:r>
            <w:r>
              <w:rPr>
                <w:rFonts w:ascii="Times New Roman" w:hAnsi="Times New Roman" w:cs="Times New Roman"/>
                <w:b/>
                <w:bCs/>
                <w:color w:val="000000"/>
                <w:sz w:val="21"/>
                <w:szCs w:val="21"/>
              </w:rPr>
              <w:t>月</w:t>
            </w:r>
            <w:r>
              <w:rPr>
                <w:rFonts w:ascii="Times New Roman" w:hAnsi="Times New Roman" w:cs="Times New Roman"/>
                <w:b/>
                <w:bCs/>
                <w:color w:val="000000"/>
                <w:sz w:val="21"/>
                <w:szCs w:val="21"/>
              </w:rPr>
              <w:t>31</w:t>
            </w:r>
            <w:r>
              <w:rPr>
                <w:rFonts w:ascii="Times New Roman" w:hAnsi="Times New Roman" w:cs="Times New Roman"/>
                <w:b/>
                <w:bCs/>
                <w:color w:val="000000"/>
                <w:sz w:val="21"/>
                <w:szCs w:val="21"/>
              </w:rPr>
              <w:t>日</w:t>
            </w:r>
          </w:p>
        </w:tc>
        <w:tc>
          <w:tcPr>
            <w:tcW w:w="2338" w:type="dxa"/>
            <w:gridSpan w:val="2"/>
            <w:shd w:val="clear" w:color="auto" w:fill="auto"/>
            <w:vAlign w:val="center"/>
          </w:tcPr>
          <w:p w14:paraId="1E2C44F5" w14:textId="77777777" w:rsidR="00DE1B44" w:rsidRDefault="00D40582">
            <w:pPr>
              <w:spacing w:beforeLines="0" w:before="0"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b/>
                <w:bCs/>
                <w:color w:val="000000"/>
                <w:sz w:val="21"/>
                <w:szCs w:val="21"/>
              </w:rPr>
              <w:t>年</w:t>
            </w:r>
            <w:r>
              <w:rPr>
                <w:rFonts w:ascii="Times New Roman" w:hAnsi="Times New Roman" w:cs="Times New Roman"/>
                <w:b/>
                <w:bCs/>
                <w:color w:val="000000"/>
                <w:sz w:val="21"/>
                <w:szCs w:val="21"/>
              </w:rPr>
              <w:t>12</w:t>
            </w:r>
            <w:r>
              <w:rPr>
                <w:rFonts w:ascii="Times New Roman" w:hAnsi="Times New Roman" w:cs="Times New Roman"/>
                <w:b/>
                <w:bCs/>
                <w:color w:val="000000"/>
                <w:sz w:val="21"/>
                <w:szCs w:val="21"/>
              </w:rPr>
              <w:t>月</w:t>
            </w:r>
            <w:r>
              <w:rPr>
                <w:rFonts w:ascii="Times New Roman" w:hAnsi="Times New Roman" w:cs="Times New Roman"/>
                <w:b/>
                <w:bCs/>
                <w:color w:val="000000"/>
                <w:sz w:val="21"/>
                <w:szCs w:val="21"/>
              </w:rPr>
              <w:t>31</w:t>
            </w:r>
            <w:r>
              <w:rPr>
                <w:rFonts w:ascii="Times New Roman" w:hAnsi="Times New Roman" w:cs="Times New Roman"/>
                <w:b/>
                <w:bCs/>
                <w:color w:val="000000"/>
                <w:sz w:val="21"/>
                <w:szCs w:val="21"/>
              </w:rPr>
              <w:t>日</w:t>
            </w:r>
          </w:p>
        </w:tc>
      </w:tr>
      <w:tr w:rsidR="00DE1B44" w14:paraId="391C9C29" w14:textId="77777777">
        <w:trPr>
          <w:tblHeader/>
          <w:jc w:val="center"/>
        </w:trPr>
        <w:tc>
          <w:tcPr>
            <w:tcW w:w="1997" w:type="dxa"/>
            <w:vMerge/>
            <w:vAlign w:val="center"/>
          </w:tcPr>
          <w:p w14:paraId="6F6D67B4" w14:textId="77777777" w:rsidR="00DE1B44" w:rsidRDefault="00DE1B44">
            <w:pPr>
              <w:spacing w:beforeLines="0" w:before="0" w:line="240" w:lineRule="auto"/>
              <w:ind w:firstLineChars="0" w:firstLine="0"/>
              <w:jc w:val="left"/>
              <w:rPr>
                <w:rFonts w:ascii="Times New Roman" w:hAnsi="Times New Roman" w:cs="Times New Roman"/>
                <w:b/>
                <w:bCs/>
                <w:color w:val="000000"/>
                <w:sz w:val="21"/>
                <w:szCs w:val="21"/>
              </w:rPr>
            </w:pPr>
          </w:p>
        </w:tc>
        <w:tc>
          <w:tcPr>
            <w:tcW w:w="1171" w:type="dxa"/>
            <w:vAlign w:val="center"/>
          </w:tcPr>
          <w:p w14:paraId="53305289" w14:textId="77777777" w:rsidR="00DE1B44" w:rsidRDefault="00D40582">
            <w:pPr>
              <w:spacing w:beforeLines="0" w:before="0"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金额</w:t>
            </w:r>
          </w:p>
        </w:tc>
        <w:tc>
          <w:tcPr>
            <w:tcW w:w="1170" w:type="dxa"/>
            <w:vAlign w:val="center"/>
          </w:tcPr>
          <w:p w14:paraId="7FDB2C34" w14:textId="77777777" w:rsidR="00DE1B44" w:rsidRDefault="00D40582">
            <w:pPr>
              <w:spacing w:beforeLines="0" w:before="0"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占比</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p>
        </w:tc>
        <w:tc>
          <w:tcPr>
            <w:tcW w:w="1170" w:type="dxa"/>
            <w:shd w:val="clear" w:color="auto" w:fill="auto"/>
            <w:vAlign w:val="center"/>
          </w:tcPr>
          <w:p w14:paraId="163BD050" w14:textId="77777777" w:rsidR="00DE1B44" w:rsidRDefault="00D40582">
            <w:pPr>
              <w:spacing w:beforeLines="0" w:before="0"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金额</w:t>
            </w:r>
          </w:p>
        </w:tc>
        <w:tc>
          <w:tcPr>
            <w:tcW w:w="1170" w:type="dxa"/>
            <w:shd w:val="clear" w:color="auto" w:fill="auto"/>
            <w:vAlign w:val="center"/>
          </w:tcPr>
          <w:p w14:paraId="0FB345A3" w14:textId="77777777" w:rsidR="00DE1B44" w:rsidRDefault="00D40582">
            <w:pPr>
              <w:spacing w:beforeLines="0" w:before="0"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占比</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p>
        </w:tc>
        <w:tc>
          <w:tcPr>
            <w:tcW w:w="1170" w:type="dxa"/>
            <w:shd w:val="clear" w:color="auto" w:fill="auto"/>
            <w:vAlign w:val="center"/>
          </w:tcPr>
          <w:p w14:paraId="6B833702" w14:textId="77777777" w:rsidR="00DE1B44" w:rsidRDefault="00D40582">
            <w:pPr>
              <w:spacing w:beforeLines="0" w:before="0"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金额</w:t>
            </w:r>
          </w:p>
        </w:tc>
        <w:tc>
          <w:tcPr>
            <w:tcW w:w="1168" w:type="dxa"/>
            <w:shd w:val="clear" w:color="auto" w:fill="auto"/>
            <w:vAlign w:val="center"/>
          </w:tcPr>
          <w:p w14:paraId="23E23BCB" w14:textId="77777777" w:rsidR="00DE1B44" w:rsidRDefault="00D40582">
            <w:pPr>
              <w:spacing w:beforeLines="0" w:before="0"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占比</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p>
        </w:tc>
      </w:tr>
      <w:tr w:rsidR="00DE1B44" w14:paraId="7D532489" w14:textId="77777777">
        <w:trPr>
          <w:jc w:val="center"/>
        </w:trPr>
        <w:tc>
          <w:tcPr>
            <w:tcW w:w="1997" w:type="dxa"/>
            <w:shd w:val="clear" w:color="auto" w:fill="auto"/>
            <w:vAlign w:val="center"/>
          </w:tcPr>
          <w:p w14:paraId="199F9A54" w14:textId="77777777" w:rsidR="00DE1B44" w:rsidRDefault="00D40582">
            <w:pPr>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公司贷款</w:t>
            </w:r>
          </w:p>
        </w:tc>
        <w:tc>
          <w:tcPr>
            <w:tcW w:w="1171" w:type="dxa"/>
          </w:tcPr>
          <w:p w14:paraId="1AF03C4B"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900,821</w:t>
            </w:r>
          </w:p>
        </w:tc>
        <w:tc>
          <w:tcPr>
            <w:tcW w:w="1170" w:type="dxa"/>
          </w:tcPr>
          <w:p w14:paraId="0D45D06E"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45.76</w:t>
            </w:r>
          </w:p>
        </w:tc>
        <w:tc>
          <w:tcPr>
            <w:tcW w:w="1170" w:type="dxa"/>
            <w:shd w:val="clear" w:color="auto" w:fill="auto"/>
            <w:vAlign w:val="center"/>
          </w:tcPr>
          <w:p w14:paraId="4A59D4DE"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783,651</w:t>
            </w:r>
          </w:p>
        </w:tc>
        <w:tc>
          <w:tcPr>
            <w:tcW w:w="1170" w:type="dxa"/>
            <w:shd w:val="clear" w:color="auto" w:fill="auto"/>
            <w:vAlign w:val="center"/>
          </w:tcPr>
          <w:p w14:paraId="7348185F"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43.44</w:t>
            </w:r>
          </w:p>
        </w:tc>
        <w:tc>
          <w:tcPr>
            <w:tcW w:w="1170" w:type="dxa"/>
            <w:shd w:val="clear" w:color="auto" w:fill="auto"/>
            <w:vAlign w:val="center"/>
          </w:tcPr>
          <w:p w14:paraId="2FDBD88B"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637,165</w:t>
            </w:r>
          </w:p>
        </w:tc>
        <w:tc>
          <w:tcPr>
            <w:tcW w:w="1168" w:type="dxa"/>
            <w:shd w:val="clear" w:color="auto" w:fill="auto"/>
            <w:vAlign w:val="center"/>
          </w:tcPr>
          <w:p w14:paraId="200F12DB"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40.49</w:t>
            </w:r>
          </w:p>
        </w:tc>
      </w:tr>
      <w:tr w:rsidR="00DE1B44" w14:paraId="2701BDE3" w14:textId="77777777">
        <w:trPr>
          <w:jc w:val="center"/>
        </w:trPr>
        <w:tc>
          <w:tcPr>
            <w:tcW w:w="1997" w:type="dxa"/>
            <w:shd w:val="clear" w:color="auto" w:fill="auto"/>
            <w:vAlign w:val="center"/>
          </w:tcPr>
          <w:p w14:paraId="79AD98D2" w14:textId="77777777" w:rsidR="00DE1B44" w:rsidRDefault="00D40582">
            <w:pPr>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个人贷款</w:t>
            </w:r>
          </w:p>
        </w:tc>
        <w:tc>
          <w:tcPr>
            <w:tcW w:w="1171" w:type="dxa"/>
            <w:shd w:val="clear" w:color="auto" w:fill="auto"/>
            <w:vAlign w:val="center"/>
          </w:tcPr>
          <w:p w14:paraId="13CCB6A3"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849,043</w:t>
            </w:r>
          </w:p>
        </w:tc>
        <w:tc>
          <w:tcPr>
            <w:tcW w:w="1170" w:type="dxa"/>
            <w:shd w:val="clear" w:color="auto" w:fill="auto"/>
            <w:vAlign w:val="center"/>
          </w:tcPr>
          <w:p w14:paraId="2F8758EB"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43.13</w:t>
            </w:r>
          </w:p>
        </w:tc>
        <w:tc>
          <w:tcPr>
            <w:tcW w:w="1170" w:type="dxa"/>
            <w:shd w:val="clear" w:color="auto" w:fill="auto"/>
            <w:vAlign w:val="center"/>
          </w:tcPr>
          <w:p w14:paraId="766AF0B5"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815,064</w:t>
            </w:r>
          </w:p>
        </w:tc>
        <w:tc>
          <w:tcPr>
            <w:tcW w:w="1170" w:type="dxa"/>
            <w:shd w:val="clear" w:color="auto" w:fill="auto"/>
            <w:vAlign w:val="center"/>
          </w:tcPr>
          <w:p w14:paraId="7FA13893"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45.18</w:t>
            </w:r>
          </w:p>
        </w:tc>
        <w:tc>
          <w:tcPr>
            <w:tcW w:w="1170" w:type="dxa"/>
            <w:shd w:val="clear" w:color="auto" w:fill="auto"/>
            <w:vAlign w:val="center"/>
          </w:tcPr>
          <w:p w14:paraId="67046419"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796,834</w:t>
            </w:r>
          </w:p>
        </w:tc>
        <w:tc>
          <w:tcPr>
            <w:tcW w:w="1168" w:type="dxa"/>
            <w:shd w:val="clear" w:color="auto" w:fill="auto"/>
            <w:vAlign w:val="center"/>
          </w:tcPr>
          <w:p w14:paraId="2E81074C"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50.65</w:t>
            </w:r>
          </w:p>
        </w:tc>
      </w:tr>
      <w:tr w:rsidR="00DE1B44" w14:paraId="291B4B55" w14:textId="77777777">
        <w:trPr>
          <w:jc w:val="center"/>
        </w:trPr>
        <w:tc>
          <w:tcPr>
            <w:tcW w:w="1997" w:type="dxa"/>
            <w:shd w:val="clear" w:color="auto" w:fill="auto"/>
            <w:vAlign w:val="center"/>
          </w:tcPr>
          <w:p w14:paraId="08DE67B0" w14:textId="77777777" w:rsidR="00DE1B44" w:rsidRDefault="00D40582">
            <w:pPr>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color w:val="000000"/>
                <w:sz w:val="21"/>
                <w:szCs w:val="21"/>
              </w:rPr>
              <w:t>贴现</w:t>
            </w:r>
          </w:p>
        </w:tc>
        <w:tc>
          <w:tcPr>
            <w:tcW w:w="1171" w:type="dxa"/>
            <w:shd w:val="clear" w:color="auto" w:fill="auto"/>
            <w:vAlign w:val="center"/>
          </w:tcPr>
          <w:p w14:paraId="573C8395"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212,686</w:t>
            </w:r>
          </w:p>
        </w:tc>
        <w:tc>
          <w:tcPr>
            <w:tcW w:w="1170" w:type="dxa"/>
            <w:shd w:val="clear" w:color="auto" w:fill="auto"/>
            <w:vAlign w:val="center"/>
          </w:tcPr>
          <w:p w14:paraId="4790D142"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10.80</w:t>
            </w:r>
          </w:p>
        </w:tc>
        <w:tc>
          <w:tcPr>
            <w:tcW w:w="1170" w:type="dxa"/>
            <w:shd w:val="clear" w:color="auto" w:fill="auto"/>
            <w:vAlign w:val="center"/>
          </w:tcPr>
          <w:p w14:paraId="19B89A8F"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198,965</w:t>
            </w:r>
          </w:p>
        </w:tc>
        <w:tc>
          <w:tcPr>
            <w:tcW w:w="1170" w:type="dxa"/>
            <w:shd w:val="clear" w:color="auto" w:fill="auto"/>
            <w:vAlign w:val="center"/>
          </w:tcPr>
          <w:p w14:paraId="5A0E21A9"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11.03</w:t>
            </w:r>
          </w:p>
        </w:tc>
        <w:tc>
          <w:tcPr>
            <w:tcW w:w="1170" w:type="dxa"/>
            <w:shd w:val="clear" w:color="auto" w:fill="auto"/>
            <w:vAlign w:val="center"/>
          </w:tcPr>
          <w:p w14:paraId="6B2E35B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132,415</w:t>
            </w:r>
          </w:p>
        </w:tc>
        <w:tc>
          <w:tcPr>
            <w:tcW w:w="1168" w:type="dxa"/>
            <w:shd w:val="clear" w:color="auto" w:fill="auto"/>
            <w:vAlign w:val="center"/>
          </w:tcPr>
          <w:p w14:paraId="66CEDDAE"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8.42</w:t>
            </w:r>
          </w:p>
        </w:tc>
      </w:tr>
      <w:tr w:rsidR="00DE1B44" w14:paraId="7EE37CF6" w14:textId="77777777">
        <w:trPr>
          <w:jc w:val="center"/>
        </w:trPr>
        <w:tc>
          <w:tcPr>
            <w:tcW w:w="1997" w:type="dxa"/>
            <w:shd w:val="clear" w:color="auto" w:fill="auto"/>
            <w:vAlign w:val="center"/>
          </w:tcPr>
          <w:p w14:paraId="1725BDAB" w14:textId="77777777" w:rsidR="00DE1B44" w:rsidRDefault="00D40582">
            <w:pPr>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应计利息</w:t>
            </w:r>
          </w:p>
        </w:tc>
        <w:tc>
          <w:tcPr>
            <w:tcW w:w="1171" w:type="dxa"/>
            <w:shd w:val="clear" w:color="auto" w:fill="auto"/>
            <w:vAlign w:val="center"/>
          </w:tcPr>
          <w:p w14:paraId="1DEA0F08"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6,098</w:t>
            </w:r>
          </w:p>
        </w:tc>
        <w:tc>
          <w:tcPr>
            <w:tcW w:w="1170" w:type="dxa"/>
            <w:shd w:val="clear" w:color="auto" w:fill="auto"/>
            <w:vAlign w:val="center"/>
          </w:tcPr>
          <w:p w14:paraId="374F6B71"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0.31</w:t>
            </w:r>
          </w:p>
        </w:tc>
        <w:tc>
          <w:tcPr>
            <w:tcW w:w="1170" w:type="dxa"/>
            <w:shd w:val="clear" w:color="auto" w:fill="auto"/>
            <w:vAlign w:val="center"/>
          </w:tcPr>
          <w:p w14:paraId="7CD9971A"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6,301</w:t>
            </w:r>
          </w:p>
        </w:tc>
        <w:tc>
          <w:tcPr>
            <w:tcW w:w="1170" w:type="dxa"/>
            <w:shd w:val="clear" w:color="auto" w:fill="auto"/>
            <w:vAlign w:val="center"/>
          </w:tcPr>
          <w:p w14:paraId="4286C478"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0.35</w:t>
            </w:r>
          </w:p>
        </w:tc>
        <w:tc>
          <w:tcPr>
            <w:tcW w:w="1170" w:type="dxa"/>
            <w:shd w:val="clear" w:color="auto" w:fill="auto"/>
            <w:vAlign w:val="center"/>
          </w:tcPr>
          <w:p w14:paraId="472C0B88"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6,850</w:t>
            </w:r>
          </w:p>
        </w:tc>
        <w:tc>
          <w:tcPr>
            <w:tcW w:w="1168" w:type="dxa"/>
            <w:shd w:val="clear" w:color="auto" w:fill="auto"/>
            <w:vAlign w:val="center"/>
          </w:tcPr>
          <w:p w14:paraId="7FC3355F"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0.44</w:t>
            </w:r>
          </w:p>
        </w:tc>
      </w:tr>
      <w:tr w:rsidR="00DE1B44" w14:paraId="2C5BA9D6" w14:textId="77777777">
        <w:trPr>
          <w:jc w:val="center"/>
        </w:trPr>
        <w:tc>
          <w:tcPr>
            <w:tcW w:w="1997" w:type="dxa"/>
            <w:shd w:val="clear" w:color="auto" w:fill="auto"/>
            <w:vAlign w:val="center"/>
          </w:tcPr>
          <w:p w14:paraId="783DE884" w14:textId="77777777" w:rsidR="00DE1B44" w:rsidRDefault="00D40582">
            <w:pPr>
              <w:spacing w:beforeLines="0" w:before="0" w:line="240" w:lineRule="auto"/>
              <w:ind w:firstLineChars="0" w:firstLine="0"/>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171" w:type="dxa"/>
            <w:shd w:val="clear" w:color="auto" w:fill="auto"/>
            <w:vAlign w:val="center"/>
          </w:tcPr>
          <w:p w14:paraId="7A0E1998" w14:textId="77777777" w:rsidR="00DE1B44" w:rsidRDefault="00D40582">
            <w:pPr>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1,968,647</w:t>
            </w:r>
          </w:p>
        </w:tc>
        <w:tc>
          <w:tcPr>
            <w:tcW w:w="1170" w:type="dxa"/>
            <w:shd w:val="clear" w:color="auto" w:fill="auto"/>
            <w:vAlign w:val="center"/>
          </w:tcPr>
          <w:p w14:paraId="09F8CFFD" w14:textId="77777777" w:rsidR="00DE1B44" w:rsidRDefault="00D40582">
            <w:pPr>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100.00</w:t>
            </w:r>
          </w:p>
        </w:tc>
        <w:tc>
          <w:tcPr>
            <w:tcW w:w="1170" w:type="dxa"/>
            <w:shd w:val="clear" w:color="auto" w:fill="auto"/>
            <w:vAlign w:val="center"/>
          </w:tcPr>
          <w:p w14:paraId="294FC273"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sz w:val="21"/>
                <w:szCs w:val="21"/>
              </w:rPr>
              <w:t>1,803,981</w:t>
            </w:r>
          </w:p>
        </w:tc>
        <w:tc>
          <w:tcPr>
            <w:tcW w:w="1170" w:type="dxa"/>
            <w:shd w:val="clear" w:color="auto" w:fill="auto"/>
            <w:vAlign w:val="center"/>
          </w:tcPr>
          <w:p w14:paraId="73E38FB0"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c>
          <w:tcPr>
            <w:tcW w:w="1170" w:type="dxa"/>
            <w:shd w:val="clear" w:color="auto" w:fill="auto"/>
            <w:vAlign w:val="center"/>
          </w:tcPr>
          <w:p w14:paraId="7C0C51F0"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sz w:val="21"/>
                <w:szCs w:val="21"/>
              </w:rPr>
              <w:t>1,573,263</w:t>
            </w:r>
          </w:p>
        </w:tc>
        <w:tc>
          <w:tcPr>
            <w:tcW w:w="1168" w:type="dxa"/>
            <w:shd w:val="clear" w:color="auto" w:fill="auto"/>
            <w:vAlign w:val="center"/>
          </w:tcPr>
          <w:p w14:paraId="7FB05FE4"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r>
    </w:tbl>
    <w:p w14:paraId="538F41E5"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，本行的公司贷款总额占比分</w:t>
      </w:r>
      <w:r>
        <w:rPr>
          <w:rFonts w:ascii="Times New Roman" w:hAnsi="Times New Roman" w:cs="Times New Roman" w:hint="eastAsia"/>
        </w:rPr>
        <w:t>别为</w:t>
      </w:r>
      <w:r>
        <w:rPr>
          <w:rFonts w:ascii="Times New Roman" w:hAnsi="Times New Roman" w:cs="Times New Roman"/>
        </w:rPr>
        <w:t>40.49%</w:t>
      </w:r>
      <w:r>
        <w:rPr>
          <w:rFonts w:ascii="Times New Roman" w:hAnsi="Times New Roman" w:cs="Times New Roman" w:hint="eastAsia"/>
        </w:rPr>
        <w:t>、</w:t>
      </w:r>
      <w:r>
        <w:rPr>
          <w:rFonts w:ascii="Times New Roman" w:hAnsi="Times New Roman" w:cs="Times New Roman"/>
        </w:rPr>
        <w:t>43.44%</w:t>
      </w:r>
      <w:r>
        <w:rPr>
          <w:rFonts w:ascii="Times New Roman" w:hAnsi="Times New Roman" w:cs="Times New Roman" w:hint="eastAsia"/>
        </w:rPr>
        <w:t>和</w:t>
      </w:r>
      <w:r>
        <w:rPr>
          <w:rFonts w:ascii="Times New Roman" w:hAnsi="Times New Roman" w:cs="Times New Roman" w:hint="eastAsia"/>
        </w:rPr>
        <w:t>4</w:t>
      </w:r>
      <w:r>
        <w:rPr>
          <w:rFonts w:ascii="Times New Roman" w:hAnsi="Times New Roman" w:cs="Times New Roman"/>
        </w:rPr>
        <w:t>5.76%</w:t>
      </w:r>
      <w:r>
        <w:rPr>
          <w:rFonts w:ascii="Times New Roman" w:hAnsi="Times New Roman" w:cs="Times New Roman"/>
        </w:rPr>
        <w:t>。公司贷款主要包括</w:t>
      </w:r>
      <w:r>
        <w:rPr>
          <w:rFonts w:ascii="Times New Roman" w:hAnsi="Times New Roman" w:cs="Times New Roman" w:hint="eastAsia"/>
        </w:rPr>
        <w:t>流动资金贷款</w:t>
      </w:r>
      <w:r>
        <w:rPr>
          <w:rFonts w:ascii="Times New Roman" w:hAnsi="Times New Roman" w:cs="Times New Roman"/>
        </w:rPr>
        <w:t>、</w:t>
      </w:r>
      <w:r>
        <w:rPr>
          <w:rFonts w:ascii="Times New Roman" w:hAnsi="Times New Roman" w:cs="Times New Roman" w:hint="eastAsia"/>
        </w:rPr>
        <w:t>固定资产贷款</w:t>
      </w:r>
      <w:r>
        <w:rPr>
          <w:rFonts w:ascii="Times New Roman" w:hAnsi="Times New Roman" w:cs="Times New Roman"/>
        </w:rPr>
        <w:t>和</w:t>
      </w:r>
      <w:r>
        <w:rPr>
          <w:rFonts w:ascii="Times New Roman" w:hAnsi="Times New Roman" w:cs="Times New Roman" w:hint="eastAsia"/>
        </w:rPr>
        <w:t>贸易融资。</w:t>
      </w:r>
    </w:p>
    <w:p w14:paraId="39DFCF26"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，本行的个人贷款总额占比分</w:t>
      </w:r>
      <w:r>
        <w:rPr>
          <w:rFonts w:ascii="Times New Roman" w:hAnsi="Times New Roman" w:cs="Times New Roman" w:hint="eastAsia"/>
        </w:rPr>
        <w:t>别为</w:t>
      </w:r>
      <w:r>
        <w:rPr>
          <w:rFonts w:ascii="Times New Roman" w:hAnsi="Times New Roman" w:cs="Times New Roman"/>
        </w:rPr>
        <w:t>50.65%</w:t>
      </w:r>
      <w:r>
        <w:rPr>
          <w:rFonts w:ascii="Times New Roman" w:hAnsi="Times New Roman" w:cs="Times New Roman" w:hint="eastAsia"/>
        </w:rPr>
        <w:t>、</w:t>
      </w:r>
      <w:r>
        <w:rPr>
          <w:rFonts w:ascii="Times New Roman" w:hAnsi="Times New Roman" w:cs="Times New Roman"/>
        </w:rPr>
        <w:t>45.18%</w:t>
      </w:r>
      <w:r>
        <w:rPr>
          <w:rFonts w:ascii="Times New Roman" w:hAnsi="Times New Roman" w:cs="Times New Roman" w:hint="eastAsia"/>
        </w:rPr>
        <w:t>和</w:t>
      </w:r>
      <w:r>
        <w:rPr>
          <w:rFonts w:ascii="Times New Roman" w:hAnsi="Times New Roman" w:cs="Times New Roman" w:hint="eastAsia"/>
        </w:rPr>
        <w:t>4</w:t>
      </w:r>
      <w:r>
        <w:rPr>
          <w:rFonts w:ascii="Times New Roman" w:hAnsi="Times New Roman" w:cs="Times New Roman"/>
        </w:rPr>
        <w:t>3.13%</w:t>
      </w:r>
      <w:r>
        <w:rPr>
          <w:rFonts w:ascii="Times New Roman" w:hAnsi="Times New Roman" w:cs="Times New Roman"/>
        </w:rPr>
        <w:t>。</w:t>
      </w:r>
      <w:r>
        <w:rPr>
          <w:rFonts w:ascii="Times New Roman" w:hAnsi="Times New Roman" w:cs="Times New Roman" w:hint="eastAsia"/>
        </w:rPr>
        <w:t>信用卡应收款项和个人住房贷款</w:t>
      </w:r>
      <w:r>
        <w:rPr>
          <w:rFonts w:ascii="Times New Roman" w:hAnsi="Times New Roman" w:cs="Times New Roman"/>
        </w:rPr>
        <w:t>是本行个人贷款和垫</w:t>
      </w:r>
      <w:r>
        <w:rPr>
          <w:rFonts w:ascii="Times New Roman" w:hAnsi="Times New Roman" w:cs="Times New Roman" w:hint="eastAsia"/>
        </w:rPr>
        <w:t>款的主要组成部分。</w:t>
      </w:r>
    </w:p>
    <w:p w14:paraId="5A1AC04A"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报告期内，公司贷款和</w:t>
      </w:r>
      <w:proofErr w:type="gramStart"/>
      <w:r>
        <w:rPr>
          <w:rFonts w:ascii="Times New Roman" w:hAnsi="Times New Roman" w:cs="Times New Roman" w:hint="eastAsia"/>
        </w:rPr>
        <w:t>垫款占</w:t>
      </w:r>
      <w:proofErr w:type="gramEnd"/>
      <w:r>
        <w:rPr>
          <w:rFonts w:ascii="Times New Roman" w:hAnsi="Times New Roman" w:cs="Times New Roman" w:hint="eastAsia"/>
        </w:rPr>
        <w:t>比保持稳定。本行公司贷款和</w:t>
      </w:r>
      <w:proofErr w:type="gramStart"/>
      <w:r>
        <w:rPr>
          <w:rFonts w:ascii="Times New Roman" w:hAnsi="Times New Roman" w:cs="Times New Roman" w:hint="eastAsia"/>
        </w:rPr>
        <w:t>垫款余额</w:t>
      </w:r>
      <w:proofErr w:type="gramEnd"/>
      <w:r>
        <w:rPr>
          <w:rFonts w:ascii="Times New Roman" w:hAnsi="Times New Roman" w:cs="Times New Roman" w:hint="eastAsia"/>
        </w:rPr>
        <w:t>的增长原因是本行顺应地区经济发展需要，加大服务实体经济的力度，从而实现了公司贷款规模的</w:t>
      </w:r>
      <w:r>
        <w:rPr>
          <w:rFonts w:ascii="Times New Roman" w:hAnsi="Times New Roman" w:cs="Times New Roman"/>
        </w:rPr>
        <w:t>稳步增长。</w:t>
      </w:r>
      <w:r>
        <w:rPr>
          <w:rFonts w:ascii="Times New Roman" w:hAnsi="Times New Roman" w:cs="Times New Roman" w:hint="eastAsia"/>
        </w:rPr>
        <w:t>报告期内，本行个人贷款和</w:t>
      </w:r>
      <w:proofErr w:type="gramStart"/>
      <w:r>
        <w:rPr>
          <w:rFonts w:ascii="Times New Roman" w:hAnsi="Times New Roman" w:cs="Times New Roman" w:hint="eastAsia"/>
        </w:rPr>
        <w:t>垫款余额</w:t>
      </w:r>
      <w:proofErr w:type="gramEnd"/>
      <w:r>
        <w:rPr>
          <w:rFonts w:ascii="Times New Roman" w:hAnsi="Times New Roman" w:cs="Times New Roman" w:hint="eastAsia"/>
        </w:rPr>
        <w:t>增长的原因为本行优化贷款结构，加大按揭贷款和抵押</w:t>
      </w:r>
      <w:proofErr w:type="gramStart"/>
      <w:r>
        <w:rPr>
          <w:rFonts w:ascii="Times New Roman" w:hAnsi="Times New Roman" w:cs="Times New Roman" w:hint="eastAsia"/>
        </w:rPr>
        <w:t>易经营</w:t>
      </w:r>
      <w:proofErr w:type="gramEnd"/>
      <w:r>
        <w:rPr>
          <w:rFonts w:ascii="Times New Roman" w:hAnsi="Times New Roman" w:cs="Times New Roman" w:hint="eastAsia"/>
        </w:rPr>
        <w:t>贷款等</w:t>
      </w:r>
      <w:proofErr w:type="gramStart"/>
      <w:r>
        <w:rPr>
          <w:rFonts w:ascii="Times New Roman" w:hAnsi="Times New Roman" w:cs="Times New Roman" w:hint="eastAsia"/>
        </w:rPr>
        <w:t>优质贷款</w:t>
      </w:r>
      <w:proofErr w:type="gramEnd"/>
      <w:r>
        <w:rPr>
          <w:rFonts w:ascii="Times New Roman" w:hAnsi="Times New Roman" w:cs="Times New Roman" w:hint="eastAsia"/>
        </w:rPr>
        <w:t>的投放。</w:t>
      </w:r>
    </w:p>
    <w:p w14:paraId="4F4FCEC4"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2 \* GB3</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hint="eastAsia"/>
        </w:rPr>
        <w:t>②</w:t>
      </w:r>
      <w:r>
        <w:rPr>
          <w:rFonts w:ascii="Times New Roman" w:hAnsi="Times New Roman" w:cs="Times New Roman"/>
        </w:rPr>
        <w:fldChar w:fldCharType="end"/>
      </w:r>
      <w:r>
        <w:rPr>
          <w:rFonts w:ascii="Times New Roman" w:hAnsi="Times New Roman" w:cs="Times New Roman" w:hint="eastAsia"/>
        </w:rPr>
        <w:t>资产质量</w:t>
      </w:r>
    </w:p>
    <w:p w14:paraId="43BC2705"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日和</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w:t>
      </w:r>
      <w:r>
        <w:rPr>
          <w:rFonts w:ascii="Times New Roman" w:hAnsi="Times New Roman" w:cs="Times New Roman" w:hint="eastAsia"/>
        </w:rPr>
        <w:t>，本行不良贷款余额分别为</w:t>
      </w:r>
      <w:r>
        <w:rPr>
          <w:rFonts w:ascii="Times New Roman" w:hAnsi="Times New Roman" w:cs="Times New Roman" w:hint="eastAsia"/>
        </w:rPr>
        <w:t>243.0</w:t>
      </w:r>
      <w:r>
        <w:rPr>
          <w:rFonts w:ascii="Times New Roman" w:hAnsi="Times New Roman" w:cs="Times New Roman"/>
        </w:rPr>
        <w:t>1</w:t>
      </w:r>
      <w:r>
        <w:rPr>
          <w:rFonts w:ascii="Times New Roman" w:hAnsi="Times New Roman" w:cs="Times New Roman" w:hint="eastAsia"/>
        </w:rPr>
        <w:t>亿元、和</w:t>
      </w:r>
      <w:r>
        <w:rPr>
          <w:rFonts w:ascii="Times New Roman" w:hAnsi="Times New Roman" w:cs="Times New Roman" w:hint="eastAsia"/>
        </w:rPr>
        <w:t>278.2</w:t>
      </w:r>
      <w:r>
        <w:rPr>
          <w:rFonts w:ascii="Times New Roman" w:hAnsi="Times New Roman" w:cs="Times New Roman"/>
        </w:rPr>
        <w:t>3</w:t>
      </w:r>
      <w:r>
        <w:rPr>
          <w:rFonts w:ascii="Times New Roman" w:hAnsi="Times New Roman" w:cs="Times New Roman" w:hint="eastAsia"/>
        </w:rPr>
        <w:t>亿元和</w:t>
      </w:r>
      <w:r>
        <w:rPr>
          <w:rFonts w:ascii="Times New Roman" w:hAnsi="Times New Roman" w:cs="Times New Roman"/>
        </w:rPr>
        <w:t>246.39</w:t>
      </w:r>
      <w:r>
        <w:rPr>
          <w:rFonts w:ascii="Times New Roman" w:hAnsi="Times New Roman" w:cs="Times New Roman"/>
        </w:rPr>
        <w:t>亿元</w:t>
      </w:r>
      <w:r>
        <w:rPr>
          <w:rFonts w:ascii="Times New Roman" w:hAnsi="Times New Roman" w:cs="Times New Roman" w:hint="eastAsia"/>
        </w:rPr>
        <w:t>；</w:t>
      </w:r>
      <w:r>
        <w:rPr>
          <w:rFonts w:ascii="Times New Roman" w:hAnsi="Times New Roman" w:cs="Times New Roman"/>
        </w:rPr>
        <w:t>不良贷款率</w:t>
      </w:r>
      <w:r>
        <w:rPr>
          <w:rFonts w:ascii="Times New Roman" w:hAnsi="Times New Roman" w:cs="Times New Roman" w:hint="eastAsia"/>
        </w:rPr>
        <w:t>分别为</w:t>
      </w:r>
      <w:r>
        <w:rPr>
          <w:rFonts w:ascii="Times New Roman" w:hAnsi="Times New Roman" w:cs="Times New Roman" w:hint="eastAsia"/>
        </w:rPr>
        <w:t>1.55%</w:t>
      </w:r>
      <w:r>
        <w:rPr>
          <w:rFonts w:ascii="Times New Roman" w:hAnsi="Times New Roman" w:cs="Times New Roman" w:hint="eastAsia"/>
        </w:rPr>
        <w:t>、</w:t>
      </w:r>
      <w:r>
        <w:rPr>
          <w:rFonts w:ascii="Times New Roman" w:hAnsi="Times New Roman" w:cs="Times New Roman" w:hint="eastAsia"/>
        </w:rPr>
        <w:t>1.55%</w:t>
      </w:r>
      <w:r>
        <w:rPr>
          <w:rFonts w:ascii="Times New Roman" w:hAnsi="Times New Roman" w:cs="Times New Roman" w:hint="eastAsia"/>
        </w:rPr>
        <w:t>和</w:t>
      </w:r>
      <w:r>
        <w:rPr>
          <w:rFonts w:ascii="Times New Roman" w:hAnsi="Times New Roman" w:cs="Times New Roman" w:hint="eastAsia"/>
        </w:rPr>
        <w:t>1</w:t>
      </w:r>
      <w:r>
        <w:rPr>
          <w:rFonts w:ascii="Times New Roman" w:hAnsi="Times New Roman" w:cs="Times New Roman"/>
        </w:rPr>
        <w:t>.25%</w:t>
      </w:r>
      <w:r>
        <w:rPr>
          <w:rFonts w:ascii="Times New Roman" w:hAnsi="Times New Roman" w:cs="Times New Roman" w:hint="eastAsia"/>
        </w:rPr>
        <w:t>；</w:t>
      </w:r>
      <w:r>
        <w:rPr>
          <w:rFonts w:ascii="Times New Roman" w:hAnsi="Times New Roman" w:cs="Times New Roman"/>
        </w:rPr>
        <w:t>拨备覆盖率</w:t>
      </w:r>
      <w:r>
        <w:rPr>
          <w:rFonts w:ascii="Times New Roman" w:hAnsi="Times New Roman" w:cs="Times New Roman" w:hint="eastAsia"/>
        </w:rPr>
        <w:t>分别为</w:t>
      </w:r>
      <w:r>
        <w:rPr>
          <w:rFonts w:ascii="Times New Roman" w:hAnsi="Times New Roman" w:cs="Times New Roman" w:hint="eastAsia"/>
        </w:rPr>
        <w:t>173.4</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hint="eastAsia"/>
        </w:rPr>
        <w:t>、</w:t>
      </w:r>
      <w:r>
        <w:rPr>
          <w:rFonts w:ascii="Times New Roman" w:hAnsi="Times New Roman" w:cs="Times New Roman" w:hint="eastAsia"/>
        </w:rPr>
        <w:t>178.3</w:t>
      </w: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hint="eastAsia"/>
        </w:rPr>
        <w:t>和</w:t>
      </w:r>
      <w:r>
        <w:rPr>
          <w:rFonts w:ascii="Times New Roman" w:hAnsi="Times New Roman" w:cs="Times New Roman"/>
        </w:rPr>
        <w:t>207.38%</w:t>
      </w:r>
      <w:r>
        <w:rPr>
          <w:rFonts w:ascii="Times New Roman" w:hAnsi="Times New Roman" w:cs="Times New Roman" w:hint="eastAsia"/>
        </w:rPr>
        <w:t>。</w:t>
      </w:r>
    </w:p>
    <w:p w14:paraId="2431C149" w14:textId="77777777" w:rsidR="00DE1B44" w:rsidRDefault="00D40582">
      <w:pPr>
        <w:spacing w:before="120"/>
        <w:ind w:firstLine="480"/>
        <w:rPr>
          <w:rFonts w:ascii="Times New Roman" w:hAnsi="Times New Roman" w:cs="Times New Roman"/>
        </w:rPr>
      </w:pPr>
      <w:r>
        <w:rPr>
          <w:rFonts w:ascii="Times New Roman" w:hAnsi="Times New Roman" w:cs="Times New Roman"/>
        </w:rPr>
        <w:lastRenderedPageBreak/>
        <w:t>报告期内，</w:t>
      </w:r>
      <w:r>
        <w:rPr>
          <w:rFonts w:ascii="Times New Roman" w:hAnsi="Times New Roman" w:cs="Times New Roman" w:hint="eastAsia"/>
        </w:rPr>
        <w:t>本行遵循依法合</w:t>
      </w:r>
      <w:proofErr w:type="gramStart"/>
      <w:r>
        <w:rPr>
          <w:rFonts w:ascii="Times New Roman" w:hAnsi="Times New Roman" w:cs="Times New Roman" w:hint="eastAsia"/>
        </w:rPr>
        <w:t>规</w:t>
      </w:r>
      <w:proofErr w:type="gramEnd"/>
      <w:r>
        <w:rPr>
          <w:rFonts w:ascii="Times New Roman" w:hAnsi="Times New Roman" w:cs="Times New Roman" w:hint="eastAsia"/>
        </w:rPr>
        <w:t>、公开透明和风险了断原则，运用常规清收、批量转让、呆账核销等多种手段，加快不良资产清收处置。一是加大诉讼、抵押物处置等常规手段清收力度，贯彻清收就是创利的经营理念，持续强化现金清收。二是灵活把握市场时机，开展不良资产批量转让，挖掘财产价值，加大营销力度，提高不良资产批量转让回收率。三是合理运用呆账核销手段，按照“应核尽核”的原则加快不良贷款核销，同时按照“帐销案存”原则，持续加大核销后不良资产的清收力度。四是响应国家号召，履行社会责任，对受疫情影响贷款进行重组，缓解企业资金链压力，支持企业脱困</w:t>
      </w:r>
      <w:r>
        <w:rPr>
          <w:rFonts w:ascii="Times New Roman" w:hAnsi="Times New Roman" w:cs="Times New Roman"/>
        </w:rPr>
        <w:t>。</w:t>
      </w:r>
    </w:p>
    <w:p w14:paraId="23D0D886" w14:textId="77777777" w:rsidR="00DE1B44" w:rsidRDefault="00D40582">
      <w:pPr>
        <w:spacing w:before="120"/>
        <w:ind w:firstLine="480"/>
        <w:rPr>
          <w:rFonts w:ascii="Times New Roman" w:hAnsi="Times New Roman" w:cs="Times New Roman"/>
        </w:rPr>
      </w:pPr>
      <w:r>
        <w:rPr>
          <w:rFonts w:ascii="Times New Roman" w:hAnsi="Times New Roman" w:cs="Times New Roman"/>
        </w:rPr>
        <w:t>报告期内，本行贷款减值准备具体的变动情况如下。</w:t>
      </w:r>
    </w:p>
    <w:p w14:paraId="1E0F5FB4"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3089"/>
        <w:gridCol w:w="1976"/>
        <w:gridCol w:w="1976"/>
        <w:gridCol w:w="1975"/>
      </w:tblGrid>
      <w:tr w:rsidR="00DE1B44" w14:paraId="37F3C1A6" w14:textId="77777777">
        <w:trPr>
          <w:trHeight w:val="340"/>
          <w:tblHeader/>
          <w:jc w:val="center"/>
        </w:trPr>
        <w:tc>
          <w:tcPr>
            <w:tcW w:w="3089" w:type="dxa"/>
            <w:vAlign w:val="center"/>
          </w:tcPr>
          <w:p w14:paraId="4ED739C2" w14:textId="77777777" w:rsidR="00DE1B44" w:rsidRDefault="00D40582">
            <w:pPr>
              <w:suppressAutoHyphens/>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项目</w:t>
            </w:r>
          </w:p>
        </w:tc>
        <w:tc>
          <w:tcPr>
            <w:tcW w:w="1976" w:type="dxa"/>
            <w:vAlign w:val="center"/>
          </w:tcPr>
          <w:p w14:paraId="31CF9840" w14:textId="77777777" w:rsidR="00DE1B44" w:rsidRDefault="00D40582">
            <w:pPr>
              <w:suppressAutoHyphens/>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2</w:t>
            </w:r>
            <w:r>
              <w:rPr>
                <w:rFonts w:ascii="Times New Roman" w:hAnsi="Times New Roman" w:cs="Times New Roman"/>
                <w:b/>
                <w:bCs/>
                <w:sz w:val="21"/>
                <w:szCs w:val="21"/>
              </w:rPr>
              <w:t>021</w:t>
            </w:r>
            <w:r>
              <w:rPr>
                <w:rFonts w:ascii="Times New Roman" w:hAnsi="Times New Roman" w:cs="Times New Roman" w:hint="eastAsia"/>
                <w:b/>
                <w:bCs/>
                <w:sz w:val="21"/>
                <w:szCs w:val="21"/>
              </w:rPr>
              <w:t>年</w:t>
            </w:r>
            <w:r>
              <w:rPr>
                <w:rFonts w:ascii="Times New Roman" w:hAnsi="Times New Roman" w:cs="Times New Roman" w:hint="eastAsia"/>
                <w:b/>
                <w:bCs/>
                <w:sz w:val="21"/>
                <w:szCs w:val="21"/>
              </w:rPr>
              <w:t>6</w:t>
            </w:r>
            <w:r>
              <w:rPr>
                <w:rFonts w:ascii="Times New Roman" w:hAnsi="Times New Roman" w:cs="Times New Roman" w:hint="eastAsia"/>
                <w:b/>
                <w:bCs/>
                <w:sz w:val="21"/>
                <w:szCs w:val="21"/>
              </w:rPr>
              <w:t>月</w:t>
            </w:r>
            <w:r>
              <w:rPr>
                <w:rFonts w:ascii="Times New Roman" w:hAnsi="Times New Roman" w:cs="Times New Roman" w:hint="eastAsia"/>
                <w:b/>
                <w:bCs/>
                <w:sz w:val="21"/>
                <w:szCs w:val="21"/>
              </w:rPr>
              <w:t>3</w:t>
            </w:r>
            <w:r>
              <w:rPr>
                <w:rFonts w:ascii="Times New Roman" w:hAnsi="Times New Roman" w:cs="Times New Roman"/>
                <w:b/>
                <w:bCs/>
                <w:sz w:val="21"/>
                <w:szCs w:val="21"/>
              </w:rPr>
              <w:t>0</w:t>
            </w:r>
            <w:r>
              <w:rPr>
                <w:rFonts w:ascii="Times New Roman" w:hAnsi="Times New Roman" w:cs="Times New Roman" w:hint="eastAsia"/>
                <w:b/>
                <w:bCs/>
                <w:sz w:val="21"/>
                <w:szCs w:val="21"/>
              </w:rPr>
              <w:t>日</w:t>
            </w:r>
            <w:r>
              <w:rPr>
                <w:rFonts w:ascii="Times New Roman" w:hAnsi="Times New Roman" w:cs="Times New Roman" w:hint="eastAsia"/>
                <w:b/>
                <w:bCs/>
                <w:sz w:val="21"/>
                <w:szCs w:val="21"/>
              </w:rPr>
              <w:t>/</w:t>
            </w:r>
            <w:r>
              <w:rPr>
                <w:rFonts w:ascii="Times New Roman" w:hAnsi="Times New Roman" w:cs="Times New Roman"/>
                <w:b/>
                <w:bCs/>
                <w:sz w:val="21"/>
                <w:szCs w:val="21"/>
              </w:rPr>
              <w:t>2021</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w:t>
            </w:r>
            <w:r>
              <w:rPr>
                <w:rFonts w:ascii="Times New Roman" w:hAnsi="Times New Roman" w:cs="Times New Roman"/>
                <w:b/>
                <w:bCs/>
                <w:sz w:val="21"/>
                <w:szCs w:val="21"/>
              </w:rPr>
              <w:t>-6</w:t>
            </w:r>
            <w:r>
              <w:rPr>
                <w:rFonts w:ascii="Times New Roman" w:hAnsi="Times New Roman" w:cs="Times New Roman" w:hint="eastAsia"/>
                <w:b/>
                <w:bCs/>
                <w:sz w:val="21"/>
                <w:szCs w:val="21"/>
              </w:rPr>
              <w:t>月</w:t>
            </w:r>
          </w:p>
        </w:tc>
        <w:tc>
          <w:tcPr>
            <w:tcW w:w="1976" w:type="dxa"/>
            <w:vAlign w:val="center"/>
          </w:tcPr>
          <w:p w14:paraId="0410A1C0" w14:textId="77777777" w:rsidR="00DE1B44" w:rsidRDefault="00D40582">
            <w:pPr>
              <w:suppressAutoHyphens/>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2020</w:t>
            </w:r>
            <w:r>
              <w:rPr>
                <w:rFonts w:ascii="Times New Roman" w:hAnsi="Times New Roman" w:cs="Times New Roman"/>
                <w:b/>
                <w:bCs/>
                <w:sz w:val="21"/>
                <w:szCs w:val="21"/>
              </w:rPr>
              <w:t>年</w:t>
            </w:r>
            <w:r>
              <w:rPr>
                <w:rFonts w:ascii="Times New Roman" w:hAnsi="Times New Roman" w:cs="Times New Roman"/>
                <w:b/>
                <w:bCs/>
                <w:sz w:val="21"/>
                <w:szCs w:val="21"/>
              </w:rPr>
              <w:t>12</w:t>
            </w:r>
            <w:r>
              <w:rPr>
                <w:rFonts w:ascii="Times New Roman" w:hAnsi="Times New Roman" w:cs="Times New Roman"/>
                <w:b/>
                <w:bCs/>
                <w:sz w:val="21"/>
                <w:szCs w:val="21"/>
              </w:rPr>
              <w:t>月</w:t>
            </w:r>
            <w:r>
              <w:rPr>
                <w:rFonts w:ascii="Times New Roman" w:hAnsi="Times New Roman" w:cs="Times New Roman"/>
                <w:b/>
                <w:bCs/>
                <w:sz w:val="21"/>
                <w:szCs w:val="21"/>
              </w:rPr>
              <w:t>31</w:t>
            </w:r>
            <w:r>
              <w:rPr>
                <w:rFonts w:ascii="Times New Roman" w:hAnsi="Times New Roman" w:cs="Times New Roman"/>
                <w:b/>
                <w:bCs/>
                <w:sz w:val="21"/>
                <w:szCs w:val="21"/>
              </w:rPr>
              <w:t>日</w:t>
            </w:r>
            <w:r>
              <w:rPr>
                <w:rFonts w:ascii="Times New Roman" w:hAnsi="Times New Roman" w:cs="Times New Roman"/>
                <w:b/>
                <w:bCs/>
                <w:sz w:val="21"/>
                <w:szCs w:val="21"/>
              </w:rPr>
              <w:t>/2020</w:t>
            </w:r>
            <w:r>
              <w:rPr>
                <w:rFonts w:ascii="Times New Roman" w:hAnsi="Times New Roman" w:cs="Times New Roman"/>
                <w:b/>
                <w:bCs/>
                <w:sz w:val="21"/>
                <w:szCs w:val="21"/>
              </w:rPr>
              <w:t>年</w:t>
            </w:r>
            <w:r>
              <w:rPr>
                <w:rFonts w:ascii="Times New Roman" w:hAnsi="Times New Roman" w:cs="Times New Roman" w:hint="eastAsia"/>
                <w:b/>
                <w:bCs/>
                <w:sz w:val="21"/>
                <w:szCs w:val="21"/>
              </w:rPr>
              <w:t>度</w:t>
            </w:r>
          </w:p>
        </w:tc>
        <w:tc>
          <w:tcPr>
            <w:tcW w:w="1975" w:type="dxa"/>
            <w:vAlign w:val="center"/>
          </w:tcPr>
          <w:p w14:paraId="0D19F5B4" w14:textId="77777777" w:rsidR="00DE1B44" w:rsidRDefault="00D40582">
            <w:pPr>
              <w:suppressAutoHyphens/>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2019</w:t>
            </w:r>
            <w:r>
              <w:rPr>
                <w:rFonts w:ascii="Times New Roman" w:hAnsi="Times New Roman" w:cs="Times New Roman"/>
                <w:b/>
                <w:bCs/>
                <w:sz w:val="21"/>
                <w:szCs w:val="21"/>
              </w:rPr>
              <w:t>年</w:t>
            </w:r>
            <w:r>
              <w:rPr>
                <w:rFonts w:ascii="Times New Roman" w:hAnsi="Times New Roman" w:cs="Times New Roman"/>
                <w:b/>
                <w:bCs/>
                <w:sz w:val="21"/>
                <w:szCs w:val="21"/>
              </w:rPr>
              <w:t>12</w:t>
            </w:r>
            <w:r>
              <w:rPr>
                <w:rFonts w:ascii="Times New Roman" w:hAnsi="Times New Roman" w:cs="Times New Roman"/>
                <w:b/>
                <w:bCs/>
                <w:sz w:val="21"/>
                <w:szCs w:val="21"/>
              </w:rPr>
              <w:t>月</w:t>
            </w:r>
            <w:r>
              <w:rPr>
                <w:rFonts w:ascii="Times New Roman" w:hAnsi="Times New Roman" w:cs="Times New Roman"/>
                <w:b/>
                <w:bCs/>
                <w:sz w:val="21"/>
                <w:szCs w:val="21"/>
              </w:rPr>
              <w:t>31</w:t>
            </w:r>
            <w:r>
              <w:rPr>
                <w:rFonts w:ascii="Times New Roman" w:hAnsi="Times New Roman" w:cs="Times New Roman"/>
                <w:b/>
                <w:bCs/>
                <w:sz w:val="21"/>
                <w:szCs w:val="21"/>
              </w:rPr>
              <w:t>日</w:t>
            </w:r>
            <w:r>
              <w:rPr>
                <w:rFonts w:ascii="Times New Roman" w:hAnsi="Times New Roman" w:cs="Times New Roman"/>
                <w:b/>
                <w:bCs/>
                <w:sz w:val="21"/>
                <w:szCs w:val="21"/>
              </w:rPr>
              <w:t>/2019</w:t>
            </w:r>
            <w:r>
              <w:rPr>
                <w:rFonts w:ascii="Times New Roman" w:hAnsi="Times New Roman" w:cs="Times New Roman"/>
                <w:b/>
                <w:bCs/>
                <w:sz w:val="21"/>
                <w:szCs w:val="21"/>
              </w:rPr>
              <w:t>年</w:t>
            </w:r>
            <w:r>
              <w:rPr>
                <w:rFonts w:ascii="Times New Roman" w:hAnsi="Times New Roman" w:cs="Times New Roman" w:hint="eastAsia"/>
                <w:b/>
                <w:bCs/>
                <w:sz w:val="21"/>
                <w:szCs w:val="21"/>
              </w:rPr>
              <w:t>度</w:t>
            </w:r>
          </w:p>
        </w:tc>
      </w:tr>
      <w:tr w:rsidR="00DE1B44" w14:paraId="51FBF2D4" w14:textId="77777777">
        <w:trPr>
          <w:trHeight w:val="340"/>
          <w:jc w:val="center"/>
        </w:trPr>
        <w:tc>
          <w:tcPr>
            <w:tcW w:w="3089" w:type="dxa"/>
            <w:vAlign w:val="center"/>
          </w:tcPr>
          <w:p w14:paraId="1D58CD2E"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期初余额</w:t>
            </w:r>
          </w:p>
        </w:tc>
        <w:tc>
          <w:tcPr>
            <w:tcW w:w="1976" w:type="dxa"/>
            <w:tcBorders>
              <w:top w:val="nil"/>
              <w:left w:val="nil"/>
              <w:bottom w:val="single" w:sz="8" w:space="0" w:color="auto"/>
              <w:right w:val="single" w:sz="8" w:space="0" w:color="auto"/>
            </w:tcBorders>
            <w:shd w:val="clear" w:color="auto" w:fill="auto"/>
            <w:vAlign w:val="center"/>
          </w:tcPr>
          <w:p w14:paraId="72C42950"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49,612</w:t>
            </w:r>
          </w:p>
        </w:tc>
        <w:tc>
          <w:tcPr>
            <w:tcW w:w="1976" w:type="dxa"/>
            <w:tcBorders>
              <w:top w:val="nil"/>
              <w:left w:val="nil"/>
              <w:bottom w:val="single" w:sz="8" w:space="0" w:color="auto"/>
              <w:right w:val="single" w:sz="8" w:space="0" w:color="auto"/>
            </w:tcBorders>
            <w:shd w:val="clear" w:color="auto" w:fill="auto"/>
            <w:vAlign w:val="center"/>
          </w:tcPr>
          <w:p w14:paraId="6A71C677"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42,141</w:t>
            </w:r>
          </w:p>
        </w:tc>
        <w:tc>
          <w:tcPr>
            <w:tcW w:w="1975" w:type="dxa"/>
            <w:tcBorders>
              <w:top w:val="nil"/>
              <w:left w:val="nil"/>
              <w:bottom w:val="single" w:sz="8" w:space="0" w:color="auto"/>
              <w:right w:val="single" w:sz="8" w:space="0" w:color="auto"/>
            </w:tcBorders>
            <w:shd w:val="clear" w:color="auto" w:fill="auto"/>
            <w:vAlign w:val="center"/>
          </w:tcPr>
          <w:p w14:paraId="29D7AC5B"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36,747</w:t>
            </w:r>
          </w:p>
        </w:tc>
      </w:tr>
      <w:tr w:rsidR="00DE1B44" w14:paraId="78631E82" w14:textId="77777777">
        <w:trPr>
          <w:trHeight w:val="340"/>
          <w:jc w:val="center"/>
        </w:trPr>
        <w:tc>
          <w:tcPr>
            <w:tcW w:w="3089" w:type="dxa"/>
            <w:vAlign w:val="center"/>
          </w:tcPr>
          <w:p w14:paraId="499F8BB4"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本期计提</w:t>
            </w:r>
          </w:p>
        </w:tc>
        <w:tc>
          <w:tcPr>
            <w:tcW w:w="1976" w:type="dxa"/>
            <w:tcBorders>
              <w:top w:val="nil"/>
              <w:left w:val="nil"/>
              <w:bottom w:val="single" w:sz="8" w:space="0" w:color="auto"/>
              <w:right w:val="single" w:sz="8" w:space="0" w:color="auto"/>
            </w:tcBorders>
            <w:shd w:val="clear" w:color="auto" w:fill="auto"/>
            <w:vAlign w:val="center"/>
          </w:tcPr>
          <w:p w14:paraId="08BF465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28,642</w:t>
            </w:r>
          </w:p>
        </w:tc>
        <w:tc>
          <w:tcPr>
            <w:tcW w:w="1976" w:type="dxa"/>
            <w:tcBorders>
              <w:top w:val="nil"/>
              <w:left w:val="nil"/>
              <w:bottom w:val="single" w:sz="8" w:space="0" w:color="auto"/>
              <w:right w:val="single" w:sz="8" w:space="0" w:color="auto"/>
            </w:tcBorders>
            <w:shd w:val="clear" w:color="auto" w:fill="auto"/>
            <w:vAlign w:val="center"/>
          </w:tcPr>
          <w:p w14:paraId="2CF967AB"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53,016</w:t>
            </w:r>
          </w:p>
        </w:tc>
        <w:tc>
          <w:tcPr>
            <w:tcW w:w="1975" w:type="dxa"/>
            <w:tcBorders>
              <w:top w:val="nil"/>
              <w:left w:val="nil"/>
              <w:bottom w:val="single" w:sz="8" w:space="0" w:color="auto"/>
              <w:right w:val="single" w:sz="8" w:space="0" w:color="auto"/>
            </w:tcBorders>
            <w:shd w:val="clear" w:color="auto" w:fill="auto"/>
            <w:vAlign w:val="center"/>
          </w:tcPr>
          <w:p w14:paraId="770AE79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48,158</w:t>
            </w:r>
          </w:p>
        </w:tc>
      </w:tr>
      <w:tr w:rsidR="00DE1B44" w14:paraId="7F7CB13E" w14:textId="77777777">
        <w:trPr>
          <w:trHeight w:val="340"/>
          <w:jc w:val="center"/>
        </w:trPr>
        <w:tc>
          <w:tcPr>
            <w:tcW w:w="3089" w:type="dxa"/>
            <w:vAlign w:val="center"/>
          </w:tcPr>
          <w:p w14:paraId="0D966A46"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本期转回</w:t>
            </w:r>
          </w:p>
        </w:tc>
        <w:tc>
          <w:tcPr>
            <w:tcW w:w="1976" w:type="dxa"/>
            <w:tcBorders>
              <w:top w:val="nil"/>
              <w:left w:val="nil"/>
              <w:bottom w:val="single" w:sz="8" w:space="0" w:color="auto"/>
              <w:right w:val="single" w:sz="8" w:space="0" w:color="auto"/>
            </w:tcBorders>
            <w:shd w:val="clear" w:color="auto" w:fill="auto"/>
            <w:vAlign w:val="center"/>
          </w:tcPr>
          <w:p w14:paraId="5E77BB7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(17,309)</w:t>
            </w:r>
          </w:p>
        </w:tc>
        <w:tc>
          <w:tcPr>
            <w:tcW w:w="1976" w:type="dxa"/>
            <w:tcBorders>
              <w:top w:val="nil"/>
              <w:left w:val="nil"/>
              <w:bottom w:val="single" w:sz="8" w:space="0" w:color="auto"/>
              <w:right w:val="single" w:sz="8" w:space="0" w:color="auto"/>
            </w:tcBorders>
            <w:shd w:val="clear" w:color="auto" w:fill="auto"/>
            <w:vAlign w:val="center"/>
          </w:tcPr>
          <w:p w14:paraId="325EF136"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(18,179)</w:t>
            </w:r>
          </w:p>
        </w:tc>
        <w:tc>
          <w:tcPr>
            <w:tcW w:w="1975" w:type="dxa"/>
            <w:tcBorders>
              <w:top w:val="nil"/>
              <w:left w:val="nil"/>
              <w:bottom w:val="single" w:sz="8" w:space="0" w:color="auto"/>
              <w:right w:val="single" w:sz="8" w:space="0" w:color="auto"/>
            </w:tcBorders>
            <w:shd w:val="clear" w:color="auto" w:fill="auto"/>
            <w:vAlign w:val="center"/>
          </w:tcPr>
          <w:p w14:paraId="7F587490"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(13,644)</w:t>
            </w:r>
          </w:p>
        </w:tc>
      </w:tr>
      <w:tr w:rsidR="00DE1B44" w14:paraId="7923A5FB" w14:textId="77777777">
        <w:trPr>
          <w:trHeight w:val="340"/>
          <w:jc w:val="center"/>
        </w:trPr>
        <w:tc>
          <w:tcPr>
            <w:tcW w:w="3089" w:type="dxa"/>
            <w:vAlign w:val="center"/>
          </w:tcPr>
          <w:p w14:paraId="6DA89E51"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本</w:t>
            </w:r>
            <w:r>
              <w:rPr>
                <w:rFonts w:ascii="Times New Roman" w:hAnsi="Times New Roman" w:cs="Times New Roman" w:hint="eastAsia"/>
                <w:sz w:val="21"/>
                <w:szCs w:val="21"/>
              </w:rPr>
              <w:t>期转销</w:t>
            </w:r>
          </w:p>
        </w:tc>
        <w:tc>
          <w:tcPr>
            <w:tcW w:w="1976" w:type="dxa"/>
            <w:shd w:val="clear" w:color="auto" w:fill="auto"/>
            <w:vAlign w:val="center"/>
          </w:tcPr>
          <w:p w14:paraId="78CE80E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(9,848)</w:t>
            </w:r>
          </w:p>
        </w:tc>
        <w:tc>
          <w:tcPr>
            <w:tcW w:w="1976" w:type="dxa"/>
            <w:vAlign w:val="center"/>
          </w:tcPr>
          <w:p w14:paraId="2535463D"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(27,364)</w:t>
            </w:r>
          </w:p>
        </w:tc>
        <w:tc>
          <w:tcPr>
            <w:tcW w:w="1975" w:type="dxa"/>
            <w:vAlign w:val="center"/>
          </w:tcPr>
          <w:p w14:paraId="07D45DEB"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(29,120)</w:t>
            </w:r>
          </w:p>
        </w:tc>
      </w:tr>
      <w:tr w:rsidR="00DE1B44" w14:paraId="4360C769" w14:textId="77777777">
        <w:trPr>
          <w:trHeight w:val="340"/>
          <w:jc w:val="center"/>
        </w:trPr>
        <w:tc>
          <w:tcPr>
            <w:tcW w:w="3089" w:type="dxa"/>
            <w:vAlign w:val="center"/>
          </w:tcPr>
          <w:p w14:paraId="67A3956D" w14:textId="77777777" w:rsidR="00DE1B44" w:rsidRDefault="00D40582">
            <w:pPr>
              <w:suppressAutoHyphens/>
              <w:spacing w:beforeLines="0" w:before="0" w:line="240" w:lineRule="auto"/>
              <w:ind w:firstLineChars="0" w:firstLine="0"/>
              <w:rPr>
                <w:rFonts w:ascii="Times New Roman" w:hAnsi="Times New Roman" w:cs="Times New Roman"/>
                <w:b/>
                <w:sz w:val="21"/>
                <w:szCs w:val="21"/>
              </w:rPr>
            </w:pPr>
            <w:r>
              <w:rPr>
                <w:rFonts w:ascii="Times New Roman" w:hAnsi="Times New Roman" w:cs="Times New Roman"/>
                <w:b/>
                <w:sz w:val="21"/>
                <w:szCs w:val="21"/>
              </w:rPr>
              <w:t>期末余额</w:t>
            </w:r>
          </w:p>
        </w:tc>
        <w:tc>
          <w:tcPr>
            <w:tcW w:w="1976" w:type="dxa"/>
            <w:tcBorders>
              <w:top w:val="nil"/>
              <w:left w:val="nil"/>
              <w:bottom w:val="single" w:sz="8" w:space="0" w:color="auto"/>
              <w:right w:val="single" w:sz="8" w:space="0" w:color="auto"/>
            </w:tcBorders>
            <w:shd w:val="clear" w:color="auto" w:fill="auto"/>
            <w:vAlign w:val="center"/>
          </w:tcPr>
          <w:p w14:paraId="09A8718F"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51,097</w:t>
            </w:r>
          </w:p>
        </w:tc>
        <w:tc>
          <w:tcPr>
            <w:tcW w:w="1976" w:type="dxa"/>
            <w:tcBorders>
              <w:top w:val="nil"/>
              <w:left w:val="nil"/>
              <w:bottom w:val="single" w:sz="8" w:space="0" w:color="auto"/>
              <w:right w:val="single" w:sz="8" w:space="0" w:color="auto"/>
            </w:tcBorders>
            <w:shd w:val="clear" w:color="auto" w:fill="auto"/>
            <w:vAlign w:val="center"/>
          </w:tcPr>
          <w:p w14:paraId="1E193133"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49,612</w:t>
            </w:r>
          </w:p>
        </w:tc>
        <w:tc>
          <w:tcPr>
            <w:tcW w:w="1975" w:type="dxa"/>
            <w:tcBorders>
              <w:top w:val="nil"/>
              <w:left w:val="nil"/>
              <w:bottom w:val="single" w:sz="8" w:space="0" w:color="auto"/>
              <w:right w:val="single" w:sz="8" w:space="0" w:color="auto"/>
            </w:tcBorders>
            <w:shd w:val="clear" w:color="auto" w:fill="auto"/>
            <w:vAlign w:val="center"/>
          </w:tcPr>
          <w:p w14:paraId="4781387C"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42,141</w:t>
            </w:r>
          </w:p>
        </w:tc>
      </w:tr>
    </w:tbl>
    <w:p w14:paraId="72CEE33B" w14:textId="77777777" w:rsidR="00DE1B44" w:rsidRDefault="00D40582">
      <w:pPr>
        <w:spacing w:beforeLines="0" w:before="0" w:line="240" w:lineRule="auto"/>
        <w:ind w:firstLineChars="0" w:firstLine="0"/>
        <w:jc w:val="left"/>
        <w:rPr>
          <w:rFonts w:ascii="Times New Roman" w:hAnsi="Times New Roman" w:cs="Times New Roman"/>
          <w:sz w:val="21"/>
          <w:szCs w:val="21"/>
        </w:rPr>
      </w:pPr>
      <w:r>
        <w:rPr>
          <w:rFonts w:ascii="Times New Roman" w:hAnsi="Times New Roman" w:cs="Times New Roman" w:hint="eastAsia"/>
          <w:sz w:val="21"/>
          <w:szCs w:val="21"/>
        </w:rPr>
        <w:t>注：本年转销包含收回以前年度核销贷款的减值准备影响数</w:t>
      </w:r>
    </w:p>
    <w:p w14:paraId="05F03158"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本行根据企业会计准则对本行发放贷款和垫款进行减值评估，确定贷款减值损失并计</w:t>
      </w:r>
      <w:proofErr w:type="gramStart"/>
      <w:r>
        <w:rPr>
          <w:rFonts w:ascii="Times New Roman" w:hAnsi="Times New Roman" w:cs="Times New Roman" w:hint="eastAsia"/>
        </w:rPr>
        <w:t>提贷</w:t>
      </w:r>
      <w:proofErr w:type="gramEnd"/>
      <w:r>
        <w:rPr>
          <w:rFonts w:ascii="Times New Roman" w:hAnsi="Times New Roman" w:cs="Times New Roman" w:hint="eastAsia"/>
        </w:rPr>
        <w:t>款减值准备。在对贷款和垫款进行减值损失测算时，本行进行判断和假设，以确定是否需要计提减值准备。这些减值准备反映了单笔贷款或类似贷款的组合，其账面价值与未来现金流现值之间的差异。对于已减值的贷款，本行采用单独评估的方式进行测算，对于单项测算未发生减值的贷款包括在具有类似信用风险特征的贷款组合中进行减值测算。贷款减值</w:t>
      </w:r>
      <w:proofErr w:type="gramStart"/>
      <w:r>
        <w:rPr>
          <w:rFonts w:ascii="Times New Roman" w:hAnsi="Times New Roman" w:cs="Times New Roman" w:hint="eastAsia"/>
        </w:rPr>
        <w:t>准备余额</w:t>
      </w:r>
      <w:proofErr w:type="gramEnd"/>
      <w:r>
        <w:rPr>
          <w:rFonts w:ascii="Times New Roman" w:hAnsi="Times New Roman" w:cs="Times New Roman" w:hint="eastAsia"/>
        </w:rPr>
        <w:t>含核算至以公允价值计量且其变动计入其他综合收益项下的发放贷款和垫款的损失准备</w:t>
      </w:r>
      <w:r>
        <w:rPr>
          <w:rFonts w:ascii="Times New Roman" w:hAnsi="Times New Roman" w:cs="Times New Roman"/>
        </w:rPr>
        <w:t>。</w:t>
      </w:r>
    </w:p>
    <w:p w14:paraId="6AA1A773" w14:textId="77777777" w:rsidR="00DE1B44" w:rsidRDefault="00D40582">
      <w:pPr>
        <w:snapToGrid w:val="0"/>
        <w:spacing w:before="120"/>
        <w:ind w:firstLine="482"/>
        <w:rPr>
          <w:rFonts w:ascii="Times New Roman" w:hAnsi="Times New Roman" w:cs="Times New Roman"/>
          <w:b/>
          <w:bCs/>
        </w:rPr>
      </w:pPr>
      <w:r>
        <w:rPr>
          <w:rFonts w:ascii="Times New Roman" w:hAnsi="Times New Roman" w:cs="Times New Roman" w:hint="eastAsia"/>
          <w:b/>
          <w:bCs/>
        </w:rPr>
        <w:t>（</w:t>
      </w:r>
      <w:r>
        <w:rPr>
          <w:rFonts w:ascii="Times New Roman" w:hAnsi="Times New Roman" w:cs="Times New Roman" w:hint="eastAsia"/>
          <w:b/>
          <w:bCs/>
        </w:rPr>
        <w:t>2</w:t>
      </w:r>
      <w:r>
        <w:rPr>
          <w:rFonts w:ascii="Times New Roman" w:hAnsi="Times New Roman" w:cs="Times New Roman" w:hint="eastAsia"/>
          <w:b/>
          <w:bCs/>
        </w:rPr>
        <w:t>）金融投资</w:t>
      </w:r>
    </w:p>
    <w:p w14:paraId="56A1E69B"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本行自</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日起执行新金融工具准则。</w:t>
      </w:r>
      <w:r>
        <w:rPr>
          <w:rFonts w:ascii="Times New Roman" w:hAnsi="Times New Roman" w:cs="Times New Roman"/>
        </w:rPr>
        <w:t>2019</w:t>
      </w:r>
      <w:r>
        <w:rPr>
          <w:rFonts w:ascii="Times New Roman" w:hAnsi="Times New Roman" w:cs="Times New Roman"/>
        </w:rPr>
        <w:t>年度</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年度和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1</w:t>
      </w:r>
      <w:r>
        <w:rPr>
          <w:rFonts w:ascii="Times New Roman" w:hAnsi="Times New Roman" w:cs="Times New Roman"/>
        </w:rPr>
        <w:t>-6</w:t>
      </w:r>
      <w:r>
        <w:rPr>
          <w:rFonts w:ascii="Times New Roman" w:hAnsi="Times New Roman" w:cs="Times New Roman" w:hint="eastAsia"/>
        </w:rPr>
        <w:t>月</w:t>
      </w:r>
      <w:r>
        <w:rPr>
          <w:rFonts w:ascii="Times New Roman" w:hAnsi="Times New Roman" w:cs="Times New Roman"/>
        </w:rPr>
        <w:t>公司投资类资产主要包括交易性金融资产、债权投资、其他债权投资和其他权益工具投资</w:t>
      </w:r>
      <w:r>
        <w:rPr>
          <w:rFonts w:ascii="Times New Roman" w:hAnsi="Times New Roman" w:cs="Times New Roman" w:hint="eastAsia"/>
        </w:rPr>
        <w:t>。</w:t>
      </w:r>
    </w:p>
    <w:p w14:paraId="1C189D81" w14:textId="77777777" w:rsidR="00DE1B44" w:rsidRDefault="00D40582">
      <w:pPr>
        <w:spacing w:before="120"/>
        <w:ind w:firstLine="480"/>
        <w:rPr>
          <w:rFonts w:ascii="Times New Roman" w:hAnsi="Times New Roman" w:cs="Times New Roman"/>
        </w:rPr>
      </w:pPr>
      <w:r>
        <w:rPr>
          <w:rFonts w:ascii="Times New Roman" w:hAnsi="Times New Roman" w:cs="Times New Roman"/>
        </w:rPr>
        <w:lastRenderedPageBreak/>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，本行</w:t>
      </w:r>
      <w:r>
        <w:rPr>
          <w:rFonts w:ascii="Times New Roman" w:hAnsi="Times New Roman" w:cs="Times New Roman" w:hint="eastAsia"/>
        </w:rPr>
        <w:t>投资类资产构成情况如下</w:t>
      </w:r>
      <w:r>
        <w:rPr>
          <w:rFonts w:ascii="Times New Roman" w:hAnsi="Times New Roman" w:cs="Times New Roman"/>
        </w:rPr>
        <w:t>：</w:t>
      </w:r>
    </w:p>
    <w:p w14:paraId="775F257E"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3089"/>
        <w:gridCol w:w="1976"/>
        <w:gridCol w:w="1976"/>
        <w:gridCol w:w="1975"/>
      </w:tblGrid>
      <w:tr w:rsidR="00DE1B44" w14:paraId="27FD8496" w14:textId="77777777">
        <w:trPr>
          <w:trHeight w:val="340"/>
          <w:tblHeader/>
          <w:jc w:val="center"/>
        </w:trPr>
        <w:tc>
          <w:tcPr>
            <w:tcW w:w="3089" w:type="dxa"/>
            <w:vAlign w:val="center"/>
          </w:tcPr>
          <w:p w14:paraId="182E457E" w14:textId="77777777" w:rsidR="00DE1B44" w:rsidRDefault="00D40582">
            <w:pPr>
              <w:suppressAutoHyphens/>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项目</w:t>
            </w:r>
          </w:p>
        </w:tc>
        <w:tc>
          <w:tcPr>
            <w:tcW w:w="1976" w:type="dxa"/>
            <w:vAlign w:val="center"/>
          </w:tcPr>
          <w:p w14:paraId="422CA9D9" w14:textId="77777777" w:rsidR="00DE1B44" w:rsidRDefault="00D40582">
            <w:pPr>
              <w:suppressAutoHyphens/>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2</w:t>
            </w:r>
            <w:r>
              <w:rPr>
                <w:rFonts w:ascii="Times New Roman" w:hAnsi="Times New Roman" w:cs="Times New Roman"/>
                <w:b/>
                <w:bCs/>
                <w:sz w:val="21"/>
                <w:szCs w:val="21"/>
              </w:rPr>
              <w:t>021</w:t>
            </w:r>
            <w:r>
              <w:rPr>
                <w:rFonts w:ascii="Times New Roman" w:hAnsi="Times New Roman" w:cs="Times New Roman" w:hint="eastAsia"/>
                <w:b/>
                <w:bCs/>
                <w:sz w:val="21"/>
                <w:szCs w:val="21"/>
              </w:rPr>
              <w:t>年</w:t>
            </w:r>
            <w:r>
              <w:rPr>
                <w:rFonts w:ascii="Times New Roman" w:hAnsi="Times New Roman" w:cs="Times New Roman" w:hint="eastAsia"/>
                <w:b/>
                <w:bCs/>
                <w:sz w:val="21"/>
                <w:szCs w:val="21"/>
              </w:rPr>
              <w:t>6</w:t>
            </w:r>
            <w:r>
              <w:rPr>
                <w:rFonts w:ascii="Times New Roman" w:hAnsi="Times New Roman" w:cs="Times New Roman" w:hint="eastAsia"/>
                <w:b/>
                <w:bCs/>
                <w:sz w:val="21"/>
                <w:szCs w:val="21"/>
              </w:rPr>
              <w:t>月</w:t>
            </w:r>
            <w:r>
              <w:rPr>
                <w:rFonts w:ascii="Times New Roman" w:hAnsi="Times New Roman" w:cs="Times New Roman" w:hint="eastAsia"/>
                <w:b/>
                <w:bCs/>
                <w:sz w:val="21"/>
                <w:szCs w:val="21"/>
              </w:rPr>
              <w:t>3</w:t>
            </w:r>
            <w:r>
              <w:rPr>
                <w:rFonts w:ascii="Times New Roman" w:hAnsi="Times New Roman" w:cs="Times New Roman"/>
                <w:b/>
                <w:bCs/>
                <w:sz w:val="21"/>
                <w:szCs w:val="21"/>
              </w:rPr>
              <w:t>0</w:t>
            </w:r>
            <w:r>
              <w:rPr>
                <w:rFonts w:ascii="Times New Roman" w:hAnsi="Times New Roman" w:cs="Times New Roman" w:hint="eastAsia"/>
                <w:b/>
                <w:bCs/>
                <w:sz w:val="21"/>
                <w:szCs w:val="21"/>
              </w:rPr>
              <w:t>日</w:t>
            </w:r>
          </w:p>
        </w:tc>
        <w:tc>
          <w:tcPr>
            <w:tcW w:w="1976" w:type="dxa"/>
            <w:vAlign w:val="center"/>
          </w:tcPr>
          <w:p w14:paraId="467CB0B7" w14:textId="77777777" w:rsidR="00DE1B44" w:rsidRDefault="00D40582">
            <w:pPr>
              <w:suppressAutoHyphens/>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2020</w:t>
            </w:r>
            <w:r>
              <w:rPr>
                <w:rFonts w:ascii="Times New Roman" w:hAnsi="Times New Roman" w:cs="Times New Roman"/>
                <w:b/>
                <w:bCs/>
                <w:sz w:val="21"/>
                <w:szCs w:val="21"/>
              </w:rPr>
              <w:t>年</w:t>
            </w:r>
            <w:r>
              <w:rPr>
                <w:rFonts w:ascii="Times New Roman" w:hAnsi="Times New Roman" w:cs="Times New Roman"/>
                <w:b/>
                <w:bCs/>
                <w:sz w:val="21"/>
                <w:szCs w:val="21"/>
              </w:rPr>
              <w:t>12</w:t>
            </w:r>
            <w:r>
              <w:rPr>
                <w:rFonts w:ascii="Times New Roman" w:hAnsi="Times New Roman" w:cs="Times New Roman"/>
                <w:b/>
                <w:bCs/>
                <w:sz w:val="21"/>
                <w:szCs w:val="21"/>
              </w:rPr>
              <w:t>月</w:t>
            </w:r>
            <w:r>
              <w:rPr>
                <w:rFonts w:ascii="Times New Roman" w:hAnsi="Times New Roman" w:cs="Times New Roman"/>
                <w:b/>
                <w:bCs/>
                <w:sz w:val="21"/>
                <w:szCs w:val="21"/>
              </w:rPr>
              <w:t>31</w:t>
            </w:r>
            <w:r>
              <w:rPr>
                <w:rFonts w:ascii="Times New Roman" w:hAnsi="Times New Roman" w:cs="Times New Roman"/>
                <w:b/>
                <w:bCs/>
                <w:sz w:val="21"/>
                <w:szCs w:val="21"/>
              </w:rPr>
              <w:t>日</w:t>
            </w:r>
          </w:p>
        </w:tc>
        <w:tc>
          <w:tcPr>
            <w:tcW w:w="1975" w:type="dxa"/>
            <w:vAlign w:val="center"/>
          </w:tcPr>
          <w:p w14:paraId="38942FE0" w14:textId="77777777" w:rsidR="00DE1B44" w:rsidRDefault="00D40582">
            <w:pPr>
              <w:suppressAutoHyphens/>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2019</w:t>
            </w:r>
            <w:r>
              <w:rPr>
                <w:rFonts w:ascii="Times New Roman" w:hAnsi="Times New Roman" w:cs="Times New Roman"/>
                <w:b/>
                <w:bCs/>
                <w:sz w:val="21"/>
                <w:szCs w:val="21"/>
              </w:rPr>
              <w:t>年</w:t>
            </w:r>
            <w:r>
              <w:rPr>
                <w:rFonts w:ascii="Times New Roman" w:hAnsi="Times New Roman" w:cs="Times New Roman"/>
                <w:b/>
                <w:bCs/>
                <w:sz w:val="21"/>
                <w:szCs w:val="21"/>
              </w:rPr>
              <w:t>12</w:t>
            </w:r>
            <w:r>
              <w:rPr>
                <w:rFonts w:ascii="Times New Roman" w:hAnsi="Times New Roman" w:cs="Times New Roman"/>
                <w:b/>
                <w:bCs/>
                <w:sz w:val="21"/>
                <w:szCs w:val="21"/>
              </w:rPr>
              <w:t>月</w:t>
            </w:r>
            <w:r>
              <w:rPr>
                <w:rFonts w:ascii="Times New Roman" w:hAnsi="Times New Roman" w:cs="Times New Roman"/>
                <w:b/>
                <w:bCs/>
                <w:sz w:val="21"/>
                <w:szCs w:val="21"/>
              </w:rPr>
              <w:t>31</w:t>
            </w:r>
            <w:r>
              <w:rPr>
                <w:rFonts w:ascii="Times New Roman" w:hAnsi="Times New Roman" w:cs="Times New Roman"/>
                <w:b/>
                <w:bCs/>
                <w:sz w:val="21"/>
                <w:szCs w:val="21"/>
              </w:rPr>
              <w:t>日</w:t>
            </w:r>
          </w:p>
        </w:tc>
      </w:tr>
      <w:tr w:rsidR="00DE1B44" w14:paraId="561068F8" w14:textId="77777777">
        <w:trPr>
          <w:trHeight w:val="340"/>
          <w:jc w:val="center"/>
        </w:trPr>
        <w:tc>
          <w:tcPr>
            <w:tcW w:w="3089" w:type="dxa"/>
            <w:vAlign w:val="center"/>
          </w:tcPr>
          <w:p w14:paraId="43D42AA9"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交易性金融资产</w:t>
            </w:r>
          </w:p>
        </w:tc>
        <w:tc>
          <w:tcPr>
            <w:tcW w:w="1976" w:type="dxa"/>
            <w:shd w:val="clear" w:color="auto" w:fill="auto"/>
            <w:vAlign w:val="center"/>
          </w:tcPr>
          <w:p w14:paraId="3D7569C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145,543</w:t>
            </w:r>
          </w:p>
        </w:tc>
        <w:tc>
          <w:tcPr>
            <w:tcW w:w="1976" w:type="dxa"/>
            <w:vAlign w:val="center"/>
          </w:tcPr>
          <w:p w14:paraId="5C674BE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146,810</w:t>
            </w:r>
          </w:p>
        </w:tc>
        <w:tc>
          <w:tcPr>
            <w:tcW w:w="1975" w:type="dxa"/>
            <w:vAlign w:val="center"/>
          </w:tcPr>
          <w:p w14:paraId="01D7FCF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129,304</w:t>
            </w:r>
          </w:p>
        </w:tc>
      </w:tr>
      <w:tr w:rsidR="00DE1B44" w14:paraId="1CA3002B" w14:textId="77777777">
        <w:trPr>
          <w:trHeight w:val="340"/>
          <w:jc w:val="center"/>
        </w:trPr>
        <w:tc>
          <w:tcPr>
            <w:tcW w:w="3089" w:type="dxa"/>
            <w:vAlign w:val="center"/>
          </w:tcPr>
          <w:p w14:paraId="4E97D8BF"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债权投资</w:t>
            </w:r>
          </w:p>
        </w:tc>
        <w:tc>
          <w:tcPr>
            <w:tcW w:w="1976" w:type="dxa"/>
            <w:shd w:val="clear" w:color="auto" w:fill="auto"/>
            <w:vAlign w:val="center"/>
          </w:tcPr>
          <w:p w14:paraId="32630263"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336,181</w:t>
            </w:r>
          </w:p>
        </w:tc>
        <w:tc>
          <w:tcPr>
            <w:tcW w:w="1976" w:type="dxa"/>
            <w:vAlign w:val="center"/>
          </w:tcPr>
          <w:p w14:paraId="1B5F5221"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332,401</w:t>
            </w:r>
          </w:p>
        </w:tc>
        <w:tc>
          <w:tcPr>
            <w:tcW w:w="1975" w:type="dxa"/>
            <w:vAlign w:val="center"/>
          </w:tcPr>
          <w:p w14:paraId="32DE7E60"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307,501</w:t>
            </w:r>
          </w:p>
        </w:tc>
      </w:tr>
      <w:tr w:rsidR="00DE1B44" w14:paraId="4810F99A" w14:textId="77777777">
        <w:trPr>
          <w:trHeight w:val="340"/>
          <w:jc w:val="center"/>
        </w:trPr>
        <w:tc>
          <w:tcPr>
            <w:tcW w:w="3089" w:type="dxa"/>
            <w:vAlign w:val="center"/>
          </w:tcPr>
          <w:p w14:paraId="344A3C8D"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其他债权投资</w:t>
            </w:r>
          </w:p>
        </w:tc>
        <w:tc>
          <w:tcPr>
            <w:tcW w:w="1976" w:type="dxa"/>
            <w:shd w:val="clear" w:color="auto" w:fill="auto"/>
            <w:vAlign w:val="center"/>
          </w:tcPr>
          <w:p w14:paraId="1F01B947"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218,330</w:t>
            </w:r>
          </w:p>
        </w:tc>
        <w:tc>
          <w:tcPr>
            <w:tcW w:w="1976" w:type="dxa"/>
            <w:vAlign w:val="center"/>
          </w:tcPr>
          <w:p w14:paraId="202D9A4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243,800</w:t>
            </w:r>
          </w:p>
        </w:tc>
        <w:tc>
          <w:tcPr>
            <w:tcW w:w="1975" w:type="dxa"/>
            <w:vAlign w:val="center"/>
          </w:tcPr>
          <w:p w14:paraId="10848C8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192,148</w:t>
            </w:r>
          </w:p>
        </w:tc>
      </w:tr>
      <w:tr w:rsidR="00DE1B44" w14:paraId="0FE94AB1" w14:textId="77777777">
        <w:trPr>
          <w:trHeight w:val="340"/>
          <w:jc w:val="center"/>
        </w:trPr>
        <w:tc>
          <w:tcPr>
            <w:tcW w:w="3089" w:type="dxa"/>
            <w:vAlign w:val="center"/>
          </w:tcPr>
          <w:p w14:paraId="4E4476DD"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其他权益工具投资</w:t>
            </w:r>
          </w:p>
        </w:tc>
        <w:tc>
          <w:tcPr>
            <w:tcW w:w="1976" w:type="dxa"/>
            <w:shd w:val="clear" w:color="auto" w:fill="auto"/>
            <w:vAlign w:val="center"/>
          </w:tcPr>
          <w:p w14:paraId="3390E80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2,738</w:t>
            </w:r>
          </w:p>
        </w:tc>
        <w:tc>
          <w:tcPr>
            <w:tcW w:w="1976" w:type="dxa"/>
            <w:vAlign w:val="center"/>
          </w:tcPr>
          <w:p w14:paraId="59225C63"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2,744</w:t>
            </w:r>
          </w:p>
        </w:tc>
        <w:tc>
          <w:tcPr>
            <w:tcW w:w="1975" w:type="dxa"/>
            <w:vAlign w:val="center"/>
          </w:tcPr>
          <w:p w14:paraId="163F27D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2,150</w:t>
            </w:r>
          </w:p>
        </w:tc>
      </w:tr>
      <w:tr w:rsidR="00DE1B44" w14:paraId="20A6F83C" w14:textId="77777777">
        <w:trPr>
          <w:trHeight w:val="340"/>
          <w:jc w:val="center"/>
        </w:trPr>
        <w:tc>
          <w:tcPr>
            <w:tcW w:w="3089" w:type="dxa"/>
            <w:vAlign w:val="center"/>
          </w:tcPr>
          <w:p w14:paraId="03E31004"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合计</w:t>
            </w:r>
          </w:p>
        </w:tc>
        <w:tc>
          <w:tcPr>
            <w:tcW w:w="1976" w:type="dxa"/>
            <w:shd w:val="clear" w:color="auto" w:fill="auto"/>
            <w:vAlign w:val="center"/>
          </w:tcPr>
          <w:p w14:paraId="38EA2745"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702,792</w:t>
            </w:r>
          </w:p>
        </w:tc>
        <w:tc>
          <w:tcPr>
            <w:tcW w:w="1976" w:type="dxa"/>
            <w:vAlign w:val="center"/>
          </w:tcPr>
          <w:p w14:paraId="09F1564A"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725,755</w:t>
            </w:r>
          </w:p>
        </w:tc>
        <w:tc>
          <w:tcPr>
            <w:tcW w:w="1975" w:type="dxa"/>
            <w:vAlign w:val="center"/>
          </w:tcPr>
          <w:p w14:paraId="0A880EA8"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631,103</w:t>
            </w:r>
          </w:p>
        </w:tc>
      </w:tr>
    </w:tbl>
    <w:p w14:paraId="408DC7ED" w14:textId="77777777" w:rsidR="00DE1B44" w:rsidRDefault="00D40582">
      <w:pPr>
        <w:snapToGrid w:val="0"/>
        <w:spacing w:before="120"/>
        <w:ind w:firstLine="480"/>
        <w:rPr>
          <w:rFonts w:ascii="Times New Roman" w:hAnsi="Times New Roman" w:cs="Times New Roman"/>
        </w:rPr>
      </w:pPr>
      <w:r>
        <w:rPr>
          <w:rFonts w:cs="Times New Roman" w:hint="eastAsia"/>
        </w:rPr>
        <w:t>①</w:t>
      </w:r>
      <w:r>
        <w:rPr>
          <w:rFonts w:ascii="Times New Roman" w:hAnsi="Times New Roman" w:cs="Times New Roman" w:hint="eastAsia"/>
        </w:rPr>
        <w:t>交易性金融资产</w:t>
      </w:r>
    </w:p>
    <w:p w14:paraId="1A3B966F"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交易性金融资产是以公允价值计量且其变动计入当期损益的金融资产</w:t>
      </w:r>
      <w:r>
        <w:rPr>
          <w:rFonts w:ascii="Times New Roman" w:hAnsi="Times New Roman" w:cs="Times New Roman"/>
        </w:rPr>
        <w:t>。</w:t>
      </w:r>
      <w:r>
        <w:rPr>
          <w:rFonts w:ascii="Times New Roman" w:hAnsi="Times New Roman" w:cs="Times New Roman" w:hint="eastAsia"/>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1</w:t>
      </w:r>
      <w:r>
        <w:rPr>
          <w:rFonts w:ascii="Times New Roman" w:hAnsi="Times New Roman" w:cs="Times New Roman" w:hint="eastAsia"/>
        </w:rPr>
        <w:t>日、</w:t>
      </w:r>
      <w:r>
        <w:rPr>
          <w:rFonts w:ascii="Times New Roman" w:hAnsi="Times New Roman" w:cs="Times New Roman"/>
        </w:rPr>
        <w:t>2020</w:t>
      </w:r>
      <w:r>
        <w:rPr>
          <w:rFonts w:ascii="Times New Roman" w:hAnsi="Times New Roman" w:cs="Times New Roman"/>
        </w:rPr>
        <w:t>年</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1</w:t>
      </w:r>
      <w:r>
        <w:rPr>
          <w:rFonts w:ascii="Times New Roman" w:hAnsi="Times New Roman" w:cs="Times New Roman" w:hint="eastAsia"/>
        </w:rPr>
        <w:t>日及</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w:t>
      </w:r>
      <w:r>
        <w:rPr>
          <w:rFonts w:ascii="Times New Roman" w:hAnsi="Times New Roman" w:cs="Times New Roman" w:hint="eastAsia"/>
        </w:rPr>
        <w:t>本行</w:t>
      </w:r>
      <w:r>
        <w:rPr>
          <w:rFonts w:ascii="Times New Roman" w:hAnsi="Times New Roman" w:cs="Times New Roman"/>
        </w:rPr>
        <w:t>交易性金融资产余额分别为</w:t>
      </w:r>
      <w:r>
        <w:rPr>
          <w:rFonts w:ascii="Times New Roman" w:hAnsi="Times New Roman" w:cs="Times New Roman"/>
        </w:rPr>
        <w:t>1,293.04</w:t>
      </w:r>
      <w:r>
        <w:rPr>
          <w:rFonts w:ascii="Times New Roman" w:hAnsi="Times New Roman" w:cs="Times New Roman"/>
        </w:rPr>
        <w:t>亿元</w:t>
      </w:r>
      <w:r>
        <w:rPr>
          <w:rFonts w:ascii="Times New Roman" w:hAnsi="Times New Roman" w:cs="Times New Roman" w:hint="eastAsia"/>
        </w:rPr>
        <w:t>、</w:t>
      </w:r>
      <w:r>
        <w:rPr>
          <w:rFonts w:ascii="Times New Roman" w:hAnsi="Times New Roman" w:cs="Times New Roman"/>
        </w:rPr>
        <w:t>1,468.10</w:t>
      </w:r>
      <w:r>
        <w:rPr>
          <w:rFonts w:ascii="Times New Roman" w:hAnsi="Times New Roman" w:cs="Times New Roman"/>
        </w:rPr>
        <w:t>亿元</w:t>
      </w:r>
      <w:r>
        <w:rPr>
          <w:rFonts w:ascii="Times New Roman" w:hAnsi="Times New Roman" w:cs="Times New Roman" w:hint="eastAsia"/>
        </w:rPr>
        <w:t>和</w:t>
      </w:r>
      <w:r>
        <w:rPr>
          <w:rFonts w:ascii="Times New Roman" w:hAnsi="Times New Roman" w:cs="Times New Roman" w:hint="eastAsia"/>
        </w:rPr>
        <w:t>1,</w:t>
      </w:r>
      <w:r>
        <w:rPr>
          <w:rFonts w:ascii="Times New Roman" w:hAnsi="Times New Roman" w:cs="Times New Roman"/>
        </w:rPr>
        <w:t>455.43</w:t>
      </w:r>
      <w:r>
        <w:rPr>
          <w:rFonts w:ascii="Times New Roman" w:hAnsi="Times New Roman" w:cs="Times New Roman" w:hint="eastAsia"/>
        </w:rPr>
        <w:t>亿元</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年末较</w:t>
      </w:r>
      <w:r>
        <w:rPr>
          <w:rFonts w:ascii="Times New Roman" w:hAnsi="Times New Roman" w:cs="Times New Roman"/>
        </w:rPr>
        <w:t>2019</w:t>
      </w:r>
      <w:r>
        <w:rPr>
          <w:rFonts w:ascii="Times New Roman" w:hAnsi="Times New Roman" w:cs="Times New Roman"/>
        </w:rPr>
        <w:t>年末增长</w:t>
      </w:r>
      <w:r>
        <w:rPr>
          <w:rFonts w:ascii="Times New Roman" w:hAnsi="Times New Roman" w:cs="Times New Roman"/>
        </w:rPr>
        <w:t>13.54%</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月末较</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年末下降</w:t>
      </w:r>
      <w:r>
        <w:rPr>
          <w:rFonts w:ascii="Times New Roman" w:hAnsi="Times New Roman" w:cs="Times New Roman" w:hint="eastAsia"/>
        </w:rPr>
        <w:t>0</w:t>
      </w:r>
      <w:r>
        <w:rPr>
          <w:rFonts w:ascii="Times New Roman" w:hAnsi="Times New Roman" w:cs="Times New Roman"/>
        </w:rPr>
        <w:t>.86%</w:t>
      </w:r>
      <w:r>
        <w:rPr>
          <w:rFonts w:ascii="Times New Roman" w:hAnsi="Times New Roman" w:cs="Times New Roman" w:hint="eastAsia"/>
        </w:rPr>
        <w:t>。</w:t>
      </w:r>
    </w:p>
    <w:p w14:paraId="7B06D0CD"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1</w:t>
      </w:r>
      <w:r>
        <w:rPr>
          <w:rFonts w:ascii="Times New Roman" w:hAnsi="Times New Roman" w:cs="Times New Roman" w:hint="eastAsia"/>
        </w:rPr>
        <w:t>日、</w:t>
      </w:r>
      <w:r>
        <w:rPr>
          <w:rFonts w:ascii="Times New Roman" w:hAnsi="Times New Roman" w:cs="Times New Roman"/>
        </w:rPr>
        <w:t>2020</w:t>
      </w:r>
      <w:r>
        <w:rPr>
          <w:rFonts w:ascii="Times New Roman" w:hAnsi="Times New Roman" w:cs="Times New Roman"/>
        </w:rPr>
        <w:t>年</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1</w:t>
      </w:r>
      <w:r>
        <w:rPr>
          <w:rFonts w:ascii="Times New Roman" w:hAnsi="Times New Roman" w:cs="Times New Roman" w:hint="eastAsia"/>
        </w:rPr>
        <w:t>日和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w:t>
      </w:r>
      <w:r>
        <w:rPr>
          <w:rFonts w:ascii="Times New Roman" w:hAnsi="Times New Roman" w:cs="Times New Roman" w:hint="eastAsia"/>
        </w:rPr>
        <w:t>本行</w:t>
      </w:r>
      <w:r>
        <w:rPr>
          <w:rFonts w:ascii="Times New Roman" w:hAnsi="Times New Roman" w:cs="Times New Roman"/>
        </w:rPr>
        <w:t>交易性金融资产构成情况如下：</w:t>
      </w:r>
    </w:p>
    <w:p w14:paraId="4F853651"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3437"/>
        <w:gridCol w:w="930"/>
        <w:gridCol w:w="930"/>
        <w:gridCol w:w="929"/>
        <w:gridCol w:w="932"/>
        <w:gridCol w:w="929"/>
        <w:gridCol w:w="929"/>
      </w:tblGrid>
      <w:tr w:rsidR="00DE1B44" w14:paraId="7318EFD2" w14:textId="77777777">
        <w:trPr>
          <w:trHeight w:val="300"/>
          <w:tblHeader/>
        </w:trPr>
        <w:tc>
          <w:tcPr>
            <w:tcW w:w="3437" w:type="dxa"/>
            <w:vMerge w:val="restart"/>
            <w:shd w:val="clear" w:color="auto" w:fill="auto"/>
            <w:noWrap/>
            <w:vAlign w:val="center"/>
          </w:tcPr>
          <w:p w14:paraId="4481A65B" w14:textId="77777777" w:rsidR="00DE1B44" w:rsidRDefault="00D40582">
            <w:pPr>
              <w:suppressAutoHyphens/>
              <w:spacing w:beforeLines="0" w:before="0" w:line="240" w:lineRule="auto"/>
              <w:ind w:firstLineChars="0" w:firstLine="0"/>
              <w:jc w:val="center"/>
              <w:rPr>
                <w:rFonts w:ascii="Times New Roman" w:hAnsi="Times New Roman" w:cs="Times New Roman"/>
                <w:b/>
                <w:bCs/>
                <w:kern w:val="10"/>
                <w:sz w:val="21"/>
                <w:szCs w:val="21"/>
              </w:rPr>
            </w:pPr>
            <w:r>
              <w:rPr>
                <w:rFonts w:ascii="Times New Roman" w:hAnsi="Times New Roman" w:cs="Times New Roman"/>
                <w:b/>
                <w:bCs/>
                <w:kern w:val="10"/>
                <w:sz w:val="21"/>
                <w:szCs w:val="21"/>
              </w:rPr>
              <w:t>项目</w:t>
            </w:r>
          </w:p>
        </w:tc>
        <w:tc>
          <w:tcPr>
            <w:tcW w:w="1860" w:type="dxa"/>
            <w:gridSpan w:val="2"/>
          </w:tcPr>
          <w:p w14:paraId="3CD7BE3C" w14:textId="77777777" w:rsidR="00DE1B44" w:rsidRDefault="00D40582">
            <w:pPr>
              <w:suppressAutoHyphens/>
              <w:spacing w:beforeLines="0" w:before="0" w:line="240" w:lineRule="auto"/>
              <w:ind w:firstLineChars="0" w:firstLine="0"/>
              <w:jc w:val="center"/>
              <w:rPr>
                <w:rFonts w:ascii="Times New Roman" w:hAnsi="Times New Roman" w:cs="Times New Roman"/>
                <w:b/>
                <w:bCs/>
                <w:kern w:val="10"/>
                <w:sz w:val="21"/>
                <w:szCs w:val="21"/>
              </w:rPr>
            </w:pPr>
            <w:r>
              <w:rPr>
                <w:rFonts w:ascii="Times New Roman" w:hAnsi="Times New Roman" w:cs="Times New Roman" w:hint="eastAsia"/>
                <w:b/>
                <w:bCs/>
                <w:kern w:val="10"/>
                <w:sz w:val="21"/>
                <w:szCs w:val="21"/>
              </w:rPr>
              <w:t>2</w:t>
            </w:r>
            <w:r>
              <w:rPr>
                <w:rFonts w:ascii="Times New Roman" w:hAnsi="Times New Roman" w:cs="Times New Roman"/>
                <w:b/>
                <w:bCs/>
                <w:kern w:val="10"/>
                <w:sz w:val="21"/>
                <w:szCs w:val="21"/>
              </w:rPr>
              <w:t>021</w:t>
            </w:r>
            <w:r>
              <w:rPr>
                <w:rFonts w:ascii="Times New Roman" w:hAnsi="Times New Roman" w:cs="Times New Roman" w:hint="eastAsia"/>
                <w:b/>
                <w:bCs/>
                <w:kern w:val="10"/>
                <w:sz w:val="21"/>
                <w:szCs w:val="21"/>
              </w:rPr>
              <w:t>年</w:t>
            </w:r>
            <w:r>
              <w:rPr>
                <w:rFonts w:ascii="Times New Roman" w:hAnsi="Times New Roman" w:cs="Times New Roman" w:hint="eastAsia"/>
                <w:b/>
                <w:bCs/>
                <w:kern w:val="10"/>
                <w:sz w:val="21"/>
                <w:szCs w:val="21"/>
              </w:rPr>
              <w:t>6</w:t>
            </w:r>
            <w:r>
              <w:rPr>
                <w:rFonts w:ascii="Times New Roman" w:hAnsi="Times New Roman" w:cs="Times New Roman" w:hint="eastAsia"/>
                <w:b/>
                <w:bCs/>
                <w:kern w:val="10"/>
                <w:sz w:val="21"/>
                <w:szCs w:val="21"/>
              </w:rPr>
              <w:t>月</w:t>
            </w:r>
            <w:r>
              <w:rPr>
                <w:rFonts w:ascii="Times New Roman" w:hAnsi="Times New Roman" w:cs="Times New Roman" w:hint="eastAsia"/>
                <w:b/>
                <w:bCs/>
                <w:kern w:val="10"/>
                <w:sz w:val="21"/>
                <w:szCs w:val="21"/>
              </w:rPr>
              <w:t>30</w:t>
            </w:r>
            <w:r>
              <w:rPr>
                <w:rFonts w:ascii="Times New Roman" w:hAnsi="Times New Roman" w:cs="Times New Roman" w:hint="eastAsia"/>
                <w:b/>
                <w:bCs/>
                <w:kern w:val="10"/>
                <w:sz w:val="21"/>
                <w:szCs w:val="21"/>
              </w:rPr>
              <w:t>日</w:t>
            </w:r>
          </w:p>
        </w:tc>
        <w:tc>
          <w:tcPr>
            <w:tcW w:w="1861" w:type="dxa"/>
            <w:gridSpan w:val="2"/>
            <w:vAlign w:val="center"/>
          </w:tcPr>
          <w:p w14:paraId="3BA9E115" w14:textId="77777777" w:rsidR="00DE1B44" w:rsidRDefault="00D40582">
            <w:pPr>
              <w:suppressAutoHyphens/>
              <w:spacing w:beforeLines="0" w:before="0" w:line="240" w:lineRule="auto"/>
              <w:ind w:firstLineChars="0" w:firstLine="0"/>
              <w:jc w:val="center"/>
              <w:rPr>
                <w:rFonts w:ascii="Times New Roman" w:hAnsi="Times New Roman" w:cs="Times New Roman"/>
                <w:b/>
                <w:bCs/>
                <w:kern w:val="10"/>
                <w:sz w:val="21"/>
                <w:szCs w:val="21"/>
              </w:rPr>
            </w:pPr>
            <w:r>
              <w:rPr>
                <w:rFonts w:ascii="Times New Roman" w:hAnsi="Times New Roman" w:cs="Times New Roman"/>
                <w:b/>
                <w:bCs/>
                <w:kern w:val="10"/>
                <w:sz w:val="21"/>
                <w:szCs w:val="21"/>
              </w:rPr>
              <w:t>2020</w:t>
            </w:r>
            <w:r>
              <w:rPr>
                <w:rFonts w:ascii="Times New Roman" w:hAnsi="Times New Roman" w:cs="Times New Roman"/>
                <w:b/>
                <w:bCs/>
                <w:kern w:val="10"/>
                <w:sz w:val="21"/>
                <w:szCs w:val="21"/>
              </w:rPr>
              <w:t>年</w:t>
            </w:r>
            <w:r>
              <w:rPr>
                <w:rFonts w:ascii="Times New Roman" w:hAnsi="Times New Roman" w:cs="Times New Roman" w:hint="eastAsia"/>
                <w:b/>
                <w:bCs/>
                <w:kern w:val="10"/>
                <w:sz w:val="21"/>
                <w:szCs w:val="21"/>
              </w:rPr>
              <w:t>1</w:t>
            </w:r>
            <w:r>
              <w:rPr>
                <w:rFonts w:ascii="Times New Roman" w:hAnsi="Times New Roman" w:cs="Times New Roman"/>
                <w:b/>
                <w:bCs/>
                <w:kern w:val="10"/>
                <w:sz w:val="21"/>
                <w:szCs w:val="21"/>
              </w:rPr>
              <w:t>2</w:t>
            </w:r>
            <w:r>
              <w:rPr>
                <w:rFonts w:ascii="Times New Roman" w:hAnsi="Times New Roman" w:cs="Times New Roman" w:hint="eastAsia"/>
                <w:b/>
                <w:bCs/>
                <w:kern w:val="10"/>
                <w:sz w:val="21"/>
                <w:szCs w:val="21"/>
              </w:rPr>
              <w:t>月</w:t>
            </w:r>
            <w:r>
              <w:rPr>
                <w:rFonts w:ascii="Times New Roman" w:hAnsi="Times New Roman" w:cs="Times New Roman" w:hint="eastAsia"/>
                <w:b/>
                <w:bCs/>
                <w:kern w:val="10"/>
                <w:sz w:val="21"/>
                <w:szCs w:val="21"/>
              </w:rPr>
              <w:t>3</w:t>
            </w:r>
            <w:r>
              <w:rPr>
                <w:rFonts w:ascii="Times New Roman" w:hAnsi="Times New Roman" w:cs="Times New Roman"/>
                <w:b/>
                <w:bCs/>
                <w:kern w:val="10"/>
                <w:sz w:val="21"/>
                <w:szCs w:val="21"/>
              </w:rPr>
              <w:t>1</w:t>
            </w:r>
            <w:r>
              <w:rPr>
                <w:rFonts w:ascii="Times New Roman" w:hAnsi="Times New Roman" w:cs="Times New Roman" w:hint="eastAsia"/>
                <w:b/>
                <w:bCs/>
                <w:kern w:val="10"/>
                <w:sz w:val="21"/>
                <w:szCs w:val="21"/>
              </w:rPr>
              <w:t>日</w:t>
            </w:r>
          </w:p>
        </w:tc>
        <w:tc>
          <w:tcPr>
            <w:tcW w:w="1858" w:type="dxa"/>
            <w:gridSpan w:val="2"/>
            <w:vAlign w:val="center"/>
          </w:tcPr>
          <w:p w14:paraId="7F2CC1EF" w14:textId="77777777" w:rsidR="00DE1B44" w:rsidRDefault="00D40582">
            <w:pPr>
              <w:suppressAutoHyphens/>
              <w:spacing w:beforeLines="0" w:before="0" w:line="240" w:lineRule="auto"/>
              <w:ind w:firstLineChars="0" w:firstLine="0"/>
              <w:jc w:val="center"/>
              <w:rPr>
                <w:rFonts w:ascii="Times New Roman" w:hAnsi="Times New Roman" w:cs="Times New Roman"/>
                <w:b/>
                <w:bCs/>
                <w:kern w:val="10"/>
                <w:sz w:val="21"/>
                <w:szCs w:val="21"/>
              </w:rPr>
            </w:pPr>
            <w:r>
              <w:rPr>
                <w:rFonts w:ascii="Times New Roman" w:hAnsi="Times New Roman" w:cs="Times New Roman"/>
                <w:b/>
                <w:bCs/>
                <w:kern w:val="10"/>
                <w:sz w:val="21"/>
                <w:szCs w:val="21"/>
              </w:rPr>
              <w:t>2019</w:t>
            </w:r>
            <w:r>
              <w:rPr>
                <w:rFonts w:ascii="Times New Roman" w:hAnsi="Times New Roman" w:cs="Times New Roman"/>
                <w:b/>
                <w:bCs/>
                <w:kern w:val="10"/>
                <w:sz w:val="21"/>
                <w:szCs w:val="21"/>
              </w:rPr>
              <w:t>年</w:t>
            </w:r>
            <w:r>
              <w:rPr>
                <w:rFonts w:ascii="Times New Roman" w:hAnsi="Times New Roman" w:cs="Times New Roman" w:hint="eastAsia"/>
                <w:b/>
                <w:bCs/>
                <w:kern w:val="10"/>
                <w:sz w:val="21"/>
                <w:szCs w:val="21"/>
              </w:rPr>
              <w:t>1</w:t>
            </w:r>
            <w:r>
              <w:rPr>
                <w:rFonts w:ascii="Times New Roman" w:hAnsi="Times New Roman" w:cs="Times New Roman"/>
                <w:b/>
                <w:bCs/>
                <w:kern w:val="10"/>
                <w:sz w:val="21"/>
                <w:szCs w:val="21"/>
              </w:rPr>
              <w:t>2</w:t>
            </w:r>
            <w:r>
              <w:rPr>
                <w:rFonts w:ascii="Times New Roman" w:hAnsi="Times New Roman" w:cs="Times New Roman" w:hint="eastAsia"/>
                <w:b/>
                <w:bCs/>
                <w:kern w:val="10"/>
                <w:sz w:val="21"/>
                <w:szCs w:val="21"/>
              </w:rPr>
              <w:t>月</w:t>
            </w:r>
            <w:r>
              <w:rPr>
                <w:rFonts w:ascii="Times New Roman" w:hAnsi="Times New Roman" w:cs="Times New Roman" w:hint="eastAsia"/>
                <w:b/>
                <w:bCs/>
                <w:kern w:val="10"/>
                <w:sz w:val="21"/>
                <w:szCs w:val="21"/>
              </w:rPr>
              <w:t>3</w:t>
            </w:r>
            <w:r>
              <w:rPr>
                <w:rFonts w:ascii="Times New Roman" w:hAnsi="Times New Roman" w:cs="Times New Roman"/>
                <w:b/>
                <w:bCs/>
                <w:kern w:val="10"/>
                <w:sz w:val="21"/>
                <w:szCs w:val="21"/>
              </w:rPr>
              <w:t>1</w:t>
            </w:r>
            <w:r>
              <w:rPr>
                <w:rFonts w:ascii="Times New Roman" w:hAnsi="Times New Roman" w:cs="Times New Roman" w:hint="eastAsia"/>
                <w:b/>
                <w:bCs/>
                <w:kern w:val="10"/>
                <w:sz w:val="21"/>
                <w:szCs w:val="21"/>
              </w:rPr>
              <w:t>日</w:t>
            </w:r>
          </w:p>
        </w:tc>
      </w:tr>
      <w:tr w:rsidR="00DE1B44" w14:paraId="01D7570E" w14:textId="77777777">
        <w:trPr>
          <w:trHeight w:val="300"/>
          <w:tblHeader/>
        </w:trPr>
        <w:tc>
          <w:tcPr>
            <w:tcW w:w="3437" w:type="dxa"/>
            <w:vMerge/>
            <w:vAlign w:val="center"/>
          </w:tcPr>
          <w:p w14:paraId="1EB55130" w14:textId="77777777" w:rsidR="00DE1B44" w:rsidRDefault="00DE1B44">
            <w:pPr>
              <w:suppressAutoHyphens/>
              <w:spacing w:beforeLines="0" w:before="0" w:line="240" w:lineRule="auto"/>
              <w:ind w:firstLineChars="0" w:firstLine="0"/>
              <w:jc w:val="center"/>
              <w:rPr>
                <w:rFonts w:ascii="Times New Roman" w:hAnsi="Times New Roman" w:cs="Times New Roman"/>
                <w:b/>
                <w:bCs/>
                <w:kern w:val="10"/>
                <w:sz w:val="21"/>
                <w:szCs w:val="21"/>
              </w:rPr>
            </w:pPr>
          </w:p>
        </w:tc>
        <w:tc>
          <w:tcPr>
            <w:tcW w:w="930" w:type="dxa"/>
            <w:vAlign w:val="center"/>
          </w:tcPr>
          <w:p w14:paraId="2CF868B1" w14:textId="77777777" w:rsidR="00DE1B44" w:rsidRDefault="00D40582">
            <w:pPr>
              <w:suppressAutoHyphens/>
              <w:spacing w:beforeLines="0" w:before="0" w:line="240" w:lineRule="auto"/>
              <w:ind w:firstLineChars="0" w:firstLine="0"/>
              <w:jc w:val="center"/>
              <w:rPr>
                <w:rFonts w:ascii="Times New Roman" w:hAnsi="Times New Roman" w:cs="Times New Roman"/>
                <w:b/>
                <w:bCs/>
                <w:kern w:val="10"/>
                <w:sz w:val="21"/>
                <w:szCs w:val="21"/>
              </w:rPr>
            </w:pPr>
            <w:r>
              <w:rPr>
                <w:rFonts w:ascii="Times New Roman" w:hAnsi="Times New Roman" w:cs="Times New Roman"/>
                <w:b/>
                <w:bCs/>
                <w:kern w:val="10"/>
                <w:sz w:val="21"/>
                <w:szCs w:val="21"/>
              </w:rPr>
              <w:t>金额</w:t>
            </w:r>
          </w:p>
        </w:tc>
        <w:tc>
          <w:tcPr>
            <w:tcW w:w="930" w:type="dxa"/>
            <w:vAlign w:val="center"/>
          </w:tcPr>
          <w:p w14:paraId="50D5285D" w14:textId="77777777" w:rsidR="00DE1B44" w:rsidRDefault="00D40582">
            <w:pPr>
              <w:suppressAutoHyphens/>
              <w:spacing w:beforeLines="0" w:before="0" w:line="240" w:lineRule="auto"/>
              <w:ind w:firstLineChars="0" w:firstLine="0"/>
              <w:jc w:val="center"/>
              <w:rPr>
                <w:rFonts w:ascii="Times New Roman" w:hAnsi="Times New Roman" w:cs="Times New Roman"/>
                <w:b/>
                <w:bCs/>
                <w:kern w:val="10"/>
                <w:sz w:val="21"/>
                <w:szCs w:val="21"/>
              </w:rPr>
            </w:pPr>
            <w:r>
              <w:rPr>
                <w:rFonts w:ascii="Times New Roman" w:hAnsi="Times New Roman" w:cs="Times New Roman"/>
                <w:b/>
                <w:bCs/>
                <w:kern w:val="10"/>
                <w:sz w:val="21"/>
                <w:szCs w:val="21"/>
              </w:rPr>
              <w:t>占比</w:t>
            </w:r>
          </w:p>
        </w:tc>
        <w:tc>
          <w:tcPr>
            <w:tcW w:w="929" w:type="dxa"/>
            <w:vAlign w:val="center"/>
          </w:tcPr>
          <w:p w14:paraId="1C7A5E5D" w14:textId="77777777" w:rsidR="00DE1B44" w:rsidRDefault="00D40582">
            <w:pPr>
              <w:suppressAutoHyphens/>
              <w:spacing w:beforeLines="0" w:before="0" w:line="240" w:lineRule="auto"/>
              <w:ind w:firstLineChars="0" w:firstLine="0"/>
              <w:jc w:val="center"/>
              <w:rPr>
                <w:rFonts w:ascii="Times New Roman" w:hAnsi="Times New Roman" w:cs="Times New Roman"/>
                <w:b/>
                <w:bCs/>
                <w:kern w:val="10"/>
                <w:sz w:val="21"/>
                <w:szCs w:val="21"/>
              </w:rPr>
            </w:pPr>
            <w:r>
              <w:rPr>
                <w:rFonts w:ascii="Times New Roman" w:hAnsi="Times New Roman" w:cs="Times New Roman"/>
                <w:b/>
                <w:bCs/>
                <w:kern w:val="10"/>
                <w:sz w:val="21"/>
                <w:szCs w:val="21"/>
              </w:rPr>
              <w:t>金额</w:t>
            </w:r>
          </w:p>
        </w:tc>
        <w:tc>
          <w:tcPr>
            <w:tcW w:w="932" w:type="dxa"/>
            <w:vAlign w:val="center"/>
          </w:tcPr>
          <w:p w14:paraId="1D82E2D0" w14:textId="77777777" w:rsidR="00DE1B44" w:rsidRDefault="00D40582">
            <w:pPr>
              <w:suppressAutoHyphens/>
              <w:spacing w:beforeLines="0" w:before="0" w:line="240" w:lineRule="auto"/>
              <w:ind w:firstLineChars="0" w:firstLine="0"/>
              <w:jc w:val="center"/>
              <w:rPr>
                <w:rFonts w:ascii="Times New Roman" w:hAnsi="Times New Roman" w:cs="Times New Roman"/>
                <w:b/>
                <w:bCs/>
                <w:kern w:val="10"/>
                <w:sz w:val="21"/>
                <w:szCs w:val="21"/>
              </w:rPr>
            </w:pPr>
            <w:r>
              <w:rPr>
                <w:rFonts w:ascii="Times New Roman" w:hAnsi="Times New Roman" w:cs="Times New Roman"/>
                <w:b/>
                <w:bCs/>
                <w:kern w:val="10"/>
                <w:sz w:val="21"/>
                <w:szCs w:val="21"/>
              </w:rPr>
              <w:t>占比</w:t>
            </w:r>
          </w:p>
        </w:tc>
        <w:tc>
          <w:tcPr>
            <w:tcW w:w="929" w:type="dxa"/>
            <w:vAlign w:val="center"/>
          </w:tcPr>
          <w:p w14:paraId="414414E9" w14:textId="77777777" w:rsidR="00DE1B44" w:rsidRDefault="00D40582">
            <w:pPr>
              <w:suppressAutoHyphens/>
              <w:spacing w:beforeLines="0" w:before="0" w:line="240" w:lineRule="auto"/>
              <w:ind w:firstLineChars="0" w:firstLine="0"/>
              <w:jc w:val="center"/>
              <w:rPr>
                <w:rFonts w:ascii="Times New Roman" w:hAnsi="Times New Roman" w:cs="Times New Roman"/>
                <w:b/>
                <w:bCs/>
                <w:kern w:val="10"/>
                <w:sz w:val="21"/>
                <w:szCs w:val="21"/>
              </w:rPr>
            </w:pPr>
            <w:r>
              <w:rPr>
                <w:rFonts w:ascii="Times New Roman" w:hAnsi="Times New Roman" w:cs="Times New Roman"/>
                <w:b/>
                <w:bCs/>
                <w:kern w:val="10"/>
                <w:sz w:val="21"/>
                <w:szCs w:val="21"/>
              </w:rPr>
              <w:t>金额</w:t>
            </w:r>
          </w:p>
        </w:tc>
        <w:tc>
          <w:tcPr>
            <w:tcW w:w="929" w:type="dxa"/>
            <w:vAlign w:val="center"/>
          </w:tcPr>
          <w:p w14:paraId="6BE31631" w14:textId="77777777" w:rsidR="00DE1B44" w:rsidRDefault="00D40582">
            <w:pPr>
              <w:suppressAutoHyphens/>
              <w:spacing w:beforeLines="0" w:before="0" w:line="240" w:lineRule="auto"/>
              <w:ind w:firstLineChars="0" w:firstLine="0"/>
              <w:jc w:val="center"/>
              <w:rPr>
                <w:rFonts w:ascii="Times New Roman" w:hAnsi="Times New Roman" w:cs="Times New Roman"/>
                <w:b/>
                <w:bCs/>
                <w:kern w:val="10"/>
                <w:sz w:val="21"/>
                <w:szCs w:val="21"/>
              </w:rPr>
            </w:pPr>
            <w:r>
              <w:rPr>
                <w:rFonts w:ascii="Times New Roman" w:hAnsi="Times New Roman" w:cs="Times New Roman"/>
                <w:b/>
                <w:bCs/>
                <w:kern w:val="10"/>
                <w:sz w:val="21"/>
                <w:szCs w:val="21"/>
              </w:rPr>
              <w:t>占比</w:t>
            </w:r>
          </w:p>
        </w:tc>
      </w:tr>
      <w:tr w:rsidR="00DE1B44" w14:paraId="4E23184F" w14:textId="77777777">
        <w:trPr>
          <w:trHeight w:val="300"/>
        </w:trPr>
        <w:tc>
          <w:tcPr>
            <w:tcW w:w="3437" w:type="dxa"/>
            <w:shd w:val="clear" w:color="auto" w:fill="auto"/>
            <w:noWrap/>
            <w:vAlign w:val="center"/>
          </w:tcPr>
          <w:p w14:paraId="3D33744D" w14:textId="77777777" w:rsidR="00DE1B44" w:rsidRDefault="00D40582">
            <w:pPr>
              <w:suppressAutoHyphens/>
              <w:spacing w:beforeLines="0" w:before="0" w:line="240" w:lineRule="auto"/>
              <w:ind w:firstLineChars="0" w:firstLine="0"/>
              <w:jc w:val="left"/>
              <w:rPr>
                <w:rFonts w:ascii="Times New Roman" w:hAnsi="Times New Roman" w:cs="Times New Roman"/>
                <w:kern w:val="10"/>
                <w:sz w:val="21"/>
                <w:szCs w:val="21"/>
              </w:rPr>
            </w:pPr>
            <w:r>
              <w:rPr>
                <w:rFonts w:ascii="Times New Roman" w:hAnsi="Times New Roman" w:cs="Times New Roman" w:hint="eastAsia"/>
                <w:kern w:val="10"/>
                <w:sz w:val="21"/>
                <w:szCs w:val="21"/>
              </w:rPr>
              <w:t>分类为以公允价值计量且其变动计入当期损益的投资</w:t>
            </w:r>
          </w:p>
        </w:tc>
        <w:tc>
          <w:tcPr>
            <w:tcW w:w="930" w:type="dxa"/>
            <w:shd w:val="clear" w:color="auto" w:fill="auto"/>
            <w:vAlign w:val="center"/>
          </w:tcPr>
          <w:p w14:paraId="7A017B00"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145,543</w:t>
            </w:r>
          </w:p>
        </w:tc>
        <w:tc>
          <w:tcPr>
            <w:tcW w:w="930" w:type="dxa"/>
            <w:shd w:val="clear" w:color="auto" w:fill="auto"/>
            <w:vAlign w:val="center"/>
          </w:tcPr>
          <w:p w14:paraId="25D8955B"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100.00%</w:t>
            </w:r>
          </w:p>
        </w:tc>
        <w:tc>
          <w:tcPr>
            <w:tcW w:w="929" w:type="dxa"/>
            <w:vAlign w:val="center"/>
          </w:tcPr>
          <w:p w14:paraId="00E67C55"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146,100</w:t>
            </w:r>
          </w:p>
        </w:tc>
        <w:tc>
          <w:tcPr>
            <w:tcW w:w="932" w:type="dxa"/>
            <w:vAlign w:val="center"/>
          </w:tcPr>
          <w:p w14:paraId="253C8C2B" w14:textId="77777777" w:rsidR="00DE1B44" w:rsidRDefault="00D40582">
            <w:pPr>
              <w:suppressAutoHyphens/>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99.52%</w:t>
            </w:r>
          </w:p>
        </w:tc>
        <w:tc>
          <w:tcPr>
            <w:tcW w:w="929" w:type="dxa"/>
            <w:vAlign w:val="center"/>
          </w:tcPr>
          <w:p w14:paraId="1EDA057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128,612</w:t>
            </w:r>
          </w:p>
        </w:tc>
        <w:tc>
          <w:tcPr>
            <w:tcW w:w="929" w:type="dxa"/>
            <w:vAlign w:val="center"/>
          </w:tcPr>
          <w:p w14:paraId="2D0FB1C2" w14:textId="77777777" w:rsidR="00DE1B44" w:rsidRDefault="00D40582">
            <w:pPr>
              <w:suppressAutoHyphens/>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99.46%</w:t>
            </w:r>
          </w:p>
        </w:tc>
      </w:tr>
      <w:tr w:rsidR="00DE1B44" w14:paraId="63EBFED3" w14:textId="77777777">
        <w:trPr>
          <w:trHeight w:val="300"/>
        </w:trPr>
        <w:tc>
          <w:tcPr>
            <w:tcW w:w="3437" w:type="dxa"/>
            <w:shd w:val="clear" w:color="auto" w:fill="auto"/>
            <w:noWrap/>
            <w:vAlign w:val="center"/>
          </w:tcPr>
          <w:p w14:paraId="33687311" w14:textId="77777777" w:rsidR="00DE1B44" w:rsidRDefault="00D40582">
            <w:pPr>
              <w:suppressAutoHyphens/>
              <w:spacing w:beforeLines="0" w:before="0" w:line="240" w:lineRule="auto"/>
              <w:ind w:firstLineChars="0" w:firstLine="0"/>
              <w:jc w:val="left"/>
              <w:rPr>
                <w:rFonts w:ascii="Times New Roman" w:hAnsi="Times New Roman" w:cs="Times New Roman"/>
                <w:kern w:val="10"/>
                <w:sz w:val="21"/>
                <w:szCs w:val="21"/>
              </w:rPr>
            </w:pPr>
            <w:r>
              <w:rPr>
                <w:rFonts w:ascii="Times New Roman" w:hAnsi="Times New Roman" w:cs="Times New Roman"/>
                <w:kern w:val="10"/>
                <w:sz w:val="21"/>
                <w:szCs w:val="21"/>
              </w:rPr>
              <w:t>-</w:t>
            </w:r>
            <w:r>
              <w:rPr>
                <w:rFonts w:ascii="Times New Roman" w:hAnsi="Times New Roman" w:cs="Times New Roman" w:hint="eastAsia"/>
                <w:kern w:val="10"/>
                <w:sz w:val="21"/>
                <w:szCs w:val="21"/>
              </w:rPr>
              <w:t>非上市债券投资</w:t>
            </w:r>
          </w:p>
        </w:tc>
        <w:tc>
          <w:tcPr>
            <w:tcW w:w="930" w:type="dxa"/>
            <w:shd w:val="clear" w:color="auto" w:fill="auto"/>
            <w:vAlign w:val="center"/>
          </w:tcPr>
          <w:p w14:paraId="49132599"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29,749</w:t>
            </w:r>
          </w:p>
        </w:tc>
        <w:tc>
          <w:tcPr>
            <w:tcW w:w="930" w:type="dxa"/>
            <w:shd w:val="clear" w:color="auto" w:fill="auto"/>
            <w:vAlign w:val="center"/>
          </w:tcPr>
          <w:p w14:paraId="7E9630ED"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20.44%</w:t>
            </w:r>
          </w:p>
        </w:tc>
        <w:tc>
          <w:tcPr>
            <w:tcW w:w="929" w:type="dxa"/>
            <w:vAlign w:val="center"/>
          </w:tcPr>
          <w:p w14:paraId="62DFE5D6"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33,386</w:t>
            </w:r>
          </w:p>
        </w:tc>
        <w:tc>
          <w:tcPr>
            <w:tcW w:w="932" w:type="dxa"/>
            <w:vAlign w:val="center"/>
          </w:tcPr>
          <w:p w14:paraId="428138C1" w14:textId="77777777" w:rsidR="00DE1B44" w:rsidRDefault="00D40582">
            <w:pPr>
              <w:suppressAutoHyphens/>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22.74%</w:t>
            </w:r>
          </w:p>
        </w:tc>
        <w:tc>
          <w:tcPr>
            <w:tcW w:w="929" w:type="dxa"/>
            <w:vAlign w:val="center"/>
          </w:tcPr>
          <w:p w14:paraId="726B212C"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18,011</w:t>
            </w:r>
          </w:p>
        </w:tc>
        <w:tc>
          <w:tcPr>
            <w:tcW w:w="929" w:type="dxa"/>
            <w:vAlign w:val="center"/>
          </w:tcPr>
          <w:p w14:paraId="12E485C1" w14:textId="77777777" w:rsidR="00DE1B44" w:rsidRDefault="00D40582">
            <w:pPr>
              <w:suppressAutoHyphens/>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sz w:val="21"/>
                <w:szCs w:val="21"/>
              </w:rPr>
              <w:t>13.93%</w:t>
            </w:r>
          </w:p>
        </w:tc>
      </w:tr>
      <w:tr w:rsidR="00DE1B44" w14:paraId="29DCEC4A" w14:textId="77777777">
        <w:trPr>
          <w:trHeight w:val="300"/>
        </w:trPr>
        <w:tc>
          <w:tcPr>
            <w:tcW w:w="3437" w:type="dxa"/>
            <w:shd w:val="clear" w:color="auto" w:fill="auto"/>
            <w:noWrap/>
            <w:vAlign w:val="center"/>
          </w:tcPr>
          <w:p w14:paraId="6F9BC9F4" w14:textId="77777777" w:rsidR="00DE1B44" w:rsidRDefault="00D40582">
            <w:pPr>
              <w:suppressAutoHyphens/>
              <w:spacing w:beforeLines="0" w:before="0" w:line="240" w:lineRule="auto"/>
              <w:ind w:firstLineChars="0" w:firstLine="0"/>
              <w:jc w:val="left"/>
              <w:rPr>
                <w:rFonts w:ascii="Times New Roman" w:hAnsi="Times New Roman" w:cs="Times New Roman"/>
                <w:b/>
                <w:kern w:val="10"/>
                <w:sz w:val="21"/>
                <w:szCs w:val="21"/>
              </w:rPr>
            </w:pPr>
            <w:r>
              <w:rPr>
                <w:rFonts w:ascii="Times New Roman" w:hAnsi="Times New Roman" w:cs="Times New Roman" w:hint="eastAsia"/>
                <w:kern w:val="10"/>
                <w:sz w:val="21"/>
                <w:szCs w:val="21"/>
              </w:rPr>
              <w:t>其中：</w:t>
            </w:r>
            <w:r>
              <w:rPr>
                <w:rFonts w:ascii="Times New Roman" w:hAnsi="Times New Roman" w:cs="Times New Roman"/>
                <w:kern w:val="10"/>
                <w:sz w:val="21"/>
                <w:szCs w:val="21"/>
              </w:rPr>
              <w:t>政府债券</w:t>
            </w:r>
          </w:p>
        </w:tc>
        <w:tc>
          <w:tcPr>
            <w:tcW w:w="930" w:type="dxa"/>
            <w:shd w:val="clear" w:color="auto" w:fill="auto"/>
            <w:vAlign w:val="center"/>
          </w:tcPr>
          <w:p w14:paraId="469F85A9"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3,770</w:t>
            </w:r>
          </w:p>
        </w:tc>
        <w:tc>
          <w:tcPr>
            <w:tcW w:w="930" w:type="dxa"/>
            <w:shd w:val="clear" w:color="auto" w:fill="auto"/>
            <w:vAlign w:val="center"/>
          </w:tcPr>
          <w:p w14:paraId="70D76D26"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2.59%</w:t>
            </w:r>
          </w:p>
        </w:tc>
        <w:tc>
          <w:tcPr>
            <w:tcW w:w="929" w:type="dxa"/>
            <w:vAlign w:val="center"/>
          </w:tcPr>
          <w:p w14:paraId="138332F5"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3,763</w:t>
            </w:r>
          </w:p>
        </w:tc>
        <w:tc>
          <w:tcPr>
            <w:tcW w:w="932" w:type="dxa"/>
            <w:vAlign w:val="center"/>
          </w:tcPr>
          <w:p w14:paraId="2B46A710" w14:textId="77777777" w:rsidR="00DE1B44" w:rsidRDefault="00D40582">
            <w:pPr>
              <w:suppressAutoHyphens/>
              <w:spacing w:beforeLines="0" w:before="0" w:line="240" w:lineRule="auto"/>
              <w:ind w:firstLineChars="0" w:firstLine="0"/>
              <w:jc w:val="right"/>
              <w:rPr>
                <w:rFonts w:ascii="Times New Roman" w:hAnsi="Times New Roman" w:cs="Times New Roman"/>
                <w:kern w:val="10"/>
                <w:sz w:val="21"/>
                <w:szCs w:val="21"/>
              </w:rPr>
            </w:pPr>
            <w:r>
              <w:rPr>
                <w:rFonts w:ascii="Times New Roman" w:hAnsi="Times New Roman" w:cs="Times New Roman"/>
                <w:sz w:val="21"/>
                <w:szCs w:val="21"/>
              </w:rPr>
              <w:t>2.56%</w:t>
            </w:r>
          </w:p>
        </w:tc>
        <w:tc>
          <w:tcPr>
            <w:tcW w:w="929" w:type="dxa"/>
            <w:vAlign w:val="center"/>
          </w:tcPr>
          <w:p w14:paraId="5083E44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359</w:t>
            </w:r>
          </w:p>
        </w:tc>
        <w:tc>
          <w:tcPr>
            <w:tcW w:w="929" w:type="dxa"/>
            <w:vAlign w:val="center"/>
          </w:tcPr>
          <w:p w14:paraId="6ED98554" w14:textId="77777777" w:rsidR="00DE1B44" w:rsidRDefault="00D40582">
            <w:pPr>
              <w:suppressAutoHyphens/>
              <w:spacing w:beforeLines="0" w:before="0" w:line="240" w:lineRule="auto"/>
              <w:ind w:firstLineChars="0" w:firstLine="0"/>
              <w:jc w:val="right"/>
              <w:rPr>
                <w:rFonts w:ascii="Times New Roman" w:hAnsi="Times New Roman" w:cs="Times New Roman"/>
                <w:kern w:val="10"/>
                <w:sz w:val="21"/>
                <w:szCs w:val="21"/>
              </w:rPr>
            </w:pPr>
            <w:r>
              <w:rPr>
                <w:rFonts w:ascii="Times New Roman" w:hAnsi="Times New Roman" w:cs="Times New Roman"/>
                <w:sz w:val="21"/>
                <w:szCs w:val="21"/>
              </w:rPr>
              <w:t>0.28%</w:t>
            </w:r>
          </w:p>
        </w:tc>
      </w:tr>
      <w:tr w:rsidR="00DE1B44" w14:paraId="4A9680CF" w14:textId="77777777">
        <w:trPr>
          <w:trHeight w:val="300"/>
        </w:trPr>
        <w:tc>
          <w:tcPr>
            <w:tcW w:w="3437" w:type="dxa"/>
            <w:shd w:val="clear" w:color="auto" w:fill="auto"/>
            <w:noWrap/>
            <w:vAlign w:val="center"/>
          </w:tcPr>
          <w:p w14:paraId="1B61A7A1" w14:textId="77777777" w:rsidR="00DE1B44" w:rsidRDefault="00D40582">
            <w:pPr>
              <w:suppressAutoHyphens/>
              <w:spacing w:beforeLines="0" w:before="0" w:line="240" w:lineRule="auto"/>
              <w:ind w:firstLineChars="300" w:firstLine="630"/>
              <w:jc w:val="left"/>
              <w:rPr>
                <w:rFonts w:ascii="Times New Roman" w:hAnsi="Times New Roman" w:cs="Times New Roman"/>
                <w:b/>
                <w:kern w:val="10"/>
                <w:sz w:val="21"/>
                <w:szCs w:val="21"/>
              </w:rPr>
            </w:pPr>
            <w:r>
              <w:rPr>
                <w:rFonts w:ascii="Times New Roman" w:hAnsi="Times New Roman" w:cs="Times New Roman"/>
                <w:kern w:val="10"/>
                <w:sz w:val="21"/>
                <w:szCs w:val="21"/>
              </w:rPr>
              <w:t>政策性</w:t>
            </w:r>
            <w:r>
              <w:rPr>
                <w:rFonts w:ascii="Times New Roman" w:hAnsi="Times New Roman" w:cs="Times New Roman" w:hint="eastAsia"/>
                <w:kern w:val="10"/>
                <w:sz w:val="21"/>
                <w:szCs w:val="21"/>
              </w:rPr>
              <w:t>银行</w:t>
            </w:r>
            <w:r>
              <w:rPr>
                <w:rFonts w:ascii="Times New Roman" w:hAnsi="Times New Roman" w:cs="Times New Roman"/>
                <w:kern w:val="10"/>
                <w:sz w:val="21"/>
                <w:szCs w:val="21"/>
              </w:rPr>
              <w:t>债券</w:t>
            </w:r>
          </w:p>
        </w:tc>
        <w:tc>
          <w:tcPr>
            <w:tcW w:w="930" w:type="dxa"/>
            <w:shd w:val="clear" w:color="auto" w:fill="auto"/>
            <w:vAlign w:val="center"/>
          </w:tcPr>
          <w:p w14:paraId="0C688FAD"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4,066</w:t>
            </w:r>
          </w:p>
        </w:tc>
        <w:tc>
          <w:tcPr>
            <w:tcW w:w="930" w:type="dxa"/>
            <w:shd w:val="clear" w:color="auto" w:fill="auto"/>
            <w:vAlign w:val="center"/>
          </w:tcPr>
          <w:p w14:paraId="225C9E91"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2.79%</w:t>
            </w:r>
          </w:p>
        </w:tc>
        <w:tc>
          <w:tcPr>
            <w:tcW w:w="929" w:type="dxa"/>
            <w:vAlign w:val="center"/>
          </w:tcPr>
          <w:p w14:paraId="563BD56D"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4,891</w:t>
            </w:r>
          </w:p>
        </w:tc>
        <w:tc>
          <w:tcPr>
            <w:tcW w:w="932" w:type="dxa"/>
            <w:vAlign w:val="center"/>
          </w:tcPr>
          <w:p w14:paraId="50778BA4" w14:textId="77777777" w:rsidR="00DE1B44" w:rsidRDefault="00D40582">
            <w:pPr>
              <w:suppressAutoHyphens/>
              <w:spacing w:beforeLines="0" w:before="0" w:line="240" w:lineRule="auto"/>
              <w:ind w:firstLineChars="0" w:firstLine="0"/>
              <w:jc w:val="right"/>
              <w:rPr>
                <w:rFonts w:ascii="Times New Roman" w:hAnsi="Times New Roman" w:cs="Times New Roman"/>
                <w:kern w:val="10"/>
                <w:sz w:val="21"/>
                <w:szCs w:val="21"/>
              </w:rPr>
            </w:pPr>
            <w:r>
              <w:rPr>
                <w:rFonts w:ascii="Times New Roman" w:hAnsi="Times New Roman" w:cs="Times New Roman"/>
                <w:sz w:val="21"/>
                <w:szCs w:val="21"/>
              </w:rPr>
              <w:t>3.33%</w:t>
            </w:r>
          </w:p>
        </w:tc>
        <w:tc>
          <w:tcPr>
            <w:tcW w:w="929" w:type="dxa"/>
            <w:vAlign w:val="center"/>
          </w:tcPr>
          <w:p w14:paraId="1534F2A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3,159</w:t>
            </w:r>
          </w:p>
        </w:tc>
        <w:tc>
          <w:tcPr>
            <w:tcW w:w="929" w:type="dxa"/>
            <w:vAlign w:val="center"/>
          </w:tcPr>
          <w:p w14:paraId="2B4D2BCF" w14:textId="77777777" w:rsidR="00DE1B44" w:rsidRDefault="00D40582">
            <w:pPr>
              <w:suppressAutoHyphens/>
              <w:spacing w:beforeLines="0" w:before="0" w:line="240" w:lineRule="auto"/>
              <w:ind w:firstLineChars="0" w:firstLine="0"/>
              <w:jc w:val="right"/>
              <w:rPr>
                <w:rFonts w:ascii="Times New Roman" w:hAnsi="Times New Roman" w:cs="Times New Roman"/>
                <w:kern w:val="10"/>
                <w:sz w:val="21"/>
                <w:szCs w:val="21"/>
              </w:rPr>
            </w:pPr>
            <w:r>
              <w:rPr>
                <w:rFonts w:ascii="Times New Roman" w:hAnsi="Times New Roman" w:cs="Times New Roman"/>
                <w:sz w:val="21"/>
                <w:szCs w:val="21"/>
              </w:rPr>
              <w:t>2.44%</w:t>
            </w:r>
          </w:p>
        </w:tc>
      </w:tr>
      <w:tr w:rsidR="00DE1B44" w14:paraId="5DEFAF4E" w14:textId="77777777">
        <w:trPr>
          <w:trHeight w:val="300"/>
        </w:trPr>
        <w:tc>
          <w:tcPr>
            <w:tcW w:w="3437" w:type="dxa"/>
            <w:shd w:val="clear" w:color="auto" w:fill="auto"/>
            <w:noWrap/>
            <w:vAlign w:val="center"/>
          </w:tcPr>
          <w:p w14:paraId="0AD87286" w14:textId="77777777" w:rsidR="00DE1B44" w:rsidRDefault="00D40582">
            <w:pPr>
              <w:suppressAutoHyphens/>
              <w:spacing w:beforeLines="0" w:before="0" w:line="240" w:lineRule="auto"/>
              <w:ind w:firstLineChars="300" w:firstLine="630"/>
              <w:jc w:val="left"/>
              <w:rPr>
                <w:rFonts w:ascii="Times New Roman" w:hAnsi="Times New Roman" w:cs="Times New Roman"/>
                <w:b/>
                <w:kern w:val="10"/>
                <w:sz w:val="21"/>
                <w:szCs w:val="21"/>
              </w:rPr>
            </w:pPr>
            <w:r>
              <w:rPr>
                <w:rFonts w:ascii="Times New Roman" w:hAnsi="Times New Roman" w:cs="Times New Roman" w:hint="eastAsia"/>
                <w:kern w:val="10"/>
                <w:sz w:val="21"/>
                <w:szCs w:val="21"/>
              </w:rPr>
              <w:t>银行同业及其他金融机构债券</w:t>
            </w:r>
          </w:p>
        </w:tc>
        <w:tc>
          <w:tcPr>
            <w:tcW w:w="930" w:type="dxa"/>
            <w:shd w:val="clear" w:color="auto" w:fill="auto"/>
            <w:vAlign w:val="center"/>
          </w:tcPr>
          <w:p w14:paraId="2CAE32AE"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10,647</w:t>
            </w:r>
          </w:p>
        </w:tc>
        <w:tc>
          <w:tcPr>
            <w:tcW w:w="930" w:type="dxa"/>
            <w:shd w:val="clear" w:color="auto" w:fill="auto"/>
            <w:vAlign w:val="center"/>
          </w:tcPr>
          <w:p w14:paraId="31DB194D"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7.32%</w:t>
            </w:r>
          </w:p>
        </w:tc>
        <w:tc>
          <w:tcPr>
            <w:tcW w:w="929" w:type="dxa"/>
            <w:vAlign w:val="center"/>
          </w:tcPr>
          <w:p w14:paraId="3D665B8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16,907</w:t>
            </w:r>
          </w:p>
        </w:tc>
        <w:tc>
          <w:tcPr>
            <w:tcW w:w="932" w:type="dxa"/>
            <w:vAlign w:val="center"/>
          </w:tcPr>
          <w:p w14:paraId="1AD1A7CE" w14:textId="77777777" w:rsidR="00DE1B44" w:rsidRDefault="00D40582">
            <w:pPr>
              <w:suppressAutoHyphens/>
              <w:spacing w:beforeLines="0" w:before="0" w:line="240" w:lineRule="auto"/>
              <w:ind w:firstLineChars="0" w:firstLine="0"/>
              <w:jc w:val="right"/>
              <w:rPr>
                <w:rFonts w:ascii="Times New Roman" w:hAnsi="Times New Roman" w:cs="Times New Roman"/>
                <w:kern w:val="10"/>
                <w:sz w:val="21"/>
                <w:szCs w:val="21"/>
              </w:rPr>
            </w:pPr>
            <w:r>
              <w:rPr>
                <w:rFonts w:ascii="Times New Roman" w:hAnsi="Times New Roman" w:cs="Times New Roman"/>
                <w:sz w:val="21"/>
                <w:szCs w:val="21"/>
              </w:rPr>
              <w:t>11.52%</w:t>
            </w:r>
          </w:p>
        </w:tc>
        <w:tc>
          <w:tcPr>
            <w:tcW w:w="929" w:type="dxa"/>
            <w:vAlign w:val="center"/>
          </w:tcPr>
          <w:p w14:paraId="781F3CE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8,916</w:t>
            </w:r>
          </w:p>
        </w:tc>
        <w:tc>
          <w:tcPr>
            <w:tcW w:w="929" w:type="dxa"/>
            <w:vAlign w:val="center"/>
          </w:tcPr>
          <w:p w14:paraId="61719861" w14:textId="77777777" w:rsidR="00DE1B44" w:rsidRDefault="00D40582">
            <w:pPr>
              <w:suppressAutoHyphens/>
              <w:spacing w:beforeLines="0" w:before="0" w:line="240" w:lineRule="auto"/>
              <w:ind w:firstLineChars="0" w:firstLine="0"/>
              <w:jc w:val="right"/>
              <w:rPr>
                <w:rFonts w:ascii="Times New Roman" w:hAnsi="Times New Roman" w:cs="Times New Roman"/>
                <w:kern w:val="10"/>
                <w:sz w:val="21"/>
                <w:szCs w:val="21"/>
              </w:rPr>
            </w:pPr>
            <w:r>
              <w:rPr>
                <w:rFonts w:ascii="Times New Roman" w:hAnsi="Times New Roman" w:cs="Times New Roman"/>
                <w:sz w:val="21"/>
                <w:szCs w:val="21"/>
              </w:rPr>
              <w:t>6.90%</w:t>
            </w:r>
          </w:p>
        </w:tc>
      </w:tr>
      <w:tr w:rsidR="00DE1B44" w14:paraId="37F501B7" w14:textId="77777777">
        <w:trPr>
          <w:trHeight w:val="300"/>
        </w:trPr>
        <w:tc>
          <w:tcPr>
            <w:tcW w:w="3437" w:type="dxa"/>
            <w:shd w:val="clear" w:color="auto" w:fill="auto"/>
            <w:noWrap/>
            <w:vAlign w:val="center"/>
          </w:tcPr>
          <w:p w14:paraId="4F253D05" w14:textId="77777777" w:rsidR="00DE1B44" w:rsidRDefault="00D40582">
            <w:pPr>
              <w:suppressAutoHyphens/>
              <w:spacing w:beforeLines="0" w:before="0" w:line="240" w:lineRule="auto"/>
              <w:ind w:firstLineChars="300" w:firstLine="630"/>
              <w:jc w:val="left"/>
              <w:rPr>
                <w:rFonts w:ascii="Times New Roman" w:hAnsi="Times New Roman" w:cs="Times New Roman"/>
                <w:b/>
                <w:kern w:val="10"/>
                <w:sz w:val="21"/>
                <w:szCs w:val="21"/>
              </w:rPr>
            </w:pPr>
            <w:r>
              <w:rPr>
                <w:rFonts w:ascii="Times New Roman" w:hAnsi="Times New Roman" w:cs="Times New Roman"/>
                <w:kern w:val="10"/>
                <w:sz w:val="21"/>
                <w:szCs w:val="21"/>
              </w:rPr>
              <w:t>企业债券</w:t>
            </w:r>
          </w:p>
        </w:tc>
        <w:tc>
          <w:tcPr>
            <w:tcW w:w="930" w:type="dxa"/>
            <w:shd w:val="clear" w:color="auto" w:fill="auto"/>
            <w:vAlign w:val="center"/>
          </w:tcPr>
          <w:p w14:paraId="62A2C20E"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11,265</w:t>
            </w:r>
          </w:p>
        </w:tc>
        <w:tc>
          <w:tcPr>
            <w:tcW w:w="930" w:type="dxa"/>
            <w:shd w:val="clear" w:color="auto" w:fill="auto"/>
            <w:vAlign w:val="center"/>
          </w:tcPr>
          <w:p w14:paraId="18FB79BE"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7.74%</w:t>
            </w:r>
          </w:p>
        </w:tc>
        <w:tc>
          <w:tcPr>
            <w:tcW w:w="929" w:type="dxa"/>
            <w:vAlign w:val="center"/>
          </w:tcPr>
          <w:p w14:paraId="027A1BA9"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7,825</w:t>
            </w:r>
          </w:p>
        </w:tc>
        <w:tc>
          <w:tcPr>
            <w:tcW w:w="932" w:type="dxa"/>
            <w:vAlign w:val="center"/>
          </w:tcPr>
          <w:p w14:paraId="2183C743" w14:textId="77777777" w:rsidR="00DE1B44" w:rsidRDefault="00D40582">
            <w:pPr>
              <w:suppressAutoHyphens/>
              <w:spacing w:beforeLines="0" w:before="0" w:line="240" w:lineRule="auto"/>
              <w:ind w:firstLineChars="0" w:firstLine="0"/>
              <w:jc w:val="right"/>
              <w:rPr>
                <w:rFonts w:ascii="Times New Roman" w:hAnsi="Times New Roman" w:cs="Times New Roman"/>
                <w:kern w:val="10"/>
                <w:sz w:val="21"/>
                <w:szCs w:val="21"/>
              </w:rPr>
            </w:pPr>
            <w:r>
              <w:rPr>
                <w:rFonts w:ascii="Times New Roman" w:hAnsi="Times New Roman" w:cs="Times New Roman"/>
                <w:sz w:val="21"/>
                <w:szCs w:val="21"/>
              </w:rPr>
              <w:t>5.33%</w:t>
            </w:r>
          </w:p>
        </w:tc>
        <w:tc>
          <w:tcPr>
            <w:tcW w:w="929" w:type="dxa"/>
            <w:vAlign w:val="center"/>
          </w:tcPr>
          <w:p w14:paraId="578016E7"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5,577</w:t>
            </w:r>
          </w:p>
        </w:tc>
        <w:tc>
          <w:tcPr>
            <w:tcW w:w="929" w:type="dxa"/>
            <w:vAlign w:val="center"/>
          </w:tcPr>
          <w:p w14:paraId="67FB8A49" w14:textId="77777777" w:rsidR="00DE1B44" w:rsidRDefault="00D40582">
            <w:pPr>
              <w:suppressAutoHyphens/>
              <w:spacing w:beforeLines="0" w:before="0" w:line="240" w:lineRule="auto"/>
              <w:ind w:firstLineChars="0" w:firstLine="0"/>
              <w:jc w:val="right"/>
              <w:rPr>
                <w:rFonts w:ascii="Times New Roman" w:hAnsi="Times New Roman" w:cs="Times New Roman"/>
                <w:kern w:val="10"/>
                <w:sz w:val="21"/>
                <w:szCs w:val="21"/>
              </w:rPr>
            </w:pPr>
            <w:r>
              <w:rPr>
                <w:rFonts w:ascii="Times New Roman" w:hAnsi="Times New Roman" w:cs="Times New Roman"/>
                <w:sz w:val="21"/>
                <w:szCs w:val="21"/>
              </w:rPr>
              <w:t>4.31%</w:t>
            </w:r>
          </w:p>
        </w:tc>
      </w:tr>
      <w:tr w:rsidR="00DE1B44" w14:paraId="702AF5D3" w14:textId="77777777">
        <w:trPr>
          <w:trHeight w:val="300"/>
        </w:trPr>
        <w:tc>
          <w:tcPr>
            <w:tcW w:w="3437" w:type="dxa"/>
            <w:shd w:val="clear" w:color="auto" w:fill="auto"/>
            <w:noWrap/>
            <w:vAlign w:val="center"/>
          </w:tcPr>
          <w:p w14:paraId="4D4F923C" w14:textId="77777777" w:rsidR="00DE1B44" w:rsidRDefault="00D40582">
            <w:pPr>
              <w:suppressAutoHyphens/>
              <w:spacing w:beforeLines="0" w:before="0" w:line="240" w:lineRule="auto"/>
              <w:ind w:firstLineChars="0" w:firstLine="0"/>
              <w:jc w:val="left"/>
              <w:rPr>
                <w:rFonts w:ascii="Times New Roman" w:hAnsi="Times New Roman" w:cs="Times New Roman"/>
                <w:kern w:val="10"/>
                <w:sz w:val="21"/>
                <w:szCs w:val="21"/>
              </w:rPr>
            </w:pPr>
            <w:r>
              <w:rPr>
                <w:rFonts w:ascii="Times New Roman" w:hAnsi="Times New Roman" w:cs="Times New Roman" w:hint="eastAsia"/>
                <w:kern w:val="10"/>
                <w:sz w:val="21"/>
                <w:szCs w:val="21"/>
              </w:rPr>
              <w:t>-</w:t>
            </w:r>
            <w:r>
              <w:rPr>
                <w:rFonts w:ascii="Times New Roman" w:hAnsi="Times New Roman" w:cs="Times New Roman" w:hint="eastAsia"/>
                <w:kern w:val="10"/>
                <w:sz w:val="21"/>
                <w:szCs w:val="21"/>
              </w:rPr>
              <w:t>非上市基金及其他投资</w:t>
            </w:r>
          </w:p>
        </w:tc>
        <w:tc>
          <w:tcPr>
            <w:tcW w:w="930" w:type="dxa"/>
            <w:shd w:val="clear" w:color="auto" w:fill="auto"/>
            <w:vAlign w:val="center"/>
          </w:tcPr>
          <w:p w14:paraId="00A9EFF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115,795</w:t>
            </w:r>
          </w:p>
        </w:tc>
        <w:tc>
          <w:tcPr>
            <w:tcW w:w="930" w:type="dxa"/>
            <w:shd w:val="clear" w:color="auto" w:fill="auto"/>
            <w:vAlign w:val="center"/>
          </w:tcPr>
          <w:p w14:paraId="12670330"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79.56%</w:t>
            </w:r>
          </w:p>
        </w:tc>
        <w:tc>
          <w:tcPr>
            <w:tcW w:w="929" w:type="dxa"/>
            <w:vAlign w:val="center"/>
          </w:tcPr>
          <w:p w14:paraId="14F20DFA"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112,714</w:t>
            </w:r>
          </w:p>
        </w:tc>
        <w:tc>
          <w:tcPr>
            <w:tcW w:w="932" w:type="dxa"/>
            <w:vAlign w:val="center"/>
          </w:tcPr>
          <w:p w14:paraId="250EDE0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76.78%</w:t>
            </w:r>
          </w:p>
        </w:tc>
        <w:tc>
          <w:tcPr>
            <w:tcW w:w="929" w:type="dxa"/>
            <w:vAlign w:val="center"/>
          </w:tcPr>
          <w:p w14:paraId="46680566"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110,601</w:t>
            </w:r>
          </w:p>
        </w:tc>
        <w:tc>
          <w:tcPr>
            <w:tcW w:w="929" w:type="dxa"/>
            <w:vAlign w:val="center"/>
          </w:tcPr>
          <w:p w14:paraId="1FA3F64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85.53%</w:t>
            </w:r>
          </w:p>
        </w:tc>
      </w:tr>
      <w:tr w:rsidR="00DE1B44" w14:paraId="0E651F65" w14:textId="77777777">
        <w:trPr>
          <w:trHeight w:val="300"/>
        </w:trPr>
        <w:tc>
          <w:tcPr>
            <w:tcW w:w="3437" w:type="dxa"/>
            <w:shd w:val="clear" w:color="auto" w:fill="auto"/>
            <w:noWrap/>
            <w:vAlign w:val="center"/>
          </w:tcPr>
          <w:p w14:paraId="3B25942B" w14:textId="77777777" w:rsidR="00DE1B44" w:rsidRDefault="00D40582">
            <w:pPr>
              <w:suppressAutoHyphens/>
              <w:spacing w:beforeLines="0" w:before="0" w:line="240" w:lineRule="auto"/>
              <w:ind w:firstLineChars="0" w:firstLine="0"/>
              <w:jc w:val="left"/>
              <w:rPr>
                <w:rFonts w:ascii="Times New Roman" w:hAnsi="Times New Roman" w:cs="Times New Roman"/>
                <w:kern w:val="10"/>
                <w:sz w:val="21"/>
                <w:szCs w:val="21"/>
              </w:rPr>
            </w:pPr>
            <w:r>
              <w:rPr>
                <w:rFonts w:ascii="Times New Roman" w:hAnsi="Times New Roman" w:cs="Times New Roman" w:hint="eastAsia"/>
                <w:kern w:val="10"/>
                <w:sz w:val="21"/>
                <w:szCs w:val="21"/>
              </w:rPr>
              <w:t>指定为以公允价值计量且其变动计入当期损益的投资</w:t>
            </w:r>
          </w:p>
        </w:tc>
        <w:tc>
          <w:tcPr>
            <w:tcW w:w="930" w:type="dxa"/>
            <w:shd w:val="clear" w:color="auto" w:fill="auto"/>
            <w:vAlign w:val="center"/>
          </w:tcPr>
          <w:p w14:paraId="2BB1FA7B"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w:t>
            </w:r>
          </w:p>
        </w:tc>
        <w:tc>
          <w:tcPr>
            <w:tcW w:w="930" w:type="dxa"/>
            <w:shd w:val="clear" w:color="auto" w:fill="auto"/>
            <w:vAlign w:val="center"/>
          </w:tcPr>
          <w:p w14:paraId="65E317C0"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w:t>
            </w:r>
          </w:p>
        </w:tc>
        <w:tc>
          <w:tcPr>
            <w:tcW w:w="929" w:type="dxa"/>
            <w:vAlign w:val="center"/>
          </w:tcPr>
          <w:p w14:paraId="5412FD23"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710</w:t>
            </w:r>
          </w:p>
        </w:tc>
        <w:tc>
          <w:tcPr>
            <w:tcW w:w="932" w:type="dxa"/>
            <w:vAlign w:val="center"/>
          </w:tcPr>
          <w:p w14:paraId="77860021" w14:textId="77777777" w:rsidR="00DE1B44" w:rsidRDefault="00D40582">
            <w:pPr>
              <w:suppressAutoHyphens/>
              <w:spacing w:beforeLines="0" w:before="0" w:line="240" w:lineRule="auto"/>
              <w:ind w:firstLineChars="0" w:firstLine="0"/>
              <w:jc w:val="right"/>
              <w:rPr>
                <w:rFonts w:ascii="Times New Roman" w:hAnsi="Times New Roman" w:cs="Times New Roman"/>
                <w:kern w:val="10"/>
                <w:sz w:val="21"/>
                <w:szCs w:val="21"/>
              </w:rPr>
            </w:pPr>
            <w:r>
              <w:rPr>
                <w:rFonts w:ascii="Times New Roman" w:hAnsi="Times New Roman" w:cs="Times New Roman"/>
                <w:sz w:val="21"/>
                <w:szCs w:val="21"/>
              </w:rPr>
              <w:t>0.48%</w:t>
            </w:r>
          </w:p>
        </w:tc>
        <w:tc>
          <w:tcPr>
            <w:tcW w:w="929" w:type="dxa"/>
            <w:vAlign w:val="center"/>
          </w:tcPr>
          <w:p w14:paraId="6ABFD8B6"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692</w:t>
            </w:r>
          </w:p>
        </w:tc>
        <w:tc>
          <w:tcPr>
            <w:tcW w:w="929" w:type="dxa"/>
            <w:vAlign w:val="center"/>
          </w:tcPr>
          <w:p w14:paraId="5CE9BF84" w14:textId="77777777" w:rsidR="00DE1B44" w:rsidRDefault="00D40582">
            <w:pPr>
              <w:suppressAutoHyphens/>
              <w:spacing w:beforeLines="0" w:before="0" w:line="240" w:lineRule="auto"/>
              <w:ind w:firstLineChars="0" w:firstLine="0"/>
              <w:jc w:val="right"/>
              <w:rPr>
                <w:rFonts w:ascii="Times New Roman" w:hAnsi="Times New Roman" w:cs="Times New Roman"/>
                <w:kern w:val="10"/>
                <w:sz w:val="21"/>
                <w:szCs w:val="21"/>
              </w:rPr>
            </w:pPr>
            <w:r>
              <w:rPr>
                <w:rFonts w:ascii="Times New Roman" w:hAnsi="Times New Roman" w:cs="Times New Roman"/>
                <w:sz w:val="21"/>
                <w:szCs w:val="21"/>
              </w:rPr>
              <w:t>0.54%</w:t>
            </w:r>
          </w:p>
        </w:tc>
      </w:tr>
      <w:tr w:rsidR="00DE1B44" w14:paraId="4003BA52" w14:textId="77777777">
        <w:trPr>
          <w:trHeight w:val="300"/>
        </w:trPr>
        <w:tc>
          <w:tcPr>
            <w:tcW w:w="3437" w:type="dxa"/>
            <w:shd w:val="clear" w:color="auto" w:fill="auto"/>
            <w:noWrap/>
            <w:vAlign w:val="center"/>
          </w:tcPr>
          <w:p w14:paraId="58722382" w14:textId="77777777" w:rsidR="00DE1B44" w:rsidRDefault="00D40582">
            <w:pPr>
              <w:suppressAutoHyphens/>
              <w:spacing w:beforeLines="0" w:before="0" w:line="240" w:lineRule="auto"/>
              <w:ind w:firstLineChars="0" w:firstLine="0"/>
              <w:jc w:val="center"/>
              <w:rPr>
                <w:rFonts w:ascii="Times New Roman" w:hAnsi="Times New Roman" w:cs="Times New Roman"/>
                <w:b/>
                <w:bCs/>
                <w:kern w:val="10"/>
                <w:sz w:val="21"/>
                <w:szCs w:val="21"/>
              </w:rPr>
            </w:pPr>
            <w:r>
              <w:rPr>
                <w:rFonts w:ascii="Times New Roman" w:hAnsi="Times New Roman" w:cs="Times New Roman"/>
                <w:b/>
                <w:bCs/>
                <w:kern w:val="10"/>
                <w:sz w:val="21"/>
                <w:szCs w:val="21"/>
              </w:rPr>
              <w:t>合计</w:t>
            </w:r>
          </w:p>
        </w:tc>
        <w:tc>
          <w:tcPr>
            <w:tcW w:w="930" w:type="dxa"/>
            <w:shd w:val="clear" w:color="auto" w:fill="auto"/>
            <w:vAlign w:val="center"/>
          </w:tcPr>
          <w:p w14:paraId="2DC90673"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145,543</w:t>
            </w:r>
          </w:p>
        </w:tc>
        <w:tc>
          <w:tcPr>
            <w:tcW w:w="930" w:type="dxa"/>
            <w:shd w:val="clear" w:color="auto" w:fill="auto"/>
            <w:vAlign w:val="center"/>
          </w:tcPr>
          <w:p w14:paraId="1409238D"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100.00%</w:t>
            </w:r>
          </w:p>
        </w:tc>
        <w:tc>
          <w:tcPr>
            <w:tcW w:w="929" w:type="dxa"/>
            <w:vAlign w:val="center"/>
          </w:tcPr>
          <w:p w14:paraId="3DA58D6C" w14:textId="77777777" w:rsidR="00DE1B44" w:rsidRDefault="00D40582">
            <w:pPr>
              <w:suppressAutoHyphens/>
              <w:spacing w:beforeLines="0" w:before="0" w:line="240" w:lineRule="auto"/>
              <w:ind w:firstLineChars="0" w:firstLine="0"/>
              <w:jc w:val="right"/>
              <w:rPr>
                <w:rFonts w:ascii="Times New Roman" w:hAnsi="Times New Roman" w:cs="Times New Roman"/>
                <w:b/>
                <w:bCs/>
                <w:kern w:val="10"/>
                <w:sz w:val="21"/>
                <w:szCs w:val="21"/>
              </w:rPr>
            </w:pPr>
            <w:r>
              <w:rPr>
                <w:rFonts w:ascii="Times New Roman" w:hAnsi="Times New Roman" w:cs="Times New Roman"/>
                <w:b/>
                <w:bCs/>
                <w:sz w:val="21"/>
                <w:szCs w:val="21"/>
              </w:rPr>
              <w:t>146,810</w:t>
            </w:r>
          </w:p>
        </w:tc>
        <w:tc>
          <w:tcPr>
            <w:tcW w:w="932" w:type="dxa"/>
            <w:vAlign w:val="center"/>
          </w:tcPr>
          <w:p w14:paraId="132F40BA" w14:textId="77777777" w:rsidR="00DE1B44" w:rsidRDefault="00D40582">
            <w:pPr>
              <w:suppressAutoHyphens/>
              <w:spacing w:beforeLines="0" w:before="0" w:line="240" w:lineRule="auto"/>
              <w:ind w:firstLineChars="0" w:firstLine="0"/>
              <w:jc w:val="right"/>
              <w:rPr>
                <w:rFonts w:ascii="Times New Roman" w:hAnsi="Times New Roman" w:cs="Times New Roman"/>
                <w:b/>
                <w:bCs/>
                <w:kern w:val="10"/>
                <w:sz w:val="21"/>
                <w:szCs w:val="21"/>
              </w:rPr>
            </w:pPr>
            <w:r>
              <w:rPr>
                <w:rFonts w:ascii="Times New Roman" w:hAnsi="Times New Roman" w:cs="Times New Roman"/>
                <w:b/>
                <w:bCs/>
                <w:color w:val="000000"/>
                <w:sz w:val="21"/>
                <w:szCs w:val="21"/>
              </w:rPr>
              <w:t>100.00%</w:t>
            </w:r>
          </w:p>
        </w:tc>
        <w:tc>
          <w:tcPr>
            <w:tcW w:w="929" w:type="dxa"/>
            <w:vAlign w:val="center"/>
          </w:tcPr>
          <w:p w14:paraId="16D2E6E8"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129,304</w:t>
            </w:r>
          </w:p>
        </w:tc>
        <w:tc>
          <w:tcPr>
            <w:tcW w:w="929" w:type="dxa"/>
            <w:vAlign w:val="center"/>
          </w:tcPr>
          <w:p w14:paraId="33F102C3" w14:textId="77777777" w:rsidR="00DE1B44" w:rsidRDefault="00D40582">
            <w:pPr>
              <w:suppressAutoHyphens/>
              <w:spacing w:beforeLines="0" w:before="0" w:line="240" w:lineRule="auto"/>
              <w:ind w:firstLineChars="0" w:firstLine="0"/>
              <w:jc w:val="right"/>
              <w:rPr>
                <w:rFonts w:ascii="Times New Roman" w:hAnsi="Times New Roman" w:cs="Times New Roman"/>
                <w:b/>
                <w:bCs/>
                <w:kern w:val="10"/>
                <w:sz w:val="21"/>
                <w:szCs w:val="21"/>
              </w:rPr>
            </w:pPr>
            <w:r>
              <w:rPr>
                <w:rFonts w:ascii="Times New Roman" w:hAnsi="Times New Roman" w:cs="Times New Roman"/>
                <w:b/>
                <w:bCs/>
                <w:color w:val="000000"/>
                <w:sz w:val="21"/>
                <w:szCs w:val="21"/>
              </w:rPr>
              <w:t>100.00%</w:t>
            </w:r>
          </w:p>
        </w:tc>
      </w:tr>
    </w:tbl>
    <w:p w14:paraId="6A0FC091" w14:textId="77777777" w:rsidR="00DE1B44" w:rsidRDefault="00D40582">
      <w:pPr>
        <w:snapToGrid w:val="0"/>
        <w:spacing w:before="120"/>
        <w:ind w:firstLine="480"/>
        <w:rPr>
          <w:rFonts w:ascii="Times New Roman" w:hAnsi="Times New Roman" w:cs="Times New Roman"/>
        </w:rPr>
      </w:pPr>
      <w:r>
        <w:rPr>
          <w:rFonts w:cs="Times New Roman" w:hint="eastAsia"/>
        </w:rPr>
        <w:t>②</w:t>
      </w:r>
      <w:r>
        <w:rPr>
          <w:rFonts w:ascii="Times New Roman" w:hAnsi="Times New Roman" w:cs="Times New Roman" w:hint="eastAsia"/>
        </w:rPr>
        <w:t>债权投资</w:t>
      </w:r>
    </w:p>
    <w:p w14:paraId="795B6046" w14:textId="77777777" w:rsidR="00DE1B44" w:rsidRDefault="00D40582">
      <w:pPr>
        <w:spacing w:before="120"/>
        <w:ind w:firstLine="480"/>
        <w:rPr>
          <w:rFonts w:ascii="Times New Roman" w:hAnsi="Times New Roman" w:cs="Times New Roman"/>
        </w:rPr>
      </w:pPr>
      <w:r>
        <w:rPr>
          <w:rFonts w:ascii="Times New Roman" w:hAnsi="Times New Roman" w:cs="Times New Roman"/>
        </w:rPr>
        <w:lastRenderedPageBreak/>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，本行</w:t>
      </w:r>
      <w:r>
        <w:rPr>
          <w:rFonts w:ascii="Times New Roman" w:hAnsi="Times New Roman" w:cs="Times New Roman" w:hint="eastAsia"/>
        </w:rPr>
        <w:t>债权投资余额分别为</w:t>
      </w:r>
      <w:r>
        <w:rPr>
          <w:rFonts w:ascii="Times New Roman" w:hAnsi="Times New Roman" w:cs="Times New Roman" w:hint="eastAsia"/>
        </w:rPr>
        <w:t>3,0</w:t>
      </w:r>
      <w:r>
        <w:rPr>
          <w:rFonts w:ascii="Times New Roman" w:hAnsi="Times New Roman" w:cs="Times New Roman"/>
        </w:rPr>
        <w:t>75.01</w:t>
      </w:r>
      <w:r>
        <w:rPr>
          <w:rFonts w:ascii="Times New Roman" w:hAnsi="Times New Roman" w:cs="Times New Roman" w:hint="eastAsia"/>
        </w:rPr>
        <w:t>亿元、</w:t>
      </w:r>
      <w:r>
        <w:rPr>
          <w:rFonts w:ascii="Times New Roman" w:hAnsi="Times New Roman" w:cs="Times New Roman" w:hint="eastAsia"/>
        </w:rPr>
        <w:t>3,3</w:t>
      </w:r>
      <w:r>
        <w:rPr>
          <w:rFonts w:ascii="Times New Roman" w:hAnsi="Times New Roman" w:cs="Times New Roman"/>
        </w:rPr>
        <w:t>24.01</w:t>
      </w:r>
      <w:r>
        <w:rPr>
          <w:rFonts w:ascii="Times New Roman" w:hAnsi="Times New Roman" w:cs="Times New Roman" w:hint="eastAsia"/>
        </w:rPr>
        <w:t>亿元和</w:t>
      </w:r>
      <w:r>
        <w:rPr>
          <w:rFonts w:ascii="Times New Roman" w:hAnsi="Times New Roman" w:cs="Times New Roman" w:hint="eastAsia"/>
        </w:rPr>
        <w:t>3</w:t>
      </w:r>
      <w:r>
        <w:rPr>
          <w:rFonts w:ascii="Times New Roman" w:hAnsi="Times New Roman" w:cs="Times New Roman"/>
        </w:rPr>
        <w:t>,361.81</w:t>
      </w:r>
      <w:r>
        <w:rPr>
          <w:rFonts w:ascii="Times New Roman" w:hAnsi="Times New Roman" w:cs="Times New Roman" w:hint="eastAsia"/>
        </w:rPr>
        <w:t>亿元，</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年末较</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年末增长</w:t>
      </w:r>
      <w:r>
        <w:rPr>
          <w:rFonts w:ascii="Times New Roman" w:hAnsi="Times New Roman" w:cs="Times New Roman" w:hint="eastAsia"/>
        </w:rPr>
        <w:t>8</w:t>
      </w:r>
      <w:r>
        <w:rPr>
          <w:rFonts w:ascii="Times New Roman" w:hAnsi="Times New Roman" w:cs="Times New Roman"/>
        </w:rPr>
        <w:t>.10</w:t>
      </w:r>
      <w:r>
        <w:rPr>
          <w:rFonts w:ascii="Times New Roman" w:hAnsi="Times New Roman" w:cs="Times New Roman" w:hint="eastAsia"/>
        </w:rPr>
        <w:t>%</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月末较</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年末增长</w:t>
      </w:r>
      <w:r>
        <w:rPr>
          <w:rFonts w:ascii="Times New Roman" w:hAnsi="Times New Roman" w:cs="Times New Roman" w:hint="eastAsia"/>
        </w:rPr>
        <w:t>1</w:t>
      </w:r>
      <w:r>
        <w:rPr>
          <w:rFonts w:ascii="Times New Roman" w:hAnsi="Times New Roman" w:cs="Times New Roman"/>
        </w:rPr>
        <w:t>.14%</w:t>
      </w:r>
      <w:r>
        <w:rPr>
          <w:rFonts w:ascii="Times New Roman" w:hAnsi="Times New Roman" w:cs="Times New Roman" w:hint="eastAsia"/>
        </w:rPr>
        <w:t>。</w:t>
      </w:r>
    </w:p>
    <w:p w14:paraId="41896952" w14:textId="77777777" w:rsidR="00DE1B44" w:rsidRDefault="00D40582">
      <w:pPr>
        <w:spacing w:before="120"/>
        <w:ind w:firstLine="480"/>
        <w:rPr>
          <w:rFonts w:ascii="Times New Roman" w:hAnsi="Times New Roman" w:cs="Times New Roman"/>
        </w:rPr>
      </w:pPr>
      <w:r>
        <w:rPr>
          <w:rFonts w:ascii="Times New Roman" w:hAnsi="Times New Roman" w:cs="Times New Roman"/>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w:t>
      </w:r>
      <w:r>
        <w:rPr>
          <w:rFonts w:ascii="Times New Roman" w:hAnsi="Times New Roman" w:cs="Times New Roman" w:hint="eastAsia"/>
        </w:rPr>
        <w:t>本行债权投资</w:t>
      </w:r>
      <w:r>
        <w:rPr>
          <w:rFonts w:ascii="Times New Roman" w:hAnsi="Times New Roman" w:cs="Times New Roman"/>
        </w:rPr>
        <w:t>构成情况如下：</w:t>
      </w:r>
    </w:p>
    <w:p w14:paraId="4F9A4D6C"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2287"/>
        <w:gridCol w:w="1171"/>
        <w:gridCol w:w="1172"/>
        <w:gridCol w:w="1318"/>
        <w:gridCol w:w="1024"/>
        <w:gridCol w:w="1022"/>
        <w:gridCol w:w="1022"/>
      </w:tblGrid>
      <w:tr w:rsidR="00DE1B44" w14:paraId="22CC91F6" w14:textId="77777777">
        <w:trPr>
          <w:trHeight w:val="340"/>
          <w:tblHeader/>
          <w:jc w:val="center"/>
        </w:trPr>
        <w:tc>
          <w:tcPr>
            <w:tcW w:w="2287" w:type="dxa"/>
            <w:vMerge w:val="restart"/>
            <w:vAlign w:val="center"/>
          </w:tcPr>
          <w:p w14:paraId="6D9911E1"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项目</w:t>
            </w:r>
          </w:p>
        </w:tc>
        <w:tc>
          <w:tcPr>
            <w:tcW w:w="2343" w:type="dxa"/>
            <w:gridSpan w:val="2"/>
          </w:tcPr>
          <w:p w14:paraId="244FE94A"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2</w:t>
            </w:r>
            <w:r>
              <w:rPr>
                <w:rFonts w:ascii="Times New Roman" w:hAnsi="Times New Roman" w:cs="Times New Roman"/>
                <w:b/>
                <w:sz w:val="21"/>
                <w:szCs w:val="21"/>
              </w:rPr>
              <w:t>021</w:t>
            </w:r>
            <w:r>
              <w:rPr>
                <w:rFonts w:ascii="Times New Roman" w:hAnsi="Times New Roman" w:cs="Times New Roman" w:hint="eastAsia"/>
                <w:b/>
                <w:sz w:val="21"/>
                <w:szCs w:val="21"/>
              </w:rPr>
              <w:t>年</w:t>
            </w:r>
            <w:r>
              <w:rPr>
                <w:rFonts w:ascii="Times New Roman" w:hAnsi="Times New Roman" w:cs="Times New Roman" w:hint="eastAsia"/>
                <w:b/>
                <w:sz w:val="21"/>
                <w:szCs w:val="21"/>
              </w:rPr>
              <w:t>6</w:t>
            </w:r>
            <w:r>
              <w:rPr>
                <w:rFonts w:ascii="Times New Roman" w:hAnsi="Times New Roman" w:cs="Times New Roman" w:hint="eastAsia"/>
                <w:b/>
                <w:sz w:val="21"/>
                <w:szCs w:val="21"/>
              </w:rPr>
              <w:t>月</w:t>
            </w:r>
            <w:r>
              <w:rPr>
                <w:rFonts w:ascii="Times New Roman" w:hAnsi="Times New Roman" w:cs="Times New Roman" w:hint="eastAsia"/>
                <w:b/>
                <w:sz w:val="21"/>
                <w:szCs w:val="21"/>
              </w:rPr>
              <w:t>3</w:t>
            </w:r>
            <w:r>
              <w:rPr>
                <w:rFonts w:ascii="Times New Roman" w:hAnsi="Times New Roman" w:cs="Times New Roman"/>
                <w:b/>
                <w:sz w:val="21"/>
                <w:szCs w:val="21"/>
              </w:rPr>
              <w:t>0</w:t>
            </w:r>
            <w:r>
              <w:rPr>
                <w:rFonts w:ascii="Times New Roman" w:hAnsi="Times New Roman" w:cs="Times New Roman" w:hint="eastAsia"/>
                <w:b/>
                <w:sz w:val="21"/>
                <w:szCs w:val="21"/>
              </w:rPr>
              <w:t>日</w:t>
            </w:r>
          </w:p>
        </w:tc>
        <w:tc>
          <w:tcPr>
            <w:tcW w:w="2342" w:type="dxa"/>
            <w:gridSpan w:val="2"/>
            <w:vAlign w:val="center"/>
          </w:tcPr>
          <w:p w14:paraId="28B57BCC"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2020</w:t>
            </w:r>
            <w:r>
              <w:rPr>
                <w:rFonts w:ascii="Times New Roman" w:hAnsi="Times New Roman" w:cs="Times New Roman"/>
                <w:b/>
                <w:sz w:val="21"/>
                <w:szCs w:val="21"/>
              </w:rPr>
              <w:t>年</w:t>
            </w:r>
            <w:r>
              <w:rPr>
                <w:rFonts w:ascii="Times New Roman" w:hAnsi="Times New Roman" w:cs="Times New Roman"/>
                <w:b/>
                <w:sz w:val="21"/>
                <w:szCs w:val="21"/>
              </w:rPr>
              <w:t>12</w:t>
            </w:r>
            <w:r>
              <w:rPr>
                <w:rFonts w:ascii="Times New Roman" w:hAnsi="Times New Roman" w:cs="Times New Roman"/>
                <w:b/>
                <w:sz w:val="21"/>
                <w:szCs w:val="21"/>
              </w:rPr>
              <w:t>月</w:t>
            </w:r>
            <w:r>
              <w:rPr>
                <w:rFonts w:ascii="Times New Roman" w:hAnsi="Times New Roman" w:cs="Times New Roman"/>
                <w:b/>
                <w:sz w:val="21"/>
                <w:szCs w:val="21"/>
              </w:rPr>
              <w:t>31</w:t>
            </w:r>
            <w:r>
              <w:rPr>
                <w:rFonts w:ascii="Times New Roman" w:hAnsi="Times New Roman" w:cs="Times New Roman"/>
                <w:b/>
                <w:sz w:val="21"/>
                <w:szCs w:val="21"/>
              </w:rPr>
              <w:t>日</w:t>
            </w:r>
          </w:p>
        </w:tc>
        <w:tc>
          <w:tcPr>
            <w:tcW w:w="2044" w:type="dxa"/>
            <w:gridSpan w:val="2"/>
            <w:vAlign w:val="center"/>
          </w:tcPr>
          <w:p w14:paraId="555B18A0"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2019</w:t>
            </w:r>
            <w:r>
              <w:rPr>
                <w:rFonts w:ascii="Times New Roman" w:hAnsi="Times New Roman" w:cs="Times New Roman"/>
                <w:b/>
                <w:sz w:val="21"/>
                <w:szCs w:val="21"/>
              </w:rPr>
              <w:t>年</w:t>
            </w:r>
            <w:r>
              <w:rPr>
                <w:rFonts w:ascii="Times New Roman" w:hAnsi="Times New Roman" w:cs="Times New Roman"/>
                <w:b/>
                <w:sz w:val="21"/>
                <w:szCs w:val="21"/>
              </w:rPr>
              <w:t>12</w:t>
            </w:r>
            <w:r>
              <w:rPr>
                <w:rFonts w:ascii="Times New Roman" w:hAnsi="Times New Roman" w:cs="Times New Roman"/>
                <w:b/>
                <w:sz w:val="21"/>
                <w:szCs w:val="21"/>
              </w:rPr>
              <w:t>月</w:t>
            </w:r>
            <w:r>
              <w:rPr>
                <w:rFonts w:ascii="Times New Roman" w:hAnsi="Times New Roman" w:cs="Times New Roman"/>
                <w:b/>
                <w:sz w:val="21"/>
                <w:szCs w:val="21"/>
              </w:rPr>
              <w:t>31</w:t>
            </w:r>
            <w:r>
              <w:rPr>
                <w:rFonts w:ascii="Times New Roman" w:hAnsi="Times New Roman" w:cs="Times New Roman"/>
                <w:b/>
                <w:sz w:val="21"/>
                <w:szCs w:val="21"/>
              </w:rPr>
              <w:t>日</w:t>
            </w:r>
          </w:p>
        </w:tc>
      </w:tr>
      <w:tr w:rsidR="00DE1B44" w14:paraId="15AE0298" w14:textId="77777777">
        <w:trPr>
          <w:trHeight w:val="340"/>
          <w:tblHeader/>
          <w:jc w:val="center"/>
        </w:trPr>
        <w:tc>
          <w:tcPr>
            <w:tcW w:w="2287" w:type="dxa"/>
            <w:vMerge/>
            <w:vAlign w:val="center"/>
          </w:tcPr>
          <w:p w14:paraId="1D084A0F" w14:textId="77777777" w:rsidR="00DE1B44" w:rsidRDefault="00DE1B44">
            <w:pPr>
              <w:suppressAutoHyphens/>
              <w:spacing w:beforeLines="0" w:before="0" w:line="240" w:lineRule="auto"/>
              <w:ind w:firstLineChars="0" w:firstLine="0"/>
              <w:jc w:val="left"/>
              <w:rPr>
                <w:rFonts w:ascii="Times New Roman" w:hAnsi="Times New Roman" w:cs="Times New Roman"/>
                <w:b/>
                <w:sz w:val="21"/>
                <w:szCs w:val="21"/>
              </w:rPr>
            </w:pPr>
          </w:p>
        </w:tc>
        <w:tc>
          <w:tcPr>
            <w:tcW w:w="1171" w:type="dxa"/>
            <w:vAlign w:val="center"/>
          </w:tcPr>
          <w:p w14:paraId="620DE40F"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金额</w:t>
            </w:r>
          </w:p>
        </w:tc>
        <w:tc>
          <w:tcPr>
            <w:tcW w:w="1172" w:type="dxa"/>
            <w:vAlign w:val="center"/>
          </w:tcPr>
          <w:p w14:paraId="49F2FFA5"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比例</w:t>
            </w:r>
          </w:p>
        </w:tc>
        <w:tc>
          <w:tcPr>
            <w:tcW w:w="1318" w:type="dxa"/>
            <w:vAlign w:val="center"/>
          </w:tcPr>
          <w:p w14:paraId="0A4641E0"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金额</w:t>
            </w:r>
          </w:p>
        </w:tc>
        <w:tc>
          <w:tcPr>
            <w:tcW w:w="1024" w:type="dxa"/>
            <w:vAlign w:val="center"/>
          </w:tcPr>
          <w:p w14:paraId="4459D530"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比例</w:t>
            </w:r>
          </w:p>
        </w:tc>
        <w:tc>
          <w:tcPr>
            <w:tcW w:w="1022" w:type="dxa"/>
            <w:vAlign w:val="center"/>
          </w:tcPr>
          <w:p w14:paraId="45546FB9"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金额</w:t>
            </w:r>
          </w:p>
        </w:tc>
        <w:tc>
          <w:tcPr>
            <w:tcW w:w="1022" w:type="dxa"/>
            <w:vAlign w:val="center"/>
          </w:tcPr>
          <w:p w14:paraId="534EEB84"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比例</w:t>
            </w:r>
          </w:p>
        </w:tc>
      </w:tr>
      <w:tr w:rsidR="00DE1B44" w14:paraId="3717F8A3" w14:textId="77777777">
        <w:trPr>
          <w:trHeight w:val="340"/>
          <w:jc w:val="center"/>
        </w:trPr>
        <w:tc>
          <w:tcPr>
            <w:tcW w:w="9016" w:type="dxa"/>
            <w:gridSpan w:val="7"/>
          </w:tcPr>
          <w:p w14:paraId="4FA63A50" w14:textId="77777777" w:rsidR="00DE1B44" w:rsidRDefault="00D40582">
            <w:pPr>
              <w:suppressAutoHyphens/>
              <w:spacing w:beforeLines="0" w:before="0" w:line="240" w:lineRule="auto"/>
              <w:ind w:firstLineChars="0" w:firstLine="0"/>
              <w:jc w:val="left"/>
              <w:rPr>
                <w:rFonts w:ascii="Times New Roman" w:hAnsi="Times New Roman" w:cs="Times New Roman"/>
                <w:sz w:val="21"/>
                <w:szCs w:val="21"/>
              </w:rPr>
            </w:pPr>
            <w:r>
              <w:rPr>
                <w:rFonts w:ascii="Times New Roman" w:hAnsi="Times New Roman" w:cs="Times New Roman" w:hint="eastAsia"/>
                <w:i/>
                <w:iCs/>
                <w:sz w:val="21"/>
                <w:szCs w:val="21"/>
              </w:rPr>
              <w:t>非上市</w:t>
            </w:r>
          </w:p>
        </w:tc>
      </w:tr>
      <w:tr w:rsidR="00DE1B44" w14:paraId="7BA8D248" w14:textId="77777777">
        <w:trPr>
          <w:trHeight w:val="340"/>
          <w:jc w:val="center"/>
        </w:trPr>
        <w:tc>
          <w:tcPr>
            <w:tcW w:w="9016" w:type="dxa"/>
            <w:gridSpan w:val="7"/>
          </w:tcPr>
          <w:p w14:paraId="2DAA5C6F" w14:textId="77777777" w:rsidR="00DE1B44" w:rsidRDefault="00D40582">
            <w:pPr>
              <w:suppressAutoHyphens/>
              <w:spacing w:beforeLines="0" w:before="0" w:line="240" w:lineRule="auto"/>
              <w:ind w:firstLineChars="0" w:firstLine="0"/>
              <w:jc w:val="left"/>
              <w:rPr>
                <w:rFonts w:ascii="Times New Roman" w:hAnsi="Times New Roman" w:cs="Times New Roman"/>
                <w:sz w:val="21"/>
                <w:szCs w:val="21"/>
              </w:rPr>
            </w:pPr>
            <w:r>
              <w:rPr>
                <w:rFonts w:ascii="Times New Roman" w:hAnsi="Times New Roman" w:cs="Times New Roman" w:hint="eastAsia"/>
                <w:sz w:val="21"/>
                <w:szCs w:val="21"/>
              </w:rPr>
              <w:t>境内</w:t>
            </w:r>
          </w:p>
        </w:tc>
      </w:tr>
      <w:tr w:rsidR="00DE1B44" w14:paraId="2FF59A2F" w14:textId="77777777">
        <w:trPr>
          <w:trHeight w:val="340"/>
          <w:jc w:val="center"/>
        </w:trPr>
        <w:tc>
          <w:tcPr>
            <w:tcW w:w="2287" w:type="dxa"/>
            <w:vAlign w:val="center"/>
          </w:tcPr>
          <w:p w14:paraId="16980AB2"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政府债券</w:t>
            </w:r>
          </w:p>
        </w:tc>
        <w:tc>
          <w:tcPr>
            <w:tcW w:w="1171" w:type="dxa"/>
            <w:shd w:val="clear" w:color="auto" w:fill="auto"/>
            <w:vAlign w:val="center"/>
          </w:tcPr>
          <w:p w14:paraId="61DF0FED"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175,286 </w:t>
            </w:r>
          </w:p>
        </w:tc>
        <w:tc>
          <w:tcPr>
            <w:tcW w:w="1172" w:type="dxa"/>
            <w:shd w:val="clear" w:color="auto" w:fill="auto"/>
            <w:vAlign w:val="center"/>
          </w:tcPr>
          <w:p w14:paraId="4572D8F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52.14%</w:t>
            </w:r>
          </w:p>
        </w:tc>
        <w:tc>
          <w:tcPr>
            <w:tcW w:w="1318" w:type="dxa"/>
            <w:vAlign w:val="center"/>
          </w:tcPr>
          <w:p w14:paraId="61F9EB05"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154,637</w:t>
            </w:r>
          </w:p>
        </w:tc>
        <w:tc>
          <w:tcPr>
            <w:tcW w:w="1024" w:type="dxa"/>
            <w:vAlign w:val="center"/>
          </w:tcPr>
          <w:p w14:paraId="4BBA0B9D"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46.52%</w:t>
            </w:r>
          </w:p>
        </w:tc>
        <w:tc>
          <w:tcPr>
            <w:tcW w:w="1022" w:type="dxa"/>
            <w:vAlign w:val="center"/>
          </w:tcPr>
          <w:p w14:paraId="3B5C55FC"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172,424</w:t>
            </w:r>
          </w:p>
        </w:tc>
        <w:tc>
          <w:tcPr>
            <w:tcW w:w="1022" w:type="dxa"/>
            <w:vAlign w:val="center"/>
          </w:tcPr>
          <w:p w14:paraId="605B771E"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56.07%</w:t>
            </w:r>
          </w:p>
        </w:tc>
      </w:tr>
      <w:tr w:rsidR="00DE1B44" w14:paraId="03749BD0" w14:textId="77777777">
        <w:trPr>
          <w:trHeight w:val="340"/>
          <w:jc w:val="center"/>
        </w:trPr>
        <w:tc>
          <w:tcPr>
            <w:tcW w:w="2287" w:type="dxa"/>
            <w:vAlign w:val="center"/>
          </w:tcPr>
          <w:p w14:paraId="7C28C035"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政策性银行债券</w:t>
            </w:r>
          </w:p>
        </w:tc>
        <w:tc>
          <w:tcPr>
            <w:tcW w:w="1171" w:type="dxa"/>
            <w:shd w:val="clear" w:color="auto" w:fill="auto"/>
            <w:vAlign w:val="center"/>
          </w:tcPr>
          <w:p w14:paraId="4262A7DE"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59,860 </w:t>
            </w:r>
          </w:p>
        </w:tc>
        <w:tc>
          <w:tcPr>
            <w:tcW w:w="1172" w:type="dxa"/>
            <w:shd w:val="clear" w:color="auto" w:fill="auto"/>
            <w:vAlign w:val="center"/>
          </w:tcPr>
          <w:p w14:paraId="5DCEB7CE"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17.81%</w:t>
            </w:r>
          </w:p>
        </w:tc>
        <w:tc>
          <w:tcPr>
            <w:tcW w:w="1318" w:type="dxa"/>
            <w:vAlign w:val="center"/>
          </w:tcPr>
          <w:p w14:paraId="5E6E309A"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44,695</w:t>
            </w:r>
          </w:p>
        </w:tc>
        <w:tc>
          <w:tcPr>
            <w:tcW w:w="1024" w:type="dxa"/>
            <w:vAlign w:val="center"/>
          </w:tcPr>
          <w:p w14:paraId="444B6AD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13.45%</w:t>
            </w:r>
          </w:p>
        </w:tc>
        <w:tc>
          <w:tcPr>
            <w:tcW w:w="1022" w:type="dxa"/>
            <w:vAlign w:val="center"/>
          </w:tcPr>
          <w:p w14:paraId="1C4DE331"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37,515</w:t>
            </w:r>
          </w:p>
        </w:tc>
        <w:tc>
          <w:tcPr>
            <w:tcW w:w="1022" w:type="dxa"/>
            <w:vAlign w:val="center"/>
          </w:tcPr>
          <w:p w14:paraId="73118DAA"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12.20%</w:t>
            </w:r>
          </w:p>
        </w:tc>
      </w:tr>
      <w:tr w:rsidR="00DE1B44" w14:paraId="4AE00306" w14:textId="77777777">
        <w:trPr>
          <w:trHeight w:val="340"/>
          <w:jc w:val="center"/>
        </w:trPr>
        <w:tc>
          <w:tcPr>
            <w:tcW w:w="2287" w:type="dxa"/>
            <w:vAlign w:val="center"/>
          </w:tcPr>
          <w:p w14:paraId="2B8A2127"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银行同业及其他金融机构债券</w:t>
            </w:r>
          </w:p>
        </w:tc>
        <w:tc>
          <w:tcPr>
            <w:tcW w:w="1171" w:type="dxa"/>
            <w:shd w:val="clear" w:color="auto" w:fill="auto"/>
            <w:vAlign w:val="center"/>
          </w:tcPr>
          <w:p w14:paraId="6D269D8C"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9,487 </w:t>
            </w:r>
          </w:p>
        </w:tc>
        <w:tc>
          <w:tcPr>
            <w:tcW w:w="1172" w:type="dxa"/>
            <w:shd w:val="clear" w:color="auto" w:fill="auto"/>
            <w:vAlign w:val="center"/>
          </w:tcPr>
          <w:p w14:paraId="7D76EF87"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2.82%</w:t>
            </w:r>
          </w:p>
        </w:tc>
        <w:tc>
          <w:tcPr>
            <w:tcW w:w="1318" w:type="dxa"/>
            <w:vAlign w:val="center"/>
          </w:tcPr>
          <w:p w14:paraId="56D00EFE"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24,262</w:t>
            </w:r>
          </w:p>
        </w:tc>
        <w:tc>
          <w:tcPr>
            <w:tcW w:w="1024" w:type="dxa"/>
            <w:vAlign w:val="center"/>
          </w:tcPr>
          <w:p w14:paraId="06DC175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7.30%</w:t>
            </w:r>
          </w:p>
        </w:tc>
        <w:tc>
          <w:tcPr>
            <w:tcW w:w="1022" w:type="dxa"/>
            <w:vAlign w:val="center"/>
          </w:tcPr>
          <w:p w14:paraId="4478421E"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10,900</w:t>
            </w:r>
          </w:p>
        </w:tc>
        <w:tc>
          <w:tcPr>
            <w:tcW w:w="1022" w:type="dxa"/>
            <w:vAlign w:val="center"/>
          </w:tcPr>
          <w:p w14:paraId="548D46B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3.54%</w:t>
            </w:r>
          </w:p>
        </w:tc>
      </w:tr>
      <w:tr w:rsidR="00DE1B44" w14:paraId="27BF26E6" w14:textId="77777777">
        <w:trPr>
          <w:trHeight w:val="340"/>
          <w:jc w:val="center"/>
        </w:trPr>
        <w:tc>
          <w:tcPr>
            <w:tcW w:w="2287" w:type="dxa"/>
            <w:vAlign w:val="center"/>
          </w:tcPr>
          <w:p w14:paraId="0EE0DDC4"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企业债券</w:t>
            </w:r>
          </w:p>
        </w:tc>
        <w:tc>
          <w:tcPr>
            <w:tcW w:w="1171" w:type="dxa"/>
            <w:shd w:val="clear" w:color="auto" w:fill="auto"/>
            <w:vAlign w:val="center"/>
          </w:tcPr>
          <w:p w14:paraId="63A860D9"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2,135 </w:t>
            </w:r>
          </w:p>
        </w:tc>
        <w:tc>
          <w:tcPr>
            <w:tcW w:w="1172" w:type="dxa"/>
            <w:shd w:val="clear" w:color="auto" w:fill="auto"/>
            <w:vAlign w:val="center"/>
          </w:tcPr>
          <w:p w14:paraId="4D984AF5"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0.64%</w:t>
            </w:r>
          </w:p>
        </w:tc>
        <w:tc>
          <w:tcPr>
            <w:tcW w:w="1318" w:type="dxa"/>
            <w:vAlign w:val="center"/>
          </w:tcPr>
          <w:p w14:paraId="668088F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2,137</w:t>
            </w:r>
          </w:p>
        </w:tc>
        <w:tc>
          <w:tcPr>
            <w:tcW w:w="1024" w:type="dxa"/>
            <w:vAlign w:val="center"/>
          </w:tcPr>
          <w:p w14:paraId="6C1293FD"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0.64%</w:t>
            </w:r>
          </w:p>
        </w:tc>
        <w:tc>
          <w:tcPr>
            <w:tcW w:w="1022" w:type="dxa"/>
            <w:vAlign w:val="center"/>
          </w:tcPr>
          <w:p w14:paraId="1FC43637"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3,155</w:t>
            </w:r>
          </w:p>
        </w:tc>
        <w:tc>
          <w:tcPr>
            <w:tcW w:w="1022" w:type="dxa"/>
            <w:vAlign w:val="center"/>
          </w:tcPr>
          <w:p w14:paraId="4560A5A3"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1.03%</w:t>
            </w:r>
          </w:p>
        </w:tc>
      </w:tr>
      <w:tr w:rsidR="00DE1B44" w14:paraId="16A68F4A" w14:textId="77777777">
        <w:trPr>
          <w:trHeight w:val="340"/>
          <w:jc w:val="center"/>
        </w:trPr>
        <w:tc>
          <w:tcPr>
            <w:tcW w:w="2287" w:type="dxa"/>
            <w:vAlign w:val="center"/>
          </w:tcPr>
          <w:p w14:paraId="6B44005F" w14:textId="77777777" w:rsidR="00DE1B44" w:rsidRDefault="00D40582">
            <w:pPr>
              <w:suppressAutoHyphens/>
              <w:spacing w:beforeLines="0" w:before="0" w:line="240" w:lineRule="auto"/>
              <w:ind w:firstLineChars="0" w:firstLine="0"/>
              <w:rPr>
                <w:rFonts w:ascii="Times New Roman" w:hAnsi="Times New Roman" w:cs="Times New Roman"/>
                <w:b/>
                <w:bCs/>
                <w:sz w:val="21"/>
                <w:szCs w:val="21"/>
              </w:rPr>
            </w:pPr>
            <w:r>
              <w:rPr>
                <w:rFonts w:ascii="Times New Roman" w:hAnsi="Times New Roman" w:cs="Times New Roman" w:hint="eastAsia"/>
                <w:b/>
                <w:bCs/>
                <w:sz w:val="21"/>
                <w:szCs w:val="21"/>
              </w:rPr>
              <w:t>小计</w:t>
            </w:r>
          </w:p>
        </w:tc>
        <w:tc>
          <w:tcPr>
            <w:tcW w:w="1171" w:type="dxa"/>
            <w:shd w:val="clear" w:color="auto" w:fill="auto"/>
            <w:vAlign w:val="center"/>
          </w:tcPr>
          <w:p w14:paraId="2ACF2CE8"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 xml:space="preserve">246,768 </w:t>
            </w:r>
          </w:p>
        </w:tc>
        <w:tc>
          <w:tcPr>
            <w:tcW w:w="1172" w:type="dxa"/>
            <w:shd w:val="clear" w:color="auto" w:fill="auto"/>
            <w:vAlign w:val="center"/>
          </w:tcPr>
          <w:p w14:paraId="68FA8570"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73.40%</w:t>
            </w:r>
          </w:p>
        </w:tc>
        <w:tc>
          <w:tcPr>
            <w:tcW w:w="1318" w:type="dxa"/>
            <w:vAlign w:val="center"/>
          </w:tcPr>
          <w:p w14:paraId="6DDE0CA0"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225,731</w:t>
            </w:r>
          </w:p>
        </w:tc>
        <w:tc>
          <w:tcPr>
            <w:tcW w:w="1024" w:type="dxa"/>
            <w:vAlign w:val="center"/>
          </w:tcPr>
          <w:p w14:paraId="7A974863"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67.91%</w:t>
            </w:r>
          </w:p>
        </w:tc>
        <w:tc>
          <w:tcPr>
            <w:tcW w:w="1022" w:type="dxa"/>
            <w:vAlign w:val="center"/>
          </w:tcPr>
          <w:p w14:paraId="18C0FE52"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223,994</w:t>
            </w:r>
          </w:p>
        </w:tc>
        <w:tc>
          <w:tcPr>
            <w:tcW w:w="1022" w:type="dxa"/>
            <w:vAlign w:val="center"/>
          </w:tcPr>
          <w:p w14:paraId="3EE9491C"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72.84%</w:t>
            </w:r>
          </w:p>
        </w:tc>
      </w:tr>
      <w:tr w:rsidR="00DE1B44" w14:paraId="6F951BBE" w14:textId="77777777">
        <w:trPr>
          <w:trHeight w:val="340"/>
          <w:jc w:val="center"/>
        </w:trPr>
        <w:tc>
          <w:tcPr>
            <w:tcW w:w="9016" w:type="dxa"/>
            <w:gridSpan w:val="7"/>
          </w:tcPr>
          <w:p w14:paraId="0ED3D4BD"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i/>
                <w:iCs/>
                <w:sz w:val="21"/>
                <w:szCs w:val="21"/>
              </w:rPr>
              <w:t>上市</w:t>
            </w:r>
          </w:p>
        </w:tc>
      </w:tr>
      <w:tr w:rsidR="00DE1B44" w14:paraId="74158DBB" w14:textId="77777777">
        <w:trPr>
          <w:trHeight w:val="340"/>
          <w:jc w:val="center"/>
        </w:trPr>
        <w:tc>
          <w:tcPr>
            <w:tcW w:w="9016" w:type="dxa"/>
            <w:gridSpan w:val="7"/>
          </w:tcPr>
          <w:p w14:paraId="465633FF"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境外</w:t>
            </w:r>
          </w:p>
        </w:tc>
      </w:tr>
      <w:tr w:rsidR="00DE1B44" w14:paraId="0011896B" w14:textId="77777777">
        <w:trPr>
          <w:trHeight w:val="340"/>
          <w:jc w:val="center"/>
        </w:trPr>
        <w:tc>
          <w:tcPr>
            <w:tcW w:w="2287" w:type="dxa"/>
            <w:vAlign w:val="center"/>
          </w:tcPr>
          <w:p w14:paraId="79EB45CD"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银行同业及其他金融机构债券</w:t>
            </w:r>
          </w:p>
        </w:tc>
        <w:tc>
          <w:tcPr>
            <w:tcW w:w="1171" w:type="dxa"/>
            <w:shd w:val="clear" w:color="auto" w:fill="auto"/>
            <w:vAlign w:val="center"/>
          </w:tcPr>
          <w:p w14:paraId="51E1C7E0"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459 </w:t>
            </w:r>
          </w:p>
        </w:tc>
        <w:tc>
          <w:tcPr>
            <w:tcW w:w="1172" w:type="dxa"/>
            <w:shd w:val="clear" w:color="auto" w:fill="auto"/>
            <w:vAlign w:val="center"/>
          </w:tcPr>
          <w:p w14:paraId="5DBDC6B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0.14%</w:t>
            </w:r>
          </w:p>
        </w:tc>
        <w:tc>
          <w:tcPr>
            <w:tcW w:w="1318" w:type="dxa"/>
            <w:vAlign w:val="center"/>
          </w:tcPr>
          <w:p w14:paraId="547C9133"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220</w:t>
            </w:r>
          </w:p>
        </w:tc>
        <w:tc>
          <w:tcPr>
            <w:tcW w:w="1024" w:type="dxa"/>
            <w:vAlign w:val="center"/>
          </w:tcPr>
          <w:p w14:paraId="49DB3901"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0.07%</w:t>
            </w:r>
          </w:p>
        </w:tc>
        <w:tc>
          <w:tcPr>
            <w:tcW w:w="1022" w:type="dxa"/>
            <w:vAlign w:val="center"/>
          </w:tcPr>
          <w:p w14:paraId="7A26AF48"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275</w:t>
            </w:r>
          </w:p>
        </w:tc>
        <w:tc>
          <w:tcPr>
            <w:tcW w:w="1022" w:type="dxa"/>
            <w:vAlign w:val="center"/>
          </w:tcPr>
          <w:p w14:paraId="391F47C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0.09%</w:t>
            </w:r>
          </w:p>
        </w:tc>
      </w:tr>
      <w:tr w:rsidR="00DE1B44" w14:paraId="7CDDA72F" w14:textId="77777777">
        <w:trPr>
          <w:trHeight w:val="340"/>
          <w:jc w:val="center"/>
        </w:trPr>
        <w:tc>
          <w:tcPr>
            <w:tcW w:w="2287" w:type="dxa"/>
            <w:vAlign w:val="center"/>
          </w:tcPr>
          <w:p w14:paraId="3BD18578"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企业债券</w:t>
            </w:r>
          </w:p>
        </w:tc>
        <w:tc>
          <w:tcPr>
            <w:tcW w:w="1171" w:type="dxa"/>
            <w:shd w:val="clear" w:color="auto" w:fill="auto"/>
            <w:vAlign w:val="center"/>
          </w:tcPr>
          <w:p w14:paraId="6FFA1DE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213 </w:t>
            </w:r>
          </w:p>
        </w:tc>
        <w:tc>
          <w:tcPr>
            <w:tcW w:w="1172" w:type="dxa"/>
            <w:shd w:val="clear" w:color="auto" w:fill="auto"/>
            <w:vAlign w:val="center"/>
          </w:tcPr>
          <w:p w14:paraId="69599E60"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0.06%</w:t>
            </w:r>
          </w:p>
        </w:tc>
        <w:tc>
          <w:tcPr>
            <w:tcW w:w="1318" w:type="dxa"/>
            <w:vAlign w:val="center"/>
          </w:tcPr>
          <w:p w14:paraId="2E1DAE1B"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346</w:t>
            </w:r>
          </w:p>
        </w:tc>
        <w:tc>
          <w:tcPr>
            <w:tcW w:w="1024" w:type="dxa"/>
            <w:vAlign w:val="center"/>
          </w:tcPr>
          <w:p w14:paraId="43AD047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0.10%</w:t>
            </w:r>
          </w:p>
        </w:tc>
        <w:tc>
          <w:tcPr>
            <w:tcW w:w="1022" w:type="dxa"/>
            <w:vAlign w:val="center"/>
          </w:tcPr>
          <w:p w14:paraId="5F9248F0"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321</w:t>
            </w:r>
          </w:p>
        </w:tc>
        <w:tc>
          <w:tcPr>
            <w:tcW w:w="1022" w:type="dxa"/>
            <w:vAlign w:val="center"/>
          </w:tcPr>
          <w:p w14:paraId="0A050000"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0.11%</w:t>
            </w:r>
          </w:p>
        </w:tc>
      </w:tr>
      <w:tr w:rsidR="00DE1B44" w14:paraId="0AF7DD9F" w14:textId="77777777">
        <w:trPr>
          <w:trHeight w:val="340"/>
          <w:jc w:val="center"/>
        </w:trPr>
        <w:tc>
          <w:tcPr>
            <w:tcW w:w="2287" w:type="dxa"/>
            <w:vAlign w:val="center"/>
          </w:tcPr>
          <w:p w14:paraId="5E63B633" w14:textId="77777777" w:rsidR="00DE1B44" w:rsidRDefault="00D40582">
            <w:pPr>
              <w:suppressAutoHyphens/>
              <w:spacing w:beforeLines="0" w:before="0" w:line="240" w:lineRule="auto"/>
              <w:ind w:firstLineChars="0" w:firstLine="0"/>
              <w:rPr>
                <w:rFonts w:ascii="Times New Roman" w:hAnsi="Times New Roman" w:cs="Times New Roman"/>
                <w:b/>
                <w:bCs/>
                <w:sz w:val="21"/>
                <w:szCs w:val="21"/>
              </w:rPr>
            </w:pPr>
            <w:r>
              <w:rPr>
                <w:rFonts w:ascii="Times New Roman" w:hAnsi="Times New Roman" w:cs="Times New Roman" w:hint="eastAsia"/>
                <w:b/>
                <w:bCs/>
                <w:sz w:val="21"/>
                <w:szCs w:val="21"/>
              </w:rPr>
              <w:t>小计</w:t>
            </w:r>
          </w:p>
        </w:tc>
        <w:tc>
          <w:tcPr>
            <w:tcW w:w="1171" w:type="dxa"/>
            <w:shd w:val="clear" w:color="auto" w:fill="auto"/>
            <w:vAlign w:val="center"/>
          </w:tcPr>
          <w:p w14:paraId="3251B3B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672 </w:t>
            </w:r>
          </w:p>
        </w:tc>
        <w:tc>
          <w:tcPr>
            <w:tcW w:w="1172" w:type="dxa"/>
            <w:shd w:val="clear" w:color="auto" w:fill="auto"/>
            <w:vAlign w:val="center"/>
          </w:tcPr>
          <w:p w14:paraId="03696B7A"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0.20%</w:t>
            </w:r>
          </w:p>
        </w:tc>
        <w:tc>
          <w:tcPr>
            <w:tcW w:w="1318" w:type="dxa"/>
            <w:vAlign w:val="center"/>
          </w:tcPr>
          <w:p w14:paraId="7E4CC690"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sz w:val="21"/>
                <w:szCs w:val="21"/>
              </w:rPr>
              <w:t>566</w:t>
            </w:r>
          </w:p>
        </w:tc>
        <w:tc>
          <w:tcPr>
            <w:tcW w:w="1024" w:type="dxa"/>
            <w:vAlign w:val="center"/>
          </w:tcPr>
          <w:p w14:paraId="626A78B3"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0.17%</w:t>
            </w:r>
          </w:p>
        </w:tc>
        <w:tc>
          <w:tcPr>
            <w:tcW w:w="1022" w:type="dxa"/>
            <w:vAlign w:val="center"/>
          </w:tcPr>
          <w:p w14:paraId="29A54491"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sz w:val="21"/>
                <w:szCs w:val="21"/>
              </w:rPr>
              <w:t>597</w:t>
            </w:r>
          </w:p>
        </w:tc>
        <w:tc>
          <w:tcPr>
            <w:tcW w:w="1022" w:type="dxa"/>
            <w:vAlign w:val="center"/>
          </w:tcPr>
          <w:p w14:paraId="44444AD6"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0.20%</w:t>
            </w:r>
          </w:p>
        </w:tc>
      </w:tr>
      <w:tr w:rsidR="00DE1B44" w14:paraId="4ACDDFDE" w14:textId="77777777">
        <w:trPr>
          <w:trHeight w:val="340"/>
          <w:jc w:val="center"/>
        </w:trPr>
        <w:tc>
          <w:tcPr>
            <w:tcW w:w="2287" w:type="dxa"/>
            <w:vAlign w:val="center"/>
          </w:tcPr>
          <w:p w14:paraId="61FDC320" w14:textId="77777777" w:rsidR="00DE1B44" w:rsidRDefault="00D40582">
            <w:pPr>
              <w:suppressAutoHyphens/>
              <w:spacing w:beforeLines="0" w:before="0" w:line="240" w:lineRule="auto"/>
              <w:ind w:firstLineChars="0" w:firstLine="0"/>
              <w:rPr>
                <w:rFonts w:ascii="Times New Roman" w:hAnsi="Times New Roman" w:cs="Times New Roman"/>
                <w:b/>
                <w:bCs/>
                <w:sz w:val="21"/>
                <w:szCs w:val="21"/>
              </w:rPr>
            </w:pPr>
            <w:r>
              <w:rPr>
                <w:rFonts w:ascii="Times New Roman" w:hAnsi="Times New Roman" w:cs="Times New Roman" w:hint="eastAsia"/>
                <w:b/>
                <w:bCs/>
                <w:sz w:val="21"/>
                <w:szCs w:val="21"/>
              </w:rPr>
              <w:t>债券投资小计</w:t>
            </w:r>
          </w:p>
        </w:tc>
        <w:tc>
          <w:tcPr>
            <w:tcW w:w="1171" w:type="dxa"/>
            <w:shd w:val="clear" w:color="auto" w:fill="auto"/>
            <w:vAlign w:val="center"/>
          </w:tcPr>
          <w:p w14:paraId="5F337C76"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 xml:space="preserve">247,440 </w:t>
            </w:r>
          </w:p>
        </w:tc>
        <w:tc>
          <w:tcPr>
            <w:tcW w:w="1172" w:type="dxa"/>
            <w:shd w:val="clear" w:color="auto" w:fill="auto"/>
            <w:vAlign w:val="center"/>
          </w:tcPr>
          <w:p w14:paraId="553AB2E7"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73.60%</w:t>
            </w:r>
          </w:p>
        </w:tc>
        <w:tc>
          <w:tcPr>
            <w:tcW w:w="1318" w:type="dxa"/>
            <w:vAlign w:val="center"/>
          </w:tcPr>
          <w:p w14:paraId="47EE214F"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226,297</w:t>
            </w:r>
          </w:p>
        </w:tc>
        <w:tc>
          <w:tcPr>
            <w:tcW w:w="1024" w:type="dxa"/>
            <w:vAlign w:val="center"/>
          </w:tcPr>
          <w:p w14:paraId="1580A1ED"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68.08%</w:t>
            </w:r>
          </w:p>
        </w:tc>
        <w:tc>
          <w:tcPr>
            <w:tcW w:w="1022" w:type="dxa"/>
            <w:vAlign w:val="center"/>
          </w:tcPr>
          <w:p w14:paraId="02D0CCDB"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224,591</w:t>
            </w:r>
          </w:p>
        </w:tc>
        <w:tc>
          <w:tcPr>
            <w:tcW w:w="1022" w:type="dxa"/>
            <w:vAlign w:val="center"/>
          </w:tcPr>
          <w:p w14:paraId="1F4F932D"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73.04%</w:t>
            </w:r>
          </w:p>
        </w:tc>
      </w:tr>
      <w:tr w:rsidR="00DE1B44" w14:paraId="1356C109" w14:textId="77777777">
        <w:trPr>
          <w:trHeight w:val="340"/>
          <w:jc w:val="center"/>
        </w:trPr>
        <w:tc>
          <w:tcPr>
            <w:tcW w:w="2287" w:type="dxa"/>
            <w:vAlign w:val="center"/>
          </w:tcPr>
          <w:p w14:paraId="5712332B"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非上市受益权及其他投资</w:t>
            </w:r>
          </w:p>
        </w:tc>
        <w:tc>
          <w:tcPr>
            <w:tcW w:w="1171" w:type="dxa"/>
            <w:shd w:val="clear" w:color="auto" w:fill="auto"/>
            <w:vAlign w:val="center"/>
          </w:tcPr>
          <w:p w14:paraId="7041EB8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90,396 </w:t>
            </w:r>
          </w:p>
        </w:tc>
        <w:tc>
          <w:tcPr>
            <w:tcW w:w="1172" w:type="dxa"/>
            <w:shd w:val="clear" w:color="auto" w:fill="auto"/>
            <w:vAlign w:val="center"/>
          </w:tcPr>
          <w:p w14:paraId="2BF6BF37"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26.89%</w:t>
            </w:r>
          </w:p>
        </w:tc>
        <w:tc>
          <w:tcPr>
            <w:tcW w:w="1318" w:type="dxa"/>
            <w:vAlign w:val="center"/>
          </w:tcPr>
          <w:p w14:paraId="34127AF8"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106,711</w:t>
            </w:r>
          </w:p>
        </w:tc>
        <w:tc>
          <w:tcPr>
            <w:tcW w:w="1024" w:type="dxa"/>
            <w:vAlign w:val="center"/>
          </w:tcPr>
          <w:p w14:paraId="44045BB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32.10%</w:t>
            </w:r>
          </w:p>
        </w:tc>
        <w:tc>
          <w:tcPr>
            <w:tcW w:w="1022" w:type="dxa"/>
            <w:vAlign w:val="center"/>
          </w:tcPr>
          <w:p w14:paraId="763ED989"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83,193</w:t>
            </w:r>
          </w:p>
        </w:tc>
        <w:tc>
          <w:tcPr>
            <w:tcW w:w="1022" w:type="dxa"/>
            <w:vAlign w:val="center"/>
          </w:tcPr>
          <w:p w14:paraId="642C521B"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27.05%</w:t>
            </w:r>
          </w:p>
        </w:tc>
      </w:tr>
      <w:tr w:rsidR="00DE1B44" w14:paraId="7424739A" w14:textId="77777777">
        <w:trPr>
          <w:trHeight w:val="340"/>
          <w:jc w:val="center"/>
        </w:trPr>
        <w:tc>
          <w:tcPr>
            <w:tcW w:w="2287" w:type="dxa"/>
            <w:vAlign w:val="center"/>
          </w:tcPr>
          <w:p w14:paraId="023826FA"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应计利息</w:t>
            </w:r>
          </w:p>
        </w:tc>
        <w:tc>
          <w:tcPr>
            <w:tcW w:w="1171" w:type="dxa"/>
            <w:shd w:val="clear" w:color="auto" w:fill="auto"/>
            <w:vAlign w:val="center"/>
          </w:tcPr>
          <w:p w14:paraId="3F3BFAD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3,957 </w:t>
            </w:r>
          </w:p>
        </w:tc>
        <w:tc>
          <w:tcPr>
            <w:tcW w:w="1172" w:type="dxa"/>
            <w:shd w:val="clear" w:color="auto" w:fill="auto"/>
            <w:vAlign w:val="center"/>
          </w:tcPr>
          <w:p w14:paraId="7B1308E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1.18%</w:t>
            </w:r>
          </w:p>
        </w:tc>
        <w:tc>
          <w:tcPr>
            <w:tcW w:w="1318" w:type="dxa"/>
            <w:vAlign w:val="center"/>
          </w:tcPr>
          <w:p w14:paraId="2448C3D5"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4,236</w:t>
            </w:r>
          </w:p>
        </w:tc>
        <w:tc>
          <w:tcPr>
            <w:tcW w:w="1024" w:type="dxa"/>
            <w:vAlign w:val="center"/>
          </w:tcPr>
          <w:p w14:paraId="168D946E"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1.27%</w:t>
            </w:r>
          </w:p>
        </w:tc>
        <w:tc>
          <w:tcPr>
            <w:tcW w:w="1022" w:type="dxa"/>
            <w:vAlign w:val="center"/>
          </w:tcPr>
          <w:p w14:paraId="5083EF77"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4,200</w:t>
            </w:r>
          </w:p>
        </w:tc>
        <w:tc>
          <w:tcPr>
            <w:tcW w:w="1022" w:type="dxa"/>
            <w:vAlign w:val="center"/>
          </w:tcPr>
          <w:p w14:paraId="70868836"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1.37%</w:t>
            </w:r>
          </w:p>
        </w:tc>
      </w:tr>
      <w:tr w:rsidR="00DE1B44" w14:paraId="1AC8C69B" w14:textId="77777777">
        <w:trPr>
          <w:trHeight w:val="340"/>
          <w:jc w:val="center"/>
        </w:trPr>
        <w:tc>
          <w:tcPr>
            <w:tcW w:w="2287" w:type="dxa"/>
            <w:vAlign w:val="center"/>
          </w:tcPr>
          <w:p w14:paraId="3573E20B"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合计</w:t>
            </w:r>
          </w:p>
        </w:tc>
        <w:tc>
          <w:tcPr>
            <w:tcW w:w="1171" w:type="dxa"/>
            <w:shd w:val="clear" w:color="auto" w:fill="auto"/>
            <w:vAlign w:val="center"/>
          </w:tcPr>
          <w:p w14:paraId="39B386A7"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 xml:space="preserve">341,793 </w:t>
            </w:r>
          </w:p>
        </w:tc>
        <w:tc>
          <w:tcPr>
            <w:tcW w:w="1172" w:type="dxa"/>
            <w:shd w:val="clear" w:color="auto" w:fill="auto"/>
            <w:vAlign w:val="center"/>
          </w:tcPr>
          <w:p w14:paraId="37419986"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101.67%</w:t>
            </w:r>
          </w:p>
        </w:tc>
        <w:tc>
          <w:tcPr>
            <w:tcW w:w="1318" w:type="dxa"/>
            <w:vAlign w:val="center"/>
          </w:tcPr>
          <w:p w14:paraId="6AAB6FE3"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337,243</w:t>
            </w:r>
          </w:p>
        </w:tc>
        <w:tc>
          <w:tcPr>
            <w:tcW w:w="1024" w:type="dxa"/>
            <w:vAlign w:val="center"/>
          </w:tcPr>
          <w:p w14:paraId="4DF038DF"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101.46%</w:t>
            </w:r>
          </w:p>
        </w:tc>
        <w:tc>
          <w:tcPr>
            <w:tcW w:w="1022" w:type="dxa"/>
            <w:vAlign w:val="center"/>
          </w:tcPr>
          <w:p w14:paraId="13C2A1F3"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311,983</w:t>
            </w:r>
          </w:p>
        </w:tc>
        <w:tc>
          <w:tcPr>
            <w:tcW w:w="1022" w:type="dxa"/>
            <w:vAlign w:val="center"/>
          </w:tcPr>
          <w:p w14:paraId="2CCBA013"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101.46%</w:t>
            </w:r>
          </w:p>
        </w:tc>
      </w:tr>
      <w:tr w:rsidR="00DE1B44" w14:paraId="136C32D2" w14:textId="77777777">
        <w:trPr>
          <w:trHeight w:val="340"/>
          <w:jc w:val="center"/>
        </w:trPr>
        <w:tc>
          <w:tcPr>
            <w:tcW w:w="2287" w:type="dxa"/>
            <w:vAlign w:val="center"/>
          </w:tcPr>
          <w:p w14:paraId="2377E9A6" w14:textId="77777777" w:rsidR="00DE1B44" w:rsidRDefault="00D40582">
            <w:pPr>
              <w:suppressAutoHyphens/>
              <w:spacing w:beforeLines="0" w:before="0" w:line="240" w:lineRule="auto"/>
              <w:ind w:firstLineChars="0" w:firstLine="0"/>
              <w:rPr>
                <w:rFonts w:ascii="Times New Roman" w:hAnsi="Times New Roman" w:cs="Times New Roman"/>
                <w:bCs/>
                <w:sz w:val="21"/>
                <w:szCs w:val="21"/>
              </w:rPr>
            </w:pPr>
            <w:r>
              <w:rPr>
                <w:rFonts w:ascii="Times New Roman" w:hAnsi="Times New Roman" w:cs="Times New Roman" w:hint="eastAsia"/>
                <w:bCs/>
                <w:sz w:val="21"/>
                <w:szCs w:val="21"/>
              </w:rPr>
              <w:t>减：减值准备</w:t>
            </w:r>
          </w:p>
        </w:tc>
        <w:tc>
          <w:tcPr>
            <w:tcW w:w="1171" w:type="dxa"/>
            <w:shd w:val="clear" w:color="auto" w:fill="auto"/>
            <w:vAlign w:val="center"/>
          </w:tcPr>
          <w:p w14:paraId="4A4B47C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(5,613)</w:t>
            </w:r>
          </w:p>
        </w:tc>
        <w:tc>
          <w:tcPr>
            <w:tcW w:w="1172" w:type="dxa"/>
            <w:shd w:val="clear" w:color="auto" w:fill="auto"/>
            <w:vAlign w:val="center"/>
          </w:tcPr>
          <w:p w14:paraId="450D0877"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hint="eastAsia"/>
                <w:color w:val="000000"/>
                <w:sz w:val="21"/>
                <w:szCs w:val="21"/>
              </w:rPr>
              <w:t>(</w:t>
            </w:r>
            <w:r>
              <w:rPr>
                <w:rFonts w:ascii="Times New Roman" w:eastAsia="等线" w:hAnsi="Times New Roman" w:cs="Times New Roman"/>
                <w:color w:val="000000"/>
                <w:sz w:val="21"/>
                <w:szCs w:val="21"/>
              </w:rPr>
              <w:t>1.67%)</w:t>
            </w:r>
          </w:p>
        </w:tc>
        <w:tc>
          <w:tcPr>
            <w:tcW w:w="1318" w:type="dxa"/>
            <w:vAlign w:val="center"/>
          </w:tcPr>
          <w:p w14:paraId="200A840A"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(4,842)</w:t>
            </w:r>
          </w:p>
        </w:tc>
        <w:tc>
          <w:tcPr>
            <w:tcW w:w="1024" w:type="dxa"/>
            <w:vAlign w:val="center"/>
          </w:tcPr>
          <w:p w14:paraId="4E78400F"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(1.46%)</w:t>
            </w:r>
          </w:p>
        </w:tc>
        <w:tc>
          <w:tcPr>
            <w:tcW w:w="1022" w:type="dxa"/>
            <w:vAlign w:val="center"/>
          </w:tcPr>
          <w:p w14:paraId="763E63C6"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(4,483)</w:t>
            </w:r>
          </w:p>
        </w:tc>
        <w:tc>
          <w:tcPr>
            <w:tcW w:w="1022" w:type="dxa"/>
            <w:vAlign w:val="center"/>
          </w:tcPr>
          <w:p w14:paraId="5286AB73"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(1.46%)</w:t>
            </w:r>
          </w:p>
        </w:tc>
      </w:tr>
      <w:tr w:rsidR="00DE1B44" w14:paraId="15B5A0A6" w14:textId="77777777">
        <w:trPr>
          <w:trHeight w:val="340"/>
          <w:jc w:val="center"/>
        </w:trPr>
        <w:tc>
          <w:tcPr>
            <w:tcW w:w="2287" w:type="dxa"/>
            <w:vAlign w:val="center"/>
          </w:tcPr>
          <w:p w14:paraId="38E6662D" w14:textId="77777777" w:rsidR="00DE1B44" w:rsidRDefault="00D40582">
            <w:pPr>
              <w:suppressAutoHyphens/>
              <w:spacing w:beforeLines="0" w:before="0" w:line="240" w:lineRule="auto"/>
              <w:ind w:firstLineChars="0" w:firstLine="0"/>
              <w:rPr>
                <w:rFonts w:ascii="Times New Roman" w:hAnsi="Times New Roman" w:cs="Times New Roman"/>
                <w:b/>
                <w:sz w:val="21"/>
                <w:szCs w:val="21"/>
              </w:rPr>
            </w:pPr>
            <w:r>
              <w:rPr>
                <w:rFonts w:ascii="Times New Roman" w:hAnsi="Times New Roman" w:cs="Times New Roman" w:hint="eastAsia"/>
                <w:b/>
                <w:sz w:val="21"/>
                <w:szCs w:val="21"/>
              </w:rPr>
              <w:t>账面价值</w:t>
            </w:r>
          </w:p>
        </w:tc>
        <w:tc>
          <w:tcPr>
            <w:tcW w:w="1171" w:type="dxa"/>
            <w:shd w:val="clear" w:color="auto" w:fill="auto"/>
            <w:vAlign w:val="center"/>
          </w:tcPr>
          <w:p w14:paraId="79EA958D"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 xml:space="preserve">336,181 </w:t>
            </w:r>
          </w:p>
        </w:tc>
        <w:tc>
          <w:tcPr>
            <w:tcW w:w="1172" w:type="dxa"/>
            <w:shd w:val="clear" w:color="auto" w:fill="auto"/>
            <w:vAlign w:val="center"/>
          </w:tcPr>
          <w:p w14:paraId="37782DD2"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100.00%</w:t>
            </w:r>
          </w:p>
        </w:tc>
        <w:tc>
          <w:tcPr>
            <w:tcW w:w="1318" w:type="dxa"/>
            <w:vAlign w:val="center"/>
          </w:tcPr>
          <w:p w14:paraId="1882A4D6"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332,401</w:t>
            </w:r>
          </w:p>
        </w:tc>
        <w:tc>
          <w:tcPr>
            <w:tcW w:w="1024" w:type="dxa"/>
            <w:vAlign w:val="center"/>
          </w:tcPr>
          <w:p w14:paraId="66FA6D85"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100.00%</w:t>
            </w:r>
          </w:p>
        </w:tc>
        <w:tc>
          <w:tcPr>
            <w:tcW w:w="1022" w:type="dxa"/>
            <w:vAlign w:val="center"/>
          </w:tcPr>
          <w:p w14:paraId="304887F8"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307,501</w:t>
            </w:r>
          </w:p>
        </w:tc>
        <w:tc>
          <w:tcPr>
            <w:tcW w:w="1022" w:type="dxa"/>
            <w:vAlign w:val="center"/>
          </w:tcPr>
          <w:p w14:paraId="69950A36"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100.00%</w:t>
            </w:r>
          </w:p>
        </w:tc>
      </w:tr>
    </w:tbl>
    <w:p w14:paraId="73E0AA69" w14:textId="77777777" w:rsidR="00DE1B44" w:rsidRDefault="00D40582">
      <w:pPr>
        <w:snapToGrid w:val="0"/>
        <w:spacing w:before="120"/>
        <w:ind w:firstLine="480"/>
        <w:rPr>
          <w:rFonts w:ascii="Times New Roman" w:hAnsi="Times New Roman" w:cs="Times New Roman"/>
        </w:rPr>
      </w:pPr>
      <w:r>
        <w:rPr>
          <w:rFonts w:cs="Times New Roman" w:hint="eastAsia"/>
        </w:rPr>
        <w:t>③</w:t>
      </w:r>
      <w:r>
        <w:rPr>
          <w:rFonts w:ascii="Times New Roman" w:hAnsi="Times New Roman" w:cs="Times New Roman" w:hint="eastAsia"/>
        </w:rPr>
        <w:t>其他债权投资</w:t>
      </w:r>
    </w:p>
    <w:p w14:paraId="0CF6817F" w14:textId="77777777" w:rsidR="00DE1B44" w:rsidRDefault="00D40582">
      <w:pPr>
        <w:spacing w:before="120"/>
        <w:ind w:firstLine="480"/>
        <w:rPr>
          <w:rFonts w:ascii="Times New Roman" w:hAnsi="Times New Roman" w:cs="Times New Roman"/>
        </w:rPr>
      </w:pPr>
      <w:r>
        <w:rPr>
          <w:rFonts w:ascii="Times New Roman" w:hAnsi="Times New Roman" w:cs="Times New Roman"/>
        </w:rPr>
        <w:lastRenderedPageBreak/>
        <w:t>本行</w:t>
      </w:r>
      <w:r>
        <w:rPr>
          <w:rFonts w:ascii="Times New Roman" w:hAnsi="Times New Roman" w:cs="Times New Roman" w:hint="eastAsia"/>
        </w:rPr>
        <w:t>其他债权</w:t>
      </w:r>
      <w:r>
        <w:rPr>
          <w:rFonts w:ascii="Times New Roman" w:hAnsi="Times New Roman" w:cs="Times New Roman"/>
        </w:rPr>
        <w:t>投资主要为政府</w:t>
      </w:r>
      <w:r>
        <w:rPr>
          <w:rFonts w:ascii="Times New Roman" w:hAnsi="Times New Roman" w:cs="Times New Roman" w:hint="eastAsia"/>
        </w:rPr>
        <w:t>债券</w:t>
      </w:r>
      <w:r>
        <w:rPr>
          <w:rFonts w:ascii="Times New Roman" w:hAnsi="Times New Roman" w:cs="Times New Roman"/>
        </w:rPr>
        <w:t>、</w:t>
      </w:r>
      <w:r>
        <w:rPr>
          <w:rFonts w:ascii="Times New Roman" w:hAnsi="Times New Roman" w:cs="Times New Roman" w:hint="eastAsia"/>
        </w:rPr>
        <w:t>政策性银行债券</w:t>
      </w:r>
      <w:r>
        <w:rPr>
          <w:rFonts w:ascii="Times New Roman" w:hAnsi="Times New Roman" w:cs="Times New Roman"/>
        </w:rPr>
        <w:t>、</w:t>
      </w:r>
      <w:r>
        <w:rPr>
          <w:rFonts w:ascii="Times New Roman" w:hAnsi="Times New Roman" w:cs="Times New Roman" w:hint="eastAsia"/>
        </w:rPr>
        <w:t>银行同业及其他金融机构债券</w:t>
      </w:r>
      <w:r>
        <w:rPr>
          <w:rFonts w:ascii="Times New Roman" w:hAnsi="Times New Roman" w:cs="Times New Roman"/>
        </w:rPr>
        <w:t>等。其中政府</w:t>
      </w:r>
      <w:r>
        <w:rPr>
          <w:rFonts w:ascii="Times New Roman" w:hAnsi="Times New Roman" w:cs="Times New Roman" w:hint="eastAsia"/>
        </w:rPr>
        <w:t>债券</w:t>
      </w:r>
      <w:proofErr w:type="gramStart"/>
      <w:r>
        <w:rPr>
          <w:rFonts w:ascii="Times New Roman" w:hAnsi="Times New Roman" w:cs="Times New Roman"/>
        </w:rPr>
        <w:t>占比较</w:t>
      </w:r>
      <w:proofErr w:type="gramEnd"/>
      <w:r>
        <w:rPr>
          <w:rFonts w:ascii="Times New Roman" w:hAnsi="Times New Roman" w:cs="Times New Roman"/>
        </w:rPr>
        <w:t>高，截至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w:t>
      </w:r>
      <w:r>
        <w:rPr>
          <w:rFonts w:ascii="Times New Roman" w:hAnsi="Times New Roman" w:cs="Times New Roman" w:hint="eastAsia"/>
        </w:rPr>
        <w:t>占其他债权</w:t>
      </w:r>
      <w:r>
        <w:rPr>
          <w:rFonts w:ascii="Times New Roman" w:hAnsi="Times New Roman" w:cs="Times New Roman"/>
        </w:rPr>
        <w:t>投资</w:t>
      </w:r>
      <w:r>
        <w:rPr>
          <w:rFonts w:ascii="Times New Roman" w:hAnsi="Times New Roman" w:cs="Times New Roman" w:hint="eastAsia"/>
        </w:rPr>
        <w:t>的</w:t>
      </w:r>
      <w:r>
        <w:rPr>
          <w:rFonts w:ascii="Times New Roman" w:hAnsi="Times New Roman" w:cs="Times New Roman"/>
        </w:rPr>
        <w:t>比例分别为</w:t>
      </w:r>
      <w:r>
        <w:rPr>
          <w:rFonts w:ascii="Times New Roman" w:hAnsi="Times New Roman" w:cs="Times New Roman" w:hint="eastAsia"/>
        </w:rPr>
        <w:t>4</w:t>
      </w:r>
      <w:r>
        <w:rPr>
          <w:rFonts w:ascii="Times New Roman" w:hAnsi="Times New Roman" w:cs="Times New Roman"/>
        </w:rPr>
        <w:t>0.50%</w:t>
      </w:r>
      <w:r>
        <w:rPr>
          <w:rFonts w:ascii="Times New Roman" w:hAnsi="Times New Roman" w:cs="Times New Roman" w:hint="eastAsia"/>
        </w:rPr>
        <w:t>、</w:t>
      </w:r>
      <w:r>
        <w:rPr>
          <w:rFonts w:ascii="Times New Roman" w:hAnsi="Times New Roman" w:cs="Times New Roman" w:hint="eastAsia"/>
        </w:rPr>
        <w:t>5</w:t>
      </w:r>
      <w:r>
        <w:rPr>
          <w:rFonts w:ascii="Times New Roman" w:hAnsi="Times New Roman" w:cs="Times New Roman"/>
        </w:rPr>
        <w:t>3.16%</w:t>
      </w:r>
      <w:r>
        <w:rPr>
          <w:rFonts w:ascii="Times New Roman" w:hAnsi="Times New Roman" w:cs="Times New Roman" w:hint="eastAsia"/>
        </w:rPr>
        <w:t>和</w:t>
      </w:r>
      <w:r>
        <w:rPr>
          <w:rFonts w:ascii="Times New Roman" w:hAnsi="Times New Roman" w:cs="Times New Roman" w:hint="eastAsia"/>
        </w:rPr>
        <w:t>4</w:t>
      </w:r>
      <w:r>
        <w:rPr>
          <w:rFonts w:ascii="Times New Roman" w:hAnsi="Times New Roman" w:cs="Times New Roman"/>
        </w:rPr>
        <w:t>3.84%</w:t>
      </w:r>
      <w:r>
        <w:rPr>
          <w:rFonts w:ascii="Times New Roman" w:hAnsi="Times New Roman" w:cs="Times New Roman"/>
        </w:rPr>
        <w:t>。</w:t>
      </w:r>
    </w:p>
    <w:p w14:paraId="67D2A8A5" w14:textId="77777777" w:rsidR="00DE1B44" w:rsidRDefault="00D40582">
      <w:pPr>
        <w:spacing w:before="120"/>
        <w:ind w:firstLine="480"/>
        <w:rPr>
          <w:rFonts w:ascii="Times New Roman" w:hAnsi="Times New Roman" w:cs="Times New Roman"/>
        </w:rPr>
      </w:pPr>
      <w:r>
        <w:rPr>
          <w:rFonts w:ascii="Times New Roman" w:hAnsi="Times New Roman" w:cs="Times New Roman"/>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w:t>
      </w:r>
      <w:r>
        <w:rPr>
          <w:rFonts w:ascii="Times New Roman" w:hAnsi="Times New Roman" w:cs="Times New Roman" w:hint="eastAsia"/>
        </w:rPr>
        <w:t>本行其他债权投资</w:t>
      </w:r>
      <w:r>
        <w:rPr>
          <w:rFonts w:ascii="Times New Roman" w:hAnsi="Times New Roman" w:cs="Times New Roman"/>
        </w:rPr>
        <w:t>构成情况如下：</w:t>
      </w:r>
    </w:p>
    <w:p w14:paraId="179CB509"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2287"/>
        <w:gridCol w:w="1171"/>
        <w:gridCol w:w="1172"/>
        <w:gridCol w:w="1318"/>
        <w:gridCol w:w="1024"/>
        <w:gridCol w:w="1022"/>
        <w:gridCol w:w="1022"/>
      </w:tblGrid>
      <w:tr w:rsidR="00DE1B44" w14:paraId="10D9F46A" w14:textId="77777777">
        <w:trPr>
          <w:trHeight w:val="340"/>
          <w:tblHeader/>
          <w:jc w:val="center"/>
        </w:trPr>
        <w:tc>
          <w:tcPr>
            <w:tcW w:w="2287" w:type="dxa"/>
            <w:vMerge w:val="restart"/>
            <w:vAlign w:val="center"/>
          </w:tcPr>
          <w:p w14:paraId="71D9CDBE"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项目</w:t>
            </w:r>
          </w:p>
        </w:tc>
        <w:tc>
          <w:tcPr>
            <w:tcW w:w="2343" w:type="dxa"/>
            <w:gridSpan w:val="2"/>
            <w:vAlign w:val="center"/>
          </w:tcPr>
          <w:p w14:paraId="4BB6EA0F"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2</w:t>
            </w:r>
            <w:r>
              <w:rPr>
                <w:rFonts w:ascii="Times New Roman" w:hAnsi="Times New Roman" w:cs="Times New Roman"/>
                <w:b/>
                <w:sz w:val="21"/>
                <w:szCs w:val="21"/>
              </w:rPr>
              <w:t>021</w:t>
            </w:r>
            <w:r>
              <w:rPr>
                <w:rFonts w:ascii="Times New Roman" w:hAnsi="Times New Roman" w:cs="Times New Roman" w:hint="eastAsia"/>
                <w:b/>
                <w:sz w:val="21"/>
                <w:szCs w:val="21"/>
              </w:rPr>
              <w:t>年</w:t>
            </w:r>
            <w:r>
              <w:rPr>
                <w:rFonts w:ascii="Times New Roman" w:hAnsi="Times New Roman" w:cs="Times New Roman" w:hint="eastAsia"/>
                <w:b/>
                <w:sz w:val="21"/>
                <w:szCs w:val="21"/>
              </w:rPr>
              <w:t>6</w:t>
            </w:r>
            <w:r>
              <w:rPr>
                <w:rFonts w:ascii="Times New Roman" w:hAnsi="Times New Roman" w:cs="Times New Roman" w:hint="eastAsia"/>
                <w:b/>
                <w:sz w:val="21"/>
                <w:szCs w:val="21"/>
              </w:rPr>
              <w:t>月</w:t>
            </w:r>
            <w:r>
              <w:rPr>
                <w:rFonts w:ascii="Times New Roman" w:hAnsi="Times New Roman" w:cs="Times New Roman" w:hint="eastAsia"/>
                <w:b/>
                <w:sz w:val="21"/>
                <w:szCs w:val="21"/>
              </w:rPr>
              <w:t>3</w:t>
            </w:r>
            <w:r>
              <w:rPr>
                <w:rFonts w:ascii="Times New Roman" w:hAnsi="Times New Roman" w:cs="Times New Roman"/>
                <w:b/>
                <w:sz w:val="21"/>
                <w:szCs w:val="21"/>
              </w:rPr>
              <w:t>0</w:t>
            </w:r>
            <w:r>
              <w:rPr>
                <w:rFonts w:ascii="Times New Roman" w:hAnsi="Times New Roman" w:cs="Times New Roman" w:hint="eastAsia"/>
                <w:b/>
                <w:sz w:val="21"/>
                <w:szCs w:val="21"/>
              </w:rPr>
              <w:t>日</w:t>
            </w:r>
          </w:p>
        </w:tc>
        <w:tc>
          <w:tcPr>
            <w:tcW w:w="2342" w:type="dxa"/>
            <w:gridSpan w:val="2"/>
            <w:vAlign w:val="center"/>
          </w:tcPr>
          <w:p w14:paraId="433E1AFD"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2020</w:t>
            </w:r>
            <w:r>
              <w:rPr>
                <w:rFonts w:ascii="Times New Roman" w:hAnsi="Times New Roman" w:cs="Times New Roman"/>
                <w:b/>
                <w:sz w:val="21"/>
                <w:szCs w:val="21"/>
              </w:rPr>
              <w:t>年</w:t>
            </w:r>
            <w:r>
              <w:rPr>
                <w:rFonts w:ascii="Times New Roman" w:hAnsi="Times New Roman" w:cs="Times New Roman"/>
                <w:b/>
                <w:sz w:val="21"/>
                <w:szCs w:val="21"/>
              </w:rPr>
              <w:t>12</w:t>
            </w:r>
            <w:r>
              <w:rPr>
                <w:rFonts w:ascii="Times New Roman" w:hAnsi="Times New Roman" w:cs="Times New Roman"/>
                <w:b/>
                <w:sz w:val="21"/>
                <w:szCs w:val="21"/>
              </w:rPr>
              <w:t>月</w:t>
            </w:r>
            <w:r>
              <w:rPr>
                <w:rFonts w:ascii="Times New Roman" w:hAnsi="Times New Roman" w:cs="Times New Roman"/>
                <w:b/>
                <w:sz w:val="21"/>
                <w:szCs w:val="21"/>
              </w:rPr>
              <w:t>31</w:t>
            </w:r>
            <w:r>
              <w:rPr>
                <w:rFonts w:ascii="Times New Roman" w:hAnsi="Times New Roman" w:cs="Times New Roman"/>
                <w:b/>
                <w:sz w:val="21"/>
                <w:szCs w:val="21"/>
              </w:rPr>
              <w:t>日</w:t>
            </w:r>
          </w:p>
        </w:tc>
        <w:tc>
          <w:tcPr>
            <w:tcW w:w="2044" w:type="dxa"/>
            <w:gridSpan w:val="2"/>
            <w:vAlign w:val="center"/>
          </w:tcPr>
          <w:p w14:paraId="409E3812"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2019</w:t>
            </w:r>
            <w:r>
              <w:rPr>
                <w:rFonts w:ascii="Times New Roman" w:hAnsi="Times New Roman" w:cs="Times New Roman"/>
                <w:b/>
                <w:sz w:val="21"/>
                <w:szCs w:val="21"/>
              </w:rPr>
              <w:t>年</w:t>
            </w:r>
            <w:r>
              <w:rPr>
                <w:rFonts w:ascii="Times New Roman" w:hAnsi="Times New Roman" w:cs="Times New Roman"/>
                <w:b/>
                <w:sz w:val="21"/>
                <w:szCs w:val="21"/>
              </w:rPr>
              <w:t>12</w:t>
            </w:r>
            <w:r>
              <w:rPr>
                <w:rFonts w:ascii="Times New Roman" w:hAnsi="Times New Roman" w:cs="Times New Roman"/>
                <w:b/>
                <w:sz w:val="21"/>
                <w:szCs w:val="21"/>
              </w:rPr>
              <w:t>月</w:t>
            </w:r>
            <w:r>
              <w:rPr>
                <w:rFonts w:ascii="Times New Roman" w:hAnsi="Times New Roman" w:cs="Times New Roman"/>
                <w:b/>
                <w:sz w:val="21"/>
                <w:szCs w:val="21"/>
              </w:rPr>
              <w:t>31</w:t>
            </w:r>
            <w:r>
              <w:rPr>
                <w:rFonts w:ascii="Times New Roman" w:hAnsi="Times New Roman" w:cs="Times New Roman"/>
                <w:b/>
                <w:sz w:val="21"/>
                <w:szCs w:val="21"/>
              </w:rPr>
              <w:t>日</w:t>
            </w:r>
          </w:p>
        </w:tc>
      </w:tr>
      <w:tr w:rsidR="00DE1B44" w14:paraId="53B91042" w14:textId="77777777">
        <w:trPr>
          <w:trHeight w:val="340"/>
          <w:tblHeader/>
          <w:jc w:val="center"/>
        </w:trPr>
        <w:tc>
          <w:tcPr>
            <w:tcW w:w="2287" w:type="dxa"/>
            <w:vMerge/>
            <w:vAlign w:val="center"/>
          </w:tcPr>
          <w:p w14:paraId="1482533D" w14:textId="77777777" w:rsidR="00DE1B44" w:rsidRDefault="00DE1B44">
            <w:pPr>
              <w:suppressAutoHyphens/>
              <w:spacing w:beforeLines="0" w:before="0" w:line="240" w:lineRule="auto"/>
              <w:ind w:firstLineChars="0" w:firstLine="0"/>
              <w:jc w:val="left"/>
              <w:rPr>
                <w:rFonts w:ascii="Times New Roman" w:hAnsi="Times New Roman" w:cs="Times New Roman"/>
                <w:b/>
                <w:sz w:val="21"/>
                <w:szCs w:val="21"/>
              </w:rPr>
            </w:pPr>
          </w:p>
        </w:tc>
        <w:tc>
          <w:tcPr>
            <w:tcW w:w="1171" w:type="dxa"/>
            <w:vAlign w:val="center"/>
          </w:tcPr>
          <w:p w14:paraId="66BFFEA2"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金额</w:t>
            </w:r>
          </w:p>
        </w:tc>
        <w:tc>
          <w:tcPr>
            <w:tcW w:w="1172" w:type="dxa"/>
            <w:vAlign w:val="center"/>
          </w:tcPr>
          <w:p w14:paraId="6E9884E2"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比例</w:t>
            </w:r>
          </w:p>
        </w:tc>
        <w:tc>
          <w:tcPr>
            <w:tcW w:w="1318" w:type="dxa"/>
            <w:vAlign w:val="center"/>
          </w:tcPr>
          <w:p w14:paraId="6C2ED1DA"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金额</w:t>
            </w:r>
          </w:p>
        </w:tc>
        <w:tc>
          <w:tcPr>
            <w:tcW w:w="1024" w:type="dxa"/>
            <w:vAlign w:val="center"/>
          </w:tcPr>
          <w:p w14:paraId="5B358CDB"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比例</w:t>
            </w:r>
          </w:p>
        </w:tc>
        <w:tc>
          <w:tcPr>
            <w:tcW w:w="1022" w:type="dxa"/>
            <w:vAlign w:val="center"/>
          </w:tcPr>
          <w:p w14:paraId="3069A6B8"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金额</w:t>
            </w:r>
          </w:p>
        </w:tc>
        <w:tc>
          <w:tcPr>
            <w:tcW w:w="1022" w:type="dxa"/>
            <w:vAlign w:val="center"/>
          </w:tcPr>
          <w:p w14:paraId="602DAFAB"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比例</w:t>
            </w:r>
          </w:p>
        </w:tc>
      </w:tr>
      <w:tr w:rsidR="00DE1B44" w14:paraId="1E558B37" w14:textId="77777777">
        <w:trPr>
          <w:trHeight w:val="340"/>
          <w:jc w:val="center"/>
        </w:trPr>
        <w:tc>
          <w:tcPr>
            <w:tcW w:w="9016" w:type="dxa"/>
            <w:gridSpan w:val="7"/>
          </w:tcPr>
          <w:p w14:paraId="7DB18558" w14:textId="77777777" w:rsidR="00DE1B44" w:rsidRDefault="00D40582">
            <w:pPr>
              <w:suppressAutoHyphens/>
              <w:spacing w:beforeLines="0" w:before="0" w:line="240" w:lineRule="auto"/>
              <w:ind w:firstLineChars="0" w:firstLine="0"/>
              <w:jc w:val="left"/>
              <w:rPr>
                <w:rFonts w:ascii="Times New Roman" w:hAnsi="Times New Roman" w:cs="Times New Roman"/>
                <w:sz w:val="21"/>
                <w:szCs w:val="21"/>
              </w:rPr>
            </w:pPr>
            <w:r>
              <w:rPr>
                <w:rFonts w:ascii="Times New Roman" w:hAnsi="Times New Roman" w:cs="Times New Roman" w:hint="eastAsia"/>
                <w:i/>
                <w:iCs/>
                <w:sz w:val="21"/>
                <w:szCs w:val="21"/>
              </w:rPr>
              <w:t>非上市</w:t>
            </w:r>
          </w:p>
        </w:tc>
      </w:tr>
      <w:tr w:rsidR="00DE1B44" w14:paraId="3C06C1A4" w14:textId="77777777">
        <w:trPr>
          <w:trHeight w:val="340"/>
          <w:jc w:val="center"/>
        </w:trPr>
        <w:tc>
          <w:tcPr>
            <w:tcW w:w="9016" w:type="dxa"/>
            <w:gridSpan w:val="7"/>
          </w:tcPr>
          <w:p w14:paraId="52CA7567" w14:textId="77777777" w:rsidR="00DE1B44" w:rsidRDefault="00D40582">
            <w:pPr>
              <w:suppressAutoHyphens/>
              <w:spacing w:beforeLines="0" w:before="0" w:line="240" w:lineRule="auto"/>
              <w:ind w:firstLineChars="0" w:firstLine="0"/>
              <w:jc w:val="left"/>
              <w:rPr>
                <w:rFonts w:ascii="Times New Roman" w:hAnsi="Times New Roman" w:cs="Times New Roman"/>
                <w:sz w:val="21"/>
                <w:szCs w:val="21"/>
              </w:rPr>
            </w:pPr>
            <w:r>
              <w:rPr>
                <w:rFonts w:ascii="Times New Roman" w:hAnsi="Times New Roman" w:cs="Times New Roman" w:hint="eastAsia"/>
                <w:sz w:val="21"/>
                <w:szCs w:val="21"/>
              </w:rPr>
              <w:t>境内</w:t>
            </w:r>
          </w:p>
        </w:tc>
      </w:tr>
      <w:tr w:rsidR="00DE1B44" w14:paraId="3474D739" w14:textId="77777777">
        <w:trPr>
          <w:trHeight w:val="340"/>
          <w:jc w:val="center"/>
        </w:trPr>
        <w:tc>
          <w:tcPr>
            <w:tcW w:w="2287" w:type="dxa"/>
            <w:vAlign w:val="center"/>
          </w:tcPr>
          <w:p w14:paraId="6A3F8685"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政府债券</w:t>
            </w:r>
          </w:p>
        </w:tc>
        <w:tc>
          <w:tcPr>
            <w:tcW w:w="1171" w:type="dxa"/>
            <w:shd w:val="clear" w:color="auto" w:fill="auto"/>
            <w:vAlign w:val="center"/>
          </w:tcPr>
          <w:p w14:paraId="22188345"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95,715</w:t>
            </w:r>
          </w:p>
        </w:tc>
        <w:tc>
          <w:tcPr>
            <w:tcW w:w="1172" w:type="dxa"/>
            <w:shd w:val="clear" w:color="auto" w:fill="auto"/>
            <w:vAlign w:val="center"/>
          </w:tcPr>
          <w:p w14:paraId="2170B793"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43.84%</w:t>
            </w:r>
          </w:p>
        </w:tc>
        <w:tc>
          <w:tcPr>
            <w:tcW w:w="1318" w:type="dxa"/>
            <w:vAlign w:val="center"/>
          </w:tcPr>
          <w:p w14:paraId="7C3F3D25"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129,611</w:t>
            </w:r>
          </w:p>
        </w:tc>
        <w:tc>
          <w:tcPr>
            <w:tcW w:w="1024" w:type="dxa"/>
            <w:vAlign w:val="center"/>
          </w:tcPr>
          <w:p w14:paraId="21199DDE"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53.16%</w:t>
            </w:r>
          </w:p>
        </w:tc>
        <w:tc>
          <w:tcPr>
            <w:tcW w:w="1022" w:type="dxa"/>
            <w:vAlign w:val="center"/>
          </w:tcPr>
          <w:p w14:paraId="6ECA1700"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77,819</w:t>
            </w:r>
          </w:p>
        </w:tc>
        <w:tc>
          <w:tcPr>
            <w:tcW w:w="1022" w:type="dxa"/>
            <w:vAlign w:val="center"/>
          </w:tcPr>
          <w:p w14:paraId="59E15488"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40.50%</w:t>
            </w:r>
          </w:p>
        </w:tc>
      </w:tr>
      <w:tr w:rsidR="00DE1B44" w14:paraId="7B9C012C" w14:textId="77777777">
        <w:trPr>
          <w:trHeight w:val="340"/>
          <w:jc w:val="center"/>
        </w:trPr>
        <w:tc>
          <w:tcPr>
            <w:tcW w:w="2287" w:type="dxa"/>
            <w:vAlign w:val="center"/>
          </w:tcPr>
          <w:p w14:paraId="01717C2E"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政策性银行债券</w:t>
            </w:r>
          </w:p>
        </w:tc>
        <w:tc>
          <w:tcPr>
            <w:tcW w:w="1171" w:type="dxa"/>
            <w:shd w:val="clear" w:color="auto" w:fill="auto"/>
            <w:vAlign w:val="center"/>
          </w:tcPr>
          <w:p w14:paraId="79B59559"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65,376</w:t>
            </w:r>
          </w:p>
        </w:tc>
        <w:tc>
          <w:tcPr>
            <w:tcW w:w="1172" w:type="dxa"/>
            <w:shd w:val="clear" w:color="auto" w:fill="auto"/>
            <w:vAlign w:val="center"/>
          </w:tcPr>
          <w:p w14:paraId="462F70B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29.94%</w:t>
            </w:r>
          </w:p>
        </w:tc>
        <w:tc>
          <w:tcPr>
            <w:tcW w:w="1318" w:type="dxa"/>
            <w:vAlign w:val="center"/>
          </w:tcPr>
          <w:p w14:paraId="25040BC0"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62,197</w:t>
            </w:r>
          </w:p>
        </w:tc>
        <w:tc>
          <w:tcPr>
            <w:tcW w:w="1024" w:type="dxa"/>
            <w:vAlign w:val="center"/>
          </w:tcPr>
          <w:p w14:paraId="2743947A"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25.51%</w:t>
            </w:r>
          </w:p>
        </w:tc>
        <w:tc>
          <w:tcPr>
            <w:tcW w:w="1022" w:type="dxa"/>
            <w:vAlign w:val="center"/>
          </w:tcPr>
          <w:p w14:paraId="66A3C9FC"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53,438</w:t>
            </w:r>
          </w:p>
        </w:tc>
        <w:tc>
          <w:tcPr>
            <w:tcW w:w="1022" w:type="dxa"/>
            <w:vAlign w:val="center"/>
          </w:tcPr>
          <w:p w14:paraId="3488B53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27.81%</w:t>
            </w:r>
          </w:p>
        </w:tc>
      </w:tr>
      <w:tr w:rsidR="00DE1B44" w14:paraId="6D42E27E" w14:textId="77777777">
        <w:trPr>
          <w:trHeight w:val="340"/>
          <w:jc w:val="center"/>
        </w:trPr>
        <w:tc>
          <w:tcPr>
            <w:tcW w:w="2287" w:type="dxa"/>
            <w:vAlign w:val="center"/>
          </w:tcPr>
          <w:p w14:paraId="2AE5F62A"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银行同业及其他金融机构债券</w:t>
            </w:r>
          </w:p>
        </w:tc>
        <w:tc>
          <w:tcPr>
            <w:tcW w:w="1171" w:type="dxa"/>
            <w:shd w:val="clear" w:color="auto" w:fill="auto"/>
            <w:vAlign w:val="center"/>
          </w:tcPr>
          <w:p w14:paraId="5321626D"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42,436</w:t>
            </w:r>
          </w:p>
        </w:tc>
        <w:tc>
          <w:tcPr>
            <w:tcW w:w="1172" w:type="dxa"/>
            <w:shd w:val="clear" w:color="auto" w:fill="auto"/>
            <w:vAlign w:val="center"/>
          </w:tcPr>
          <w:p w14:paraId="42C9E02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19.44%</w:t>
            </w:r>
          </w:p>
        </w:tc>
        <w:tc>
          <w:tcPr>
            <w:tcW w:w="1318" w:type="dxa"/>
            <w:vAlign w:val="center"/>
          </w:tcPr>
          <w:p w14:paraId="55A8982C"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36,537</w:t>
            </w:r>
          </w:p>
        </w:tc>
        <w:tc>
          <w:tcPr>
            <w:tcW w:w="1024" w:type="dxa"/>
            <w:vAlign w:val="center"/>
          </w:tcPr>
          <w:p w14:paraId="3FE2BAA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14.99%</w:t>
            </w:r>
          </w:p>
        </w:tc>
        <w:tc>
          <w:tcPr>
            <w:tcW w:w="1022" w:type="dxa"/>
            <w:vAlign w:val="center"/>
          </w:tcPr>
          <w:p w14:paraId="78209839"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44,166</w:t>
            </w:r>
          </w:p>
        </w:tc>
        <w:tc>
          <w:tcPr>
            <w:tcW w:w="1022" w:type="dxa"/>
            <w:vAlign w:val="center"/>
          </w:tcPr>
          <w:p w14:paraId="157CBBF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22.99%</w:t>
            </w:r>
          </w:p>
        </w:tc>
      </w:tr>
      <w:tr w:rsidR="00DE1B44" w14:paraId="5CD56AD2" w14:textId="77777777">
        <w:trPr>
          <w:trHeight w:val="340"/>
          <w:jc w:val="center"/>
        </w:trPr>
        <w:tc>
          <w:tcPr>
            <w:tcW w:w="2287" w:type="dxa"/>
            <w:vAlign w:val="center"/>
          </w:tcPr>
          <w:p w14:paraId="39F7E2BA"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企业债券</w:t>
            </w:r>
          </w:p>
        </w:tc>
        <w:tc>
          <w:tcPr>
            <w:tcW w:w="1171" w:type="dxa"/>
            <w:shd w:val="clear" w:color="auto" w:fill="auto"/>
            <w:vAlign w:val="center"/>
          </w:tcPr>
          <w:p w14:paraId="75C1C339"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6,843</w:t>
            </w:r>
          </w:p>
        </w:tc>
        <w:tc>
          <w:tcPr>
            <w:tcW w:w="1172" w:type="dxa"/>
            <w:shd w:val="clear" w:color="auto" w:fill="auto"/>
            <w:vAlign w:val="center"/>
          </w:tcPr>
          <w:p w14:paraId="256B50C1"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3.13%</w:t>
            </w:r>
          </w:p>
        </w:tc>
        <w:tc>
          <w:tcPr>
            <w:tcW w:w="1318" w:type="dxa"/>
            <w:vAlign w:val="center"/>
          </w:tcPr>
          <w:p w14:paraId="2105B716"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6,630</w:t>
            </w:r>
          </w:p>
        </w:tc>
        <w:tc>
          <w:tcPr>
            <w:tcW w:w="1024" w:type="dxa"/>
            <w:vAlign w:val="center"/>
          </w:tcPr>
          <w:p w14:paraId="734D789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2.72%</w:t>
            </w:r>
          </w:p>
        </w:tc>
        <w:tc>
          <w:tcPr>
            <w:tcW w:w="1022" w:type="dxa"/>
            <w:vAlign w:val="center"/>
          </w:tcPr>
          <w:p w14:paraId="7E18427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6,473</w:t>
            </w:r>
          </w:p>
        </w:tc>
        <w:tc>
          <w:tcPr>
            <w:tcW w:w="1022" w:type="dxa"/>
            <w:vAlign w:val="center"/>
          </w:tcPr>
          <w:p w14:paraId="03BBF5E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3.37%</w:t>
            </w:r>
          </w:p>
        </w:tc>
      </w:tr>
      <w:tr w:rsidR="00DE1B44" w14:paraId="172CA789" w14:textId="77777777">
        <w:trPr>
          <w:trHeight w:val="340"/>
          <w:jc w:val="center"/>
        </w:trPr>
        <w:tc>
          <w:tcPr>
            <w:tcW w:w="9016" w:type="dxa"/>
            <w:gridSpan w:val="7"/>
          </w:tcPr>
          <w:p w14:paraId="026FD435" w14:textId="77777777" w:rsidR="00DE1B44" w:rsidRDefault="00D40582">
            <w:pPr>
              <w:suppressAutoHyphens/>
              <w:spacing w:beforeLines="0" w:before="0" w:line="240" w:lineRule="auto"/>
              <w:ind w:firstLineChars="0" w:firstLine="0"/>
              <w:jc w:val="left"/>
              <w:rPr>
                <w:rFonts w:ascii="Times New Roman" w:hAnsi="Times New Roman" w:cs="Times New Roman"/>
                <w:sz w:val="21"/>
                <w:szCs w:val="21"/>
              </w:rPr>
            </w:pPr>
            <w:r>
              <w:rPr>
                <w:rFonts w:ascii="Times New Roman" w:hAnsi="Times New Roman" w:cs="Times New Roman" w:hint="eastAsia"/>
                <w:sz w:val="21"/>
                <w:szCs w:val="21"/>
              </w:rPr>
              <w:t>境外</w:t>
            </w:r>
          </w:p>
        </w:tc>
      </w:tr>
      <w:tr w:rsidR="00DE1B44" w14:paraId="1195BCB0" w14:textId="77777777">
        <w:trPr>
          <w:trHeight w:val="340"/>
          <w:jc w:val="center"/>
        </w:trPr>
        <w:tc>
          <w:tcPr>
            <w:tcW w:w="2287" w:type="dxa"/>
            <w:vAlign w:val="center"/>
          </w:tcPr>
          <w:p w14:paraId="2723E1AE"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银行同业及其他金融机构债券</w:t>
            </w:r>
          </w:p>
        </w:tc>
        <w:tc>
          <w:tcPr>
            <w:tcW w:w="1171" w:type="dxa"/>
            <w:shd w:val="clear" w:color="auto" w:fill="auto"/>
            <w:vAlign w:val="center"/>
          </w:tcPr>
          <w:p w14:paraId="26958F7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62</w:t>
            </w:r>
          </w:p>
        </w:tc>
        <w:tc>
          <w:tcPr>
            <w:tcW w:w="1172" w:type="dxa"/>
            <w:shd w:val="clear" w:color="auto" w:fill="auto"/>
            <w:vAlign w:val="center"/>
          </w:tcPr>
          <w:p w14:paraId="52AD144E"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0.03%</w:t>
            </w:r>
          </w:p>
        </w:tc>
        <w:tc>
          <w:tcPr>
            <w:tcW w:w="1318" w:type="dxa"/>
            <w:vAlign w:val="center"/>
          </w:tcPr>
          <w:p w14:paraId="54F0D2E5"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62</w:t>
            </w:r>
          </w:p>
        </w:tc>
        <w:tc>
          <w:tcPr>
            <w:tcW w:w="1024" w:type="dxa"/>
            <w:vAlign w:val="center"/>
          </w:tcPr>
          <w:p w14:paraId="35D77DD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0.03%</w:t>
            </w:r>
          </w:p>
        </w:tc>
        <w:tc>
          <w:tcPr>
            <w:tcW w:w="1022" w:type="dxa"/>
            <w:vAlign w:val="center"/>
          </w:tcPr>
          <w:p w14:paraId="2704B65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67</w:t>
            </w:r>
          </w:p>
        </w:tc>
        <w:tc>
          <w:tcPr>
            <w:tcW w:w="1022" w:type="dxa"/>
            <w:vAlign w:val="center"/>
          </w:tcPr>
          <w:p w14:paraId="7AD32740"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0.03%</w:t>
            </w:r>
          </w:p>
        </w:tc>
      </w:tr>
      <w:tr w:rsidR="00DE1B44" w14:paraId="41CE2ACB" w14:textId="77777777">
        <w:trPr>
          <w:trHeight w:val="340"/>
          <w:jc w:val="center"/>
        </w:trPr>
        <w:tc>
          <w:tcPr>
            <w:tcW w:w="2287" w:type="dxa"/>
            <w:vAlign w:val="center"/>
          </w:tcPr>
          <w:p w14:paraId="387457EC"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企业债券</w:t>
            </w:r>
          </w:p>
        </w:tc>
        <w:tc>
          <w:tcPr>
            <w:tcW w:w="1171" w:type="dxa"/>
            <w:shd w:val="clear" w:color="auto" w:fill="auto"/>
            <w:vAlign w:val="center"/>
          </w:tcPr>
          <w:p w14:paraId="625DC41C"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w:t>
            </w:r>
          </w:p>
        </w:tc>
        <w:tc>
          <w:tcPr>
            <w:tcW w:w="1172" w:type="dxa"/>
            <w:shd w:val="clear" w:color="auto" w:fill="auto"/>
            <w:vAlign w:val="center"/>
          </w:tcPr>
          <w:p w14:paraId="42395C09"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w:t>
            </w:r>
          </w:p>
        </w:tc>
        <w:tc>
          <w:tcPr>
            <w:tcW w:w="1318" w:type="dxa"/>
            <w:vAlign w:val="center"/>
          </w:tcPr>
          <w:p w14:paraId="2D8C9465"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w:t>
            </w:r>
          </w:p>
        </w:tc>
        <w:tc>
          <w:tcPr>
            <w:tcW w:w="1024" w:type="dxa"/>
            <w:vAlign w:val="center"/>
          </w:tcPr>
          <w:p w14:paraId="0525B957"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w:t>
            </w:r>
          </w:p>
        </w:tc>
        <w:tc>
          <w:tcPr>
            <w:tcW w:w="1022" w:type="dxa"/>
            <w:vAlign w:val="center"/>
          </w:tcPr>
          <w:p w14:paraId="1343FF7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231</w:t>
            </w:r>
          </w:p>
        </w:tc>
        <w:tc>
          <w:tcPr>
            <w:tcW w:w="1022" w:type="dxa"/>
            <w:vAlign w:val="center"/>
          </w:tcPr>
          <w:p w14:paraId="32AD6A27"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0.12%</w:t>
            </w:r>
          </w:p>
        </w:tc>
      </w:tr>
      <w:tr w:rsidR="00DE1B44" w14:paraId="6AAAC08C" w14:textId="77777777">
        <w:trPr>
          <w:trHeight w:val="340"/>
          <w:jc w:val="center"/>
        </w:trPr>
        <w:tc>
          <w:tcPr>
            <w:tcW w:w="2287" w:type="dxa"/>
            <w:vAlign w:val="center"/>
          </w:tcPr>
          <w:p w14:paraId="1D4C724F" w14:textId="77777777" w:rsidR="00DE1B44" w:rsidRDefault="00D40582">
            <w:pPr>
              <w:suppressAutoHyphens/>
              <w:spacing w:beforeLines="0" w:before="0" w:line="240" w:lineRule="auto"/>
              <w:ind w:firstLineChars="0" w:firstLine="0"/>
              <w:rPr>
                <w:rFonts w:ascii="Times New Roman" w:hAnsi="Times New Roman" w:cs="Times New Roman"/>
                <w:b/>
                <w:bCs/>
                <w:sz w:val="21"/>
                <w:szCs w:val="21"/>
              </w:rPr>
            </w:pPr>
            <w:r>
              <w:rPr>
                <w:rFonts w:ascii="Times New Roman" w:hAnsi="Times New Roman" w:cs="Times New Roman" w:hint="eastAsia"/>
                <w:b/>
                <w:bCs/>
                <w:sz w:val="21"/>
                <w:szCs w:val="21"/>
              </w:rPr>
              <w:t>小计</w:t>
            </w:r>
          </w:p>
        </w:tc>
        <w:tc>
          <w:tcPr>
            <w:tcW w:w="1171" w:type="dxa"/>
            <w:shd w:val="clear" w:color="auto" w:fill="auto"/>
            <w:vAlign w:val="center"/>
          </w:tcPr>
          <w:p w14:paraId="18C9FBE5"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210,432</w:t>
            </w:r>
          </w:p>
        </w:tc>
        <w:tc>
          <w:tcPr>
            <w:tcW w:w="1172" w:type="dxa"/>
            <w:shd w:val="clear" w:color="auto" w:fill="auto"/>
            <w:vAlign w:val="center"/>
          </w:tcPr>
          <w:p w14:paraId="17D146B4"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96.38%</w:t>
            </w:r>
          </w:p>
        </w:tc>
        <w:tc>
          <w:tcPr>
            <w:tcW w:w="1318" w:type="dxa"/>
            <w:vAlign w:val="center"/>
          </w:tcPr>
          <w:p w14:paraId="529217F1"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235,039</w:t>
            </w:r>
          </w:p>
        </w:tc>
        <w:tc>
          <w:tcPr>
            <w:tcW w:w="1024" w:type="dxa"/>
            <w:vAlign w:val="center"/>
          </w:tcPr>
          <w:p w14:paraId="49AD6D5D"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96.41%</w:t>
            </w:r>
          </w:p>
        </w:tc>
        <w:tc>
          <w:tcPr>
            <w:tcW w:w="1022" w:type="dxa"/>
            <w:vAlign w:val="center"/>
          </w:tcPr>
          <w:p w14:paraId="1D496972"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182,194</w:t>
            </w:r>
          </w:p>
        </w:tc>
        <w:tc>
          <w:tcPr>
            <w:tcW w:w="1022" w:type="dxa"/>
            <w:vAlign w:val="center"/>
          </w:tcPr>
          <w:p w14:paraId="245EFA08"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94.82%</w:t>
            </w:r>
          </w:p>
        </w:tc>
      </w:tr>
      <w:tr w:rsidR="00DE1B44" w14:paraId="0F18C1E8" w14:textId="77777777">
        <w:trPr>
          <w:trHeight w:val="340"/>
          <w:jc w:val="center"/>
        </w:trPr>
        <w:tc>
          <w:tcPr>
            <w:tcW w:w="9016" w:type="dxa"/>
            <w:gridSpan w:val="7"/>
          </w:tcPr>
          <w:p w14:paraId="33A9AB2E" w14:textId="77777777" w:rsidR="00DE1B44" w:rsidRDefault="00D40582">
            <w:pPr>
              <w:suppressAutoHyphens/>
              <w:spacing w:beforeLines="0" w:before="0" w:line="240" w:lineRule="auto"/>
              <w:ind w:firstLineChars="0" w:firstLine="0"/>
              <w:jc w:val="left"/>
              <w:rPr>
                <w:rFonts w:ascii="Times New Roman" w:hAnsi="Times New Roman" w:cs="Times New Roman"/>
                <w:sz w:val="21"/>
                <w:szCs w:val="21"/>
              </w:rPr>
            </w:pPr>
            <w:r>
              <w:rPr>
                <w:rFonts w:ascii="Times New Roman" w:hAnsi="Times New Roman" w:cs="Times New Roman" w:hint="eastAsia"/>
                <w:i/>
                <w:iCs/>
                <w:sz w:val="21"/>
                <w:szCs w:val="21"/>
              </w:rPr>
              <w:t>上市</w:t>
            </w:r>
          </w:p>
        </w:tc>
      </w:tr>
      <w:tr w:rsidR="00DE1B44" w14:paraId="259FF7EE" w14:textId="77777777">
        <w:trPr>
          <w:trHeight w:val="340"/>
          <w:jc w:val="center"/>
        </w:trPr>
        <w:tc>
          <w:tcPr>
            <w:tcW w:w="9016" w:type="dxa"/>
            <w:gridSpan w:val="7"/>
          </w:tcPr>
          <w:p w14:paraId="43D38B9E" w14:textId="77777777" w:rsidR="00DE1B44" w:rsidRDefault="00D40582">
            <w:pPr>
              <w:suppressAutoHyphens/>
              <w:spacing w:beforeLines="0" w:before="0" w:line="240" w:lineRule="auto"/>
              <w:ind w:firstLineChars="0" w:firstLine="0"/>
              <w:jc w:val="left"/>
              <w:rPr>
                <w:rFonts w:ascii="Times New Roman" w:hAnsi="Times New Roman" w:cs="Times New Roman"/>
                <w:sz w:val="21"/>
                <w:szCs w:val="21"/>
              </w:rPr>
            </w:pPr>
            <w:r>
              <w:rPr>
                <w:rFonts w:ascii="Times New Roman" w:hAnsi="Times New Roman" w:cs="Times New Roman" w:hint="eastAsia"/>
                <w:sz w:val="21"/>
                <w:szCs w:val="21"/>
              </w:rPr>
              <w:t>境外</w:t>
            </w:r>
          </w:p>
        </w:tc>
      </w:tr>
      <w:tr w:rsidR="00DE1B44" w14:paraId="7DDD7524" w14:textId="77777777">
        <w:trPr>
          <w:trHeight w:val="340"/>
          <w:jc w:val="center"/>
        </w:trPr>
        <w:tc>
          <w:tcPr>
            <w:tcW w:w="2287" w:type="dxa"/>
            <w:vAlign w:val="center"/>
          </w:tcPr>
          <w:p w14:paraId="04F71C8A"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政府债券</w:t>
            </w:r>
          </w:p>
        </w:tc>
        <w:tc>
          <w:tcPr>
            <w:tcW w:w="1171" w:type="dxa"/>
            <w:shd w:val="clear" w:color="auto" w:fill="auto"/>
            <w:vAlign w:val="center"/>
          </w:tcPr>
          <w:p w14:paraId="170E7AA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31</w:t>
            </w:r>
          </w:p>
        </w:tc>
        <w:tc>
          <w:tcPr>
            <w:tcW w:w="1172" w:type="dxa"/>
            <w:shd w:val="clear" w:color="auto" w:fill="auto"/>
            <w:vAlign w:val="center"/>
          </w:tcPr>
          <w:p w14:paraId="21842C11"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0.01%</w:t>
            </w:r>
          </w:p>
        </w:tc>
        <w:tc>
          <w:tcPr>
            <w:tcW w:w="1318" w:type="dxa"/>
            <w:vAlign w:val="center"/>
          </w:tcPr>
          <w:p w14:paraId="669B4205"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31</w:t>
            </w:r>
          </w:p>
        </w:tc>
        <w:tc>
          <w:tcPr>
            <w:tcW w:w="1024" w:type="dxa"/>
            <w:vAlign w:val="center"/>
          </w:tcPr>
          <w:p w14:paraId="6D409C5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0.01%</w:t>
            </w:r>
          </w:p>
        </w:tc>
        <w:tc>
          <w:tcPr>
            <w:tcW w:w="1022" w:type="dxa"/>
            <w:vAlign w:val="center"/>
          </w:tcPr>
          <w:p w14:paraId="62BAD6B3"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30</w:t>
            </w:r>
          </w:p>
        </w:tc>
        <w:tc>
          <w:tcPr>
            <w:tcW w:w="1022" w:type="dxa"/>
            <w:vAlign w:val="center"/>
          </w:tcPr>
          <w:p w14:paraId="34CB7F3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0.02%</w:t>
            </w:r>
          </w:p>
        </w:tc>
      </w:tr>
      <w:tr w:rsidR="00DE1B44" w14:paraId="5A1A2852" w14:textId="77777777">
        <w:trPr>
          <w:trHeight w:val="340"/>
          <w:jc w:val="center"/>
        </w:trPr>
        <w:tc>
          <w:tcPr>
            <w:tcW w:w="2287" w:type="dxa"/>
            <w:vAlign w:val="center"/>
          </w:tcPr>
          <w:p w14:paraId="33E3DD71"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银行同业及其他金融机构债券</w:t>
            </w:r>
          </w:p>
        </w:tc>
        <w:tc>
          <w:tcPr>
            <w:tcW w:w="1171" w:type="dxa"/>
            <w:shd w:val="clear" w:color="auto" w:fill="auto"/>
            <w:vAlign w:val="center"/>
          </w:tcPr>
          <w:p w14:paraId="47B2F92A"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2,682</w:t>
            </w:r>
          </w:p>
        </w:tc>
        <w:tc>
          <w:tcPr>
            <w:tcW w:w="1172" w:type="dxa"/>
            <w:shd w:val="clear" w:color="auto" w:fill="auto"/>
            <w:vAlign w:val="center"/>
          </w:tcPr>
          <w:p w14:paraId="380D942E"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1.23%</w:t>
            </w:r>
          </w:p>
        </w:tc>
        <w:tc>
          <w:tcPr>
            <w:tcW w:w="1318" w:type="dxa"/>
            <w:vAlign w:val="center"/>
          </w:tcPr>
          <w:p w14:paraId="7BFA6CF8"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2,789</w:t>
            </w:r>
          </w:p>
        </w:tc>
        <w:tc>
          <w:tcPr>
            <w:tcW w:w="1024" w:type="dxa"/>
            <w:vAlign w:val="center"/>
          </w:tcPr>
          <w:p w14:paraId="5133522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1.14%</w:t>
            </w:r>
          </w:p>
        </w:tc>
        <w:tc>
          <w:tcPr>
            <w:tcW w:w="1022" w:type="dxa"/>
            <w:vAlign w:val="center"/>
          </w:tcPr>
          <w:p w14:paraId="38E30638"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4,103</w:t>
            </w:r>
          </w:p>
        </w:tc>
        <w:tc>
          <w:tcPr>
            <w:tcW w:w="1022" w:type="dxa"/>
            <w:vAlign w:val="center"/>
          </w:tcPr>
          <w:p w14:paraId="787275B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2.13%</w:t>
            </w:r>
          </w:p>
        </w:tc>
      </w:tr>
      <w:tr w:rsidR="00DE1B44" w14:paraId="43982CED" w14:textId="77777777">
        <w:trPr>
          <w:trHeight w:val="340"/>
          <w:jc w:val="center"/>
        </w:trPr>
        <w:tc>
          <w:tcPr>
            <w:tcW w:w="2287" w:type="dxa"/>
            <w:vAlign w:val="center"/>
          </w:tcPr>
          <w:p w14:paraId="3889B8F7"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企业债券</w:t>
            </w:r>
          </w:p>
        </w:tc>
        <w:tc>
          <w:tcPr>
            <w:tcW w:w="1171" w:type="dxa"/>
            <w:shd w:val="clear" w:color="auto" w:fill="auto"/>
            <w:vAlign w:val="center"/>
          </w:tcPr>
          <w:p w14:paraId="1689BA25"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2,426</w:t>
            </w:r>
          </w:p>
        </w:tc>
        <w:tc>
          <w:tcPr>
            <w:tcW w:w="1172" w:type="dxa"/>
            <w:shd w:val="clear" w:color="auto" w:fill="auto"/>
            <w:vAlign w:val="center"/>
          </w:tcPr>
          <w:p w14:paraId="3CB6CBD3"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1.11%</w:t>
            </w:r>
          </w:p>
        </w:tc>
        <w:tc>
          <w:tcPr>
            <w:tcW w:w="1318" w:type="dxa"/>
            <w:vAlign w:val="center"/>
          </w:tcPr>
          <w:p w14:paraId="4BB621D6"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2,643</w:t>
            </w:r>
          </w:p>
        </w:tc>
        <w:tc>
          <w:tcPr>
            <w:tcW w:w="1024" w:type="dxa"/>
            <w:vAlign w:val="center"/>
          </w:tcPr>
          <w:p w14:paraId="253CF3D3"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1.09%</w:t>
            </w:r>
          </w:p>
        </w:tc>
        <w:tc>
          <w:tcPr>
            <w:tcW w:w="1022" w:type="dxa"/>
            <w:vAlign w:val="center"/>
          </w:tcPr>
          <w:p w14:paraId="2E629A67"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2,928</w:t>
            </w:r>
          </w:p>
        </w:tc>
        <w:tc>
          <w:tcPr>
            <w:tcW w:w="1022" w:type="dxa"/>
            <w:vAlign w:val="center"/>
          </w:tcPr>
          <w:p w14:paraId="17CA3677"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1.52%</w:t>
            </w:r>
          </w:p>
        </w:tc>
      </w:tr>
      <w:tr w:rsidR="00DE1B44" w14:paraId="1E0DB5A0" w14:textId="77777777">
        <w:trPr>
          <w:trHeight w:val="340"/>
          <w:jc w:val="center"/>
        </w:trPr>
        <w:tc>
          <w:tcPr>
            <w:tcW w:w="2287" w:type="dxa"/>
            <w:vAlign w:val="center"/>
          </w:tcPr>
          <w:p w14:paraId="400054B1" w14:textId="77777777" w:rsidR="00DE1B44" w:rsidRDefault="00D40582">
            <w:pPr>
              <w:suppressAutoHyphens/>
              <w:spacing w:beforeLines="0" w:before="0" w:line="240" w:lineRule="auto"/>
              <w:ind w:firstLineChars="0" w:firstLine="0"/>
              <w:rPr>
                <w:rFonts w:ascii="Times New Roman" w:hAnsi="Times New Roman" w:cs="Times New Roman"/>
                <w:b/>
                <w:bCs/>
                <w:sz w:val="21"/>
                <w:szCs w:val="21"/>
              </w:rPr>
            </w:pPr>
            <w:r>
              <w:rPr>
                <w:rFonts w:ascii="Times New Roman" w:hAnsi="Times New Roman" w:cs="Times New Roman" w:hint="eastAsia"/>
                <w:b/>
                <w:bCs/>
                <w:sz w:val="21"/>
                <w:szCs w:val="21"/>
              </w:rPr>
              <w:t>小计</w:t>
            </w:r>
          </w:p>
        </w:tc>
        <w:tc>
          <w:tcPr>
            <w:tcW w:w="1171" w:type="dxa"/>
            <w:shd w:val="clear" w:color="auto" w:fill="auto"/>
            <w:vAlign w:val="center"/>
          </w:tcPr>
          <w:p w14:paraId="67BDE6E9"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b/>
                <w:bCs/>
                <w:color w:val="000000"/>
                <w:sz w:val="21"/>
                <w:szCs w:val="21"/>
              </w:rPr>
              <w:t>5,138</w:t>
            </w:r>
          </w:p>
        </w:tc>
        <w:tc>
          <w:tcPr>
            <w:tcW w:w="1172" w:type="dxa"/>
            <w:shd w:val="clear" w:color="auto" w:fill="auto"/>
            <w:vAlign w:val="center"/>
          </w:tcPr>
          <w:p w14:paraId="7B5065F6"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b/>
                <w:bCs/>
                <w:color w:val="000000"/>
                <w:sz w:val="21"/>
                <w:szCs w:val="21"/>
              </w:rPr>
              <w:t>2.35%</w:t>
            </w:r>
          </w:p>
        </w:tc>
        <w:tc>
          <w:tcPr>
            <w:tcW w:w="1318" w:type="dxa"/>
            <w:vAlign w:val="center"/>
          </w:tcPr>
          <w:p w14:paraId="56648F18"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5,463</w:t>
            </w:r>
          </w:p>
        </w:tc>
        <w:tc>
          <w:tcPr>
            <w:tcW w:w="1024" w:type="dxa"/>
            <w:vAlign w:val="center"/>
          </w:tcPr>
          <w:p w14:paraId="6AD267F4"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2.24%</w:t>
            </w:r>
          </w:p>
        </w:tc>
        <w:tc>
          <w:tcPr>
            <w:tcW w:w="1022" w:type="dxa"/>
            <w:vAlign w:val="center"/>
          </w:tcPr>
          <w:p w14:paraId="24EAEC7C"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7,061</w:t>
            </w:r>
          </w:p>
        </w:tc>
        <w:tc>
          <w:tcPr>
            <w:tcW w:w="1022" w:type="dxa"/>
            <w:vAlign w:val="center"/>
          </w:tcPr>
          <w:p w14:paraId="637F19CD"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3.67%</w:t>
            </w:r>
          </w:p>
        </w:tc>
      </w:tr>
      <w:tr w:rsidR="00DE1B44" w14:paraId="61EBF11F" w14:textId="77777777">
        <w:trPr>
          <w:trHeight w:val="340"/>
          <w:jc w:val="center"/>
        </w:trPr>
        <w:tc>
          <w:tcPr>
            <w:tcW w:w="2287" w:type="dxa"/>
            <w:vAlign w:val="center"/>
          </w:tcPr>
          <w:p w14:paraId="0EFD8109" w14:textId="77777777" w:rsidR="00DE1B44" w:rsidRDefault="00D40582">
            <w:pPr>
              <w:suppressAutoHyphens/>
              <w:spacing w:beforeLines="0" w:before="0" w:line="240" w:lineRule="auto"/>
              <w:ind w:firstLineChars="0" w:firstLine="0"/>
              <w:rPr>
                <w:rFonts w:ascii="Times New Roman" w:hAnsi="Times New Roman" w:cs="Times New Roman"/>
                <w:b/>
                <w:bCs/>
                <w:sz w:val="21"/>
                <w:szCs w:val="21"/>
              </w:rPr>
            </w:pPr>
            <w:r>
              <w:rPr>
                <w:rFonts w:ascii="Times New Roman" w:hAnsi="Times New Roman" w:cs="Times New Roman" w:hint="eastAsia"/>
                <w:b/>
                <w:bCs/>
                <w:sz w:val="21"/>
                <w:szCs w:val="21"/>
              </w:rPr>
              <w:t>债券投资小计</w:t>
            </w:r>
          </w:p>
        </w:tc>
        <w:tc>
          <w:tcPr>
            <w:tcW w:w="1171" w:type="dxa"/>
            <w:shd w:val="clear" w:color="auto" w:fill="auto"/>
            <w:vAlign w:val="center"/>
          </w:tcPr>
          <w:p w14:paraId="2E4BFBCE"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215,570</w:t>
            </w:r>
          </w:p>
        </w:tc>
        <w:tc>
          <w:tcPr>
            <w:tcW w:w="1172" w:type="dxa"/>
            <w:shd w:val="clear" w:color="auto" w:fill="auto"/>
            <w:vAlign w:val="center"/>
          </w:tcPr>
          <w:p w14:paraId="3407D6E4"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98.74%</w:t>
            </w:r>
          </w:p>
        </w:tc>
        <w:tc>
          <w:tcPr>
            <w:tcW w:w="1318" w:type="dxa"/>
            <w:vAlign w:val="center"/>
          </w:tcPr>
          <w:p w14:paraId="2BCBC67D"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240,501</w:t>
            </w:r>
          </w:p>
        </w:tc>
        <w:tc>
          <w:tcPr>
            <w:tcW w:w="1024" w:type="dxa"/>
            <w:vAlign w:val="center"/>
          </w:tcPr>
          <w:p w14:paraId="438A8533"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98.65%</w:t>
            </w:r>
          </w:p>
        </w:tc>
        <w:tc>
          <w:tcPr>
            <w:tcW w:w="1022" w:type="dxa"/>
            <w:vAlign w:val="center"/>
          </w:tcPr>
          <w:p w14:paraId="3424BC8F" w14:textId="77777777" w:rsidR="00DE1B44" w:rsidRDefault="00D40582">
            <w:pPr>
              <w:suppressAutoHyphens/>
              <w:spacing w:beforeLines="0" w:before="0" w:line="240" w:lineRule="auto"/>
              <w:ind w:firstLineChars="0" w:firstLine="0"/>
              <w:jc w:val="right"/>
              <w:rPr>
                <w:rFonts w:ascii="Times New Roman" w:eastAsia="等线" w:hAnsi="Times New Roman" w:cs="Times New Roman"/>
                <w:b/>
                <w:bCs/>
                <w:color w:val="000000"/>
                <w:sz w:val="21"/>
                <w:szCs w:val="21"/>
              </w:rPr>
            </w:pPr>
            <w:r>
              <w:rPr>
                <w:rFonts w:ascii="Times New Roman" w:hAnsi="Times New Roman" w:cs="Times New Roman"/>
                <w:b/>
                <w:bCs/>
                <w:sz w:val="21"/>
                <w:szCs w:val="21"/>
              </w:rPr>
              <w:t>189,255</w:t>
            </w:r>
          </w:p>
        </w:tc>
        <w:tc>
          <w:tcPr>
            <w:tcW w:w="1022" w:type="dxa"/>
            <w:vAlign w:val="center"/>
          </w:tcPr>
          <w:p w14:paraId="00629B49"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98.49%</w:t>
            </w:r>
          </w:p>
        </w:tc>
      </w:tr>
      <w:tr w:rsidR="00DE1B44" w14:paraId="51508C25" w14:textId="77777777">
        <w:trPr>
          <w:trHeight w:val="340"/>
          <w:jc w:val="center"/>
        </w:trPr>
        <w:tc>
          <w:tcPr>
            <w:tcW w:w="2287" w:type="dxa"/>
            <w:vAlign w:val="center"/>
          </w:tcPr>
          <w:p w14:paraId="338E158B" w14:textId="77777777" w:rsidR="00DE1B44" w:rsidRDefault="00D40582">
            <w:pPr>
              <w:suppressAutoHyphens/>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应计利息</w:t>
            </w:r>
          </w:p>
        </w:tc>
        <w:tc>
          <w:tcPr>
            <w:tcW w:w="1171" w:type="dxa"/>
            <w:shd w:val="clear" w:color="auto" w:fill="auto"/>
            <w:vAlign w:val="center"/>
          </w:tcPr>
          <w:p w14:paraId="6CDD5135"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2,760</w:t>
            </w:r>
          </w:p>
        </w:tc>
        <w:tc>
          <w:tcPr>
            <w:tcW w:w="1172" w:type="dxa"/>
            <w:shd w:val="clear" w:color="auto" w:fill="auto"/>
            <w:vAlign w:val="center"/>
          </w:tcPr>
          <w:p w14:paraId="018144A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1.26%</w:t>
            </w:r>
          </w:p>
        </w:tc>
        <w:tc>
          <w:tcPr>
            <w:tcW w:w="1318" w:type="dxa"/>
            <w:vAlign w:val="center"/>
          </w:tcPr>
          <w:p w14:paraId="5734ACBD"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3,299</w:t>
            </w:r>
          </w:p>
        </w:tc>
        <w:tc>
          <w:tcPr>
            <w:tcW w:w="1024" w:type="dxa"/>
            <w:vAlign w:val="center"/>
          </w:tcPr>
          <w:p w14:paraId="1AD3AD39"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1.35%</w:t>
            </w:r>
          </w:p>
        </w:tc>
        <w:tc>
          <w:tcPr>
            <w:tcW w:w="1022" w:type="dxa"/>
            <w:vAlign w:val="center"/>
          </w:tcPr>
          <w:p w14:paraId="45A92B7D"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2,893</w:t>
            </w:r>
          </w:p>
        </w:tc>
        <w:tc>
          <w:tcPr>
            <w:tcW w:w="1022" w:type="dxa"/>
            <w:vAlign w:val="center"/>
          </w:tcPr>
          <w:p w14:paraId="05F634B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1.51%</w:t>
            </w:r>
          </w:p>
        </w:tc>
      </w:tr>
      <w:tr w:rsidR="00DE1B44" w14:paraId="52E37A25" w14:textId="77777777">
        <w:trPr>
          <w:trHeight w:val="340"/>
          <w:jc w:val="center"/>
        </w:trPr>
        <w:tc>
          <w:tcPr>
            <w:tcW w:w="2287" w:type="dxa"/>
            <w:vAlign w:val="center"/>
          </w:tcPr>
          <w:p w14:paraId="1A1D4E78"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合计</w:t>
            </w:r>
          </w:p>
        </w:tc>
        <w:tc>
          <w:tcPr>
            <w:tcW w:w="1171" w:type="dxa"/>
            <w:shd w:val="clear" w:color="auto" w:fill="auto"/>
            <w:vAlign w:val="center"/>
          </w:tcPr>
          <w:p w14:paraId="71582210"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218,330</w:t>
            </w:r>
          </w:p>
        </w:tc>
        <w:tc>
          <w:tcPr>
            <w:tcW w:w="1172" w:type="dxa"/>
            <w:shd w:val="clear" w:color="auto" w:fill="auto"/>
            <w:vAlign w:val="center"/>
          </w:tcPr>
          <w:p w14:paraId="5D1FC329"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100.00%</w:t>
            </w:r>
          </w:p>
        </w:tc>
        <w:tc>
          <w:tcPr>
            <w:tcW w:w="1318" w:type="dxa"/>
            <w:vAlign w:val="center"/>
          </w:tcPr>
          <w:p w14:paraId="268EE5C5"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243,800</w:t>
            </w:r>
          </w:p>
        </w:tc>
        <w:tc>
          <w:tcPr>
            <w:tcW w:w="1024" w:type="dxa"/>
            <w:vAlign w:val="center"/>
          </w:tcPr>
          <w:p w14:paraId="5311834B"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100.00%</w:t>
            </w:r>
          </w:p>
        </w:tc>
        <w:tc>
          <w:tcPr>
            <w:tcW w:w="1022" w:type="dxa"/>
            <w:vAlign w:val="center"/>
          </w:tcPr>
          <w:p w14:paraId="61E6AE15"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192,148</w:t>
            </w:r>
          </w:p>
        </w:tc>
        <w:tc>
          <w:tcPr>
            <w:tcW w:w="1022" w:type="dxa"/>
            <w:vAlign w:val="center"/>
          </w:tcPr>
          <w:p w14:paraId="69B153A9"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100.00%</w:t>
            </w:r>
          </w:p>
        </w:tc>
      </w:tr>
    </w:tbl>
    <w:p w14:paraId="7BD1D207" w14:textId="77777777" w:rsidR="00DE1B44" w:rsidRDefault="00D40582">
      <w:pPr>
        <w:snapToGrid w:val="0"/>
        <w:spacing w:before="120"/>
        <w:ind w:firstLine="480"/>
        <w:rPr>
          <w:rFonts w:ascii="Times New Roman" w:hAnsi="Times New Roman" w:cs="Times New Roman"/>
        </w:rPr>
      </w:pPr>
      <w:r>
        <w:rPr>
          <w:rFonts w:cs="Times New Roman" w:hint="eastAsia"/>
        </w:rPr>
        <w:t>④</w:t>
      </w:r>
      <w:r>
        <w:rPr>
          <w:rFonts w:ascii="Times New Roman" w:hAnsi="Times New Roman" w:cs="Times New Roman" w:hint="eastAsia"/>
        </w:rPr>
        <w:t>其他权益工具投资</w:t>
      </w:r>
    </w:p>
    <w:p w14:paraId="3B7348A9" w14:textId="77777777" w:rsidR="00DE1B44" w:rsidRDefault="00D40582">
      <w:pPr>
        <w:spacing w:before="120"/>
        <w:ind w:firstLine="480"/>
        <w:rPr>
          <w:rFonts w:ascii="Times New Roman" w:hAnsi="Times New Roman" w:cs="Times New Roman"/>
        </w:rPr>
      </w:pPr>
      <w:r>
        <w:rPr>
          <w:rFonts w:ascii="Times New Roman" w:hAnsi="Times New Roman" w:cs="Times New Roman"/>
        </w:rPr>
        <w:lastRenderedPageBreak/>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，本行持有的</w:t>
      </w:r>
      <w:r>
        <w:rPr>
          <w:rFonts w:ascii="Times New Roman" w:hAnsi="Times New Roman" w:cs="Times New Roman" w:hint="eastAsia"/>
        </w:rPr>
        <w:t>其他权益工具</w:t>
      </w:r>
      <w:r>
        <w:rPr>
          <w:rFonts w:ascii="Times New Roman" w:hAnsi="Times New Roman" w:cs="Times New Roman"/>
        </w:rPr>
        <w:t>投资分别为</w:t>
      </w:r>
      <w:r>
        <w:rPr>
          <w:rFonts w:ascii="Times New Roman" w:hAnsi="Times New Roman" w:cs="Times New Roman" w:hint="eastAsia"/>
        </w:rPr>
        <w:t>2</w:t>
      </w:r>
      <w:r>
        <w:rPr>
          <w:rFonts w:ascii="Times New Roman" w:hAnsi="Times New Roman" w:cs="Times New Roman"/>
        </w:rPr>
        <w:t>1.50</w:t>
      </w:r>
      <w:r>
        <w:rPr>
          <w:rFonts w:ascii="Times New Roman" w:hAnsi="Times New Roman" w:cs="Times New Roman"/>
        </w:rPr>
        <w:t>亿元</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rPr>
        <w:t>7.44</w:t>
      </w:r>
      <w:r>
        <w:rPr>
          <w:rFonts w:ascii="Times New Roman" w:hAnsi="Times New Roman" w:cs="Times New Roman"/>
        </w:rPr>
        <w:t>亿元</w:t>
      </w:r>
      <w:r>
        <w:rPr>
          <w:rFonts w:ascii="Times New Roman" w:hAnsi="Times New Roman" w:cs="Times New Roman" w:hint="eastAsia"/>
        </w:rPr>
        <w:t>和</w:t>
      </w:r>
      <w:r>
        <w:rPr>
          <w:rFonts w:ascii="Times New Roman" w:hAnsi="Times New Roman" w:cs="Times New Roman"/>
        </w:rPr>
        <w:t>27.38</w:t>
      </w:r>
      <w:r>
        <w:rPr>
          <w:rFonts w:ascii="Times New Roman" w:hAnsi="Times New Roman" w:cs="Times New Roman"/>
        </w:rPr>
        <w:t>亿元</w:t>
      </w:r>
      <w:r>
        <w:rPr>
          <w:rFonts w:ascii="Times New Roman" w:hAnsi="Times New Roman" w:cs="Times New Roman" w:hint="eastAsia"/>
        </w:rPr>
        <w:t>。</w:t>
      </w:r>
    </w:p>
    <w:p w14:paraId="50B74772" w14:textId="77777777" w:rsidR="00DE1B44" w:rsidRDefault="00D40582">
      <w:pPr>
        <w:spacing w:before="120"/>
        <w:ind w:firstLine="480"/>
        <w:rPr>
          <w:rFonts w:ascii="Times New Roman" w:hAnsi="Times New Roman" w:cs="Times New Roman"/>
        </w:rPr>
      </w:pPr>
      <w:r>
        <w:rPr>
          <w:rFonts w:ascii="Times New Roman" w:hAnsi="Times New Roman" w:cs="Times New Roman"/>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w:t>
      </w:r>
      <w:r>
        <w:rPr>
          <w:rFonts w:ascii="Times New Roman" w:hAnsi="Times New Roman" w:cs="Times New Roman" w:hint="eastAsia"/>
        </w:rPr>
        <w:t>本行其他权益工具投资</w:t>
      </w:r>
      <w:r>
        <w:rPr>
          <w:rFonts w:ascii="Times New Roman" w:hAnsi="Times New Roman" w:cs="Times New Roman"/>
        </w:rPr>
        <w:t>构成情况如下：</w:t>
      </w:r>
    </w:p>
    <w:p w14:paraId="223CC844"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Style w:val="200"/>
        <w:tblW w:w="9016" w:type="dxa"/>
        <w:tblLayout w:type="fixed"/>
        <w:tblLook w:val="04A0" w:firstRow="1" w:lastRow="0" w:firstColumn="1" w:lastColumn="0" w:noHBand="0" w:noVBand="1"/>
      </w:tblPr>
      <w:tblGrid>
        <w:gridCol w:w="1226"/>
        <w:gridCol w:w="1092"/>
        <w:gridCol w:w="1093"/>
        <w:gridCol w:w="1335"/>
        <w:gridCol w:w="1467"/>
        <w:gridCol w:w="1335"/>
        <w:gridCol w:w="1468"/>
      </w:tblGrid>
      <w:tr w:rsidR="00DE1B44" w14:paraId="243CFED6" w14:textId="77777777">
        <w:tc>
          <w:tcPr>
            <w:tcW w:w="1226" w:type="dxa"/>
            <w:vMerge w:val="restart"/>
            <w:vAlign w:val="center"/>
          </w:tcPr>
          <w:p w14:paraId="10DBA91B" w14:textId="77777777" w:rsidR="00DE1B44" w:rsidRDefault="00D40582">
            <w:pPr>
              <w:keepNext/>
              <w:spacing w:before="120"/>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2185" w:type="dxa"/>
            <w:gridSpan w:val="2"/>
            <w:vAlign w:val="center"/>
          </w:tcPr>
          <w:p w14:paraId="55F32076" w14:textId="77777777" w:rsidR="00DE1B44" w:rsidRDefault="00D40582">
            <w:pPr>
              <w:keepNext/>
              <w:spacing w:before="120"/>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2</w:t>
            </w:r>
            <w:r>
              <w:rPr>
                <w:rFonts w:ascii="Times New Roman" w:hAnsi="Times New Roman" w:cs="Times New Roman"/>
                <w:b/>
                <w:bCs/>
                <w:sz w:val="21"/>
                <w:szCs w:val="21"/>
              </w:rPr>
              <w:t>021</w:t>
            </w:r>
            <w:r>
              <w:rPr>
                <w:rFonts w:ascii="Times New Roman" w:hAnsi="Times New Roman" w:cs="Times New Roman" w:hint="eastAsia"/>
                <w:b/>
                <w:bCs/>
                <w:sz w:val="21"/>
                <w:szCs w:val="21"/>
              </w:rPr>
              <w:t>年</w:t>
            </w:r>
            <w:r>
              <w:rPr>
                <w:rFonts w:ascii="Times New Roman" w:hAnsi="Times New Roman" w:cs="Times New Roman" w:hint="eastAsia"/>
                <w:b/>
                <w:bCs/>
                <w:sz w:val="21"/>
                <w:szCs w:val="21"/>
              </w:rPr>
              <w:t>6</w:t>
            </w:r>
            <w:r>
              <w:rPr>
                <w:rFonts w:ascii="Times New Roman" w:hAnsi="Times New Roman" w:cs="Times New Roman" w:hint="eastAsia"/>
                <w:b/>
                <w:bCs/>
                <w:sz w:val="21"/>
                <w:szCs w:val="21"/>
              </w:rPr>
              <w:t>月</w:t>
            </w:r>
            <w:r>
              <w:rPr>
                <w:rFonts w:ascii="Times New Roman" w:hAnsi="Times New Roman" w:cs="Times New Roman" w:hint="eastAsia"/>
                <w:b/>
                <w:bCs/>
                <w:sz w:val="21"/>
                <w:szCs w:val="21"/>
              </w:rPr>
              <w:t>3</w:t>
            </w:r>
            <w:r>
              <w:rPr>
                <w:rFonts w:ascii="Times New Roman" w:hAnsi="Times New Roman" w:cs="Times New Roman"/>
                <w:b/>
                <w:bCs/>
                <w:sz w:val="21"/>
                <w:szCs w:val="21"/>
              </w:rPr>
              <w:t>0</w:t>
            </w:r>
            <w:r>
              <w:rPr>
                <w:rFonts w:ascii="Times New Roman" w:hAnsi="Times New Roman" w:cs="Times New Roman" w:hint="eastAsia"/>
                <w:b/>
                <w:bCs/>
                <w:sz w:val="21"/>
                <w:szCs w:val="21"/>
              </w:rPr>
              <w:t>日</w:t>
            </w:r>
          </w:p>
        </w:tc>
        <w:tc>
          <w:tcPr>
            <w:tcW w:w="2802" w:type="dxa"/>
            <w:gridSpan w:val="2"/>
            <w:vAlign w:val="center"/>
          </w:tcPr>
          <w:p w14:paraId="6B313CC9" w14:textId="77777777" w:rsidR="00DE1B44" w:rsidRDefault="00D40582">
            <w:pPr>
              <w:keepNext/>
              <w:spacing w:before="120"/>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2</w:t>
            </w:r>
            <w:r>
              <w:rPr>
                <w:rFonts w:ascii="Times New Roman" w:hAnsi="Times New Roman" w:cs="Times New Roman"/>
                <w:b/>
                <w:bCs/>
                <w:sz w:val="21"/>
                <w:szCs w:val="21"/>
              </w:rPr>
              <w:t>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w:t>
            </w:r>
            <w:r>
              <w:rPr>
                <w:rFonts w:ascii="Times New Roman" w:hAnsi="Times New Roman" w:cs="Times New Roman"/>
                <w:b/>
                <w:bCs/>
                <w:sz w:val="21"/>
                <w:szCs w:val="21"/>
              </w:rPr>
              <w:t>2</w:t>
            </w:r>
            <w:r>
              <w:rPr>
                <w:rFonts w:ascii="Times New Roman" w:hAnsi="Times New Roman" w:cs="Times New Roman" w:hint="eastAsia"/>
                <w:b/>
                <w:bCs/>
                <w:sz w:val="21"/>
                <w:szCs w:val="21"/>
              </w:rPr>
              <w:t>月</w:t>
            </w:r>
            <w:r>
              <w:rPr>
                <w:rFonts w:ascii="Times New Roman" w:hAnsi="Times New Roman" w:cs="Times New Roman" w:hint="eastAsia"/>
                <w:b/>
                <w:bCs/>
                <w:sz w:val="21"/>
                <w:szCs w:val="21"/>
              </w:rPr>
              <w:t>3</w:t>
            </w:r>
            <w:r>
              <w:rPr>
                <w:rFonts w:ascii="Times New Roman" w:hAnsi="Times New Roman" w:cs="Times New Roman"/>
                <w:b/>
                <w:bCs/>
                <w:sz w:val="21"/>
                <w:szCs w:val="21"/>
              </w:rPr>
              <w:t>1</w:t>
            </w:r>
            <w:r>
              <w:rPr>
                <w:rFonts w:ascii="Times New Roman" w:hAnsi="Times New Roman" w:cs="Times New Roman" w:hint="eastAsia"/>
                <w:b/>
                <w:bCs/>
                <w:sz w:val="21"/>
                <w:szCs w:val="21"/>
              </w:rPr>
              <w:t>日</w:t>
            </w:r>
          </w:p>
        </w:tc>
        <w:tc>
          <w:tcPr>
            <w:tcW w:w="2803" w:type="dxa"/>
            <w:gridSpan w:val="2"/>
            <w:vAlign w:val="center"/>
          </w:tcPr>
          <w:p w14:paraId="5AF5D6C4" w14:textId="77777777" w:rsidR="00DE1B44" w:rsidRDefault="00D40582">
            <w:pPr>
              <w:keepNext/>
              <w:spacing w:before="120"/>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2</w:t>
            </w:r>
            <w:r>
              <w:rPr>
                <w:rFonts w:ascii="Times New Roman" w:hAnsi="Times New Roman" w:cs="Times New Roman"/>
                <w:b/>
                <w:bCs/>
                <w:sz w:val="21"/>
                <w:szCs w:val="21"/>
              </w:rPr>
              <w:t>019</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w:t>
            </w:r>
            <w:r>
              <w:rPr>
                <w:rFonts w:ascii="Times New Roman" w:hAnsi="Times New Roman" w:cs="Times New Roman"/>
                <w:b/>
                <w:bCs/>
                <w:sz w:val="21"/>
                <w:szCs w:val="21"/>
              </w:rPr>
              <w:t>2</w:t>
            </w:r>
            <w:r>
              <w:rPr>
                <w:rFonts w:ascii="Times New Roman" w:hAnsi="Times New Roman" w:cs="Times New Roman" w:hint="eastAsia"/>
                <w:b/>
                <w:bCs/>
                <w:sz w:val="21"/>
                <w:szCs w:val="21"/>
              </w:rPr>
              <w:t>月</w:t>
            </w:r>
            <w:r>
              <w:rPr>
                <w:rFonts w:ascii="Times New Roman" w:hAnsi="Times New Roman" w:cs="Times New Roman" w:hint="eastAsia"/>
                <w:b/>
                <w:bCs/>
                <w:sz w:val="21"/>
                <w:szCs w:val="21"/>
              </w:rPr>
              <w:t>3</w:t>
            </w:r>
            <w:r>
              <w:rPr>
                <w:rFonts w:ascii="Times New Roman" w:hAnsi="Times New Roman" w:cs="Times New Roman"/>
                <w:b/>
                <w:bCs/>
                <w:sz w:val="21"/>
                <w:szCs w:val="21"/>
              </w:rPr>
              <w:t>1</w:t>
            </w:r>
            <w:r>
              <w:rPr>
                <w:rFonts w:ascii="Times New Roman" w:hAnsi="Times New Roman" w:cs="Times New Roman" w:hint="eastAsia"/>
                <w:b/>
                <w:bCs/>
                <w:sz w:val="21"/>
                <w:szCs w:val="21"/>
              </w:rPr>
              <w:t>日</w:t>
            </w:r>
          </w:p>
        </w:tc>
      </w:tr>
      <w:tr w:rsidR="00DE1B44" w14:paraId="4663C551" w14:textId="77777777">
        <w:tc>
          <w:tcPr>
            <w:tcW w:w="1226" w:type="dxa"/>
            <w:vMerge/>
            <w:vAlign w:val="center"/>
          </w:tcPr>
          <w:p w14:paraId="53092538" w14:textId="77777777" w:rsidR="00DE1B44" w:rsidRDefault="00DE1B44">
            <w:pPr>
              <w:keepNext/>
              <w:spacing w:before="120"/>
              <w:ind w:firstLineChars="0" w:firstLine="0"/>
              <w:jc w:val="center"/>
              <w:rPr>
                <w:rFonts w:ascii="Times New Roman" w:hAnsi="Times New Roman" w:cs="Times New Roman"/>
                <w:b/>
                <w:bCs/>
                <w:sz w:val="21"/>
                <w:szCs w:val="21"/>
              </w:rPr>
            </w:pPr>
          </w:p>
        </w:tc>
        <w:tc>
          <w:tcPr>
            <w:tcW w:w="1092" w:type="dxa"/>
            <w:vAlign w:val="center"/>
          </w:tcPr>
          <w:p w14:paraId="20E5A824" w14:textId="77777777" w:rsidR="00DE1B44" w:rsidRDefault="00D40582">
            <w:pPr>
              <w:keepNext/>
              <w:spacing w:before="120"/>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金额</w:t>
            </w:r>
          </w:p>
        </w:tc>
        <w:tc>
          <w:tcPr>
            <w:tcW w:w="1093" w:type="dxa"/>
            <w:vAlign w:val="center"/>
          </w:tcPr>
          <w:p w14:paraId="25703BE8" w14:textId="77777777" w:rsidR="00DE1B44" w:rsidRDefault="00D40582">
            <w:pPr>
              <w:keepNext/>
              <w:spacing w:before="120"/>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占比</w:t>
            </w:r>
          </w:p>
        </w:tc>
        <w:tc>
          <w:tcPr>
            <w:tcW w:w="1335" w:type="dxa"/>
            <w:vAlign w:val="center"/>
          </w:tcPr>
          <w:p w14:paraId="5DB6EA0D" w14:textId="77777777" w:rsidR="00DE1B44" w:rsidRDefault="00D40582">
            <w:pPr>
              <w:keepNext/>
              <w:spacing w:before="120"/>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金额</w:t>
            </w:r>
          </w:p>
        </w:tc>
        <w:tc>
          <w:tcPr>
            <w:tcW w:w="1467" w:type="dxa"/>
            <w:vAlign w:val="center"/>
          </w:tcPr>
          <w:p w14:paraId="4D3DEC75" w14:textId="77777777" w:rsidR="00DE1B44" w:rsidRDefault="00D40582">
            <w:pPr>
              <w:keepNext/>
              <w:spacing w:before="120"/>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占比</w:t>
            </w:r>
          </w:p>
        </w:tc>
        <w:tc>
          <w:tcPr>
            <w:tcW w:w="1335" w:type="dxa"/>
            <w:vAlign w:val="center"/>
          </w:tcPr>
          <w:p w14:paraId="5BA52862" w14:textId="77777777" w:rsidR="00DE1B44" w:rsidRDefault="00D40582">
            <w:pPr>
              <w:keepNext/>
              <w:spacing w:before="120"/>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金额</w:t>
            </w:r>
          </w:p>
        </w:tc>
        <w:tc>
          <w:tcPr>
            <w:tcW w:w="1468" w:type="dxa"/>
            <w:vAlign w:val="center"/>
          </w:tcPr>
          <w:p w14:paraId="6A0B164F" w14:textId="77777777" w:rsidR="00DE1B44" w:rsidRDefault="00D40582">
            <w:pPr>
              <w:keepNext/>
              <w:spacing w:before="120"/>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占比</w:t>
            </w:r>
          </w:p>
        </w:tc>
      </w:tr>
      <w:tr w:rsidR="00DE1B44" w14:paraId="68B11EA8" w14:textId="77777777">
        <w:tc>
          <w:tcPr>
            <w:tcW w:w="1226" w:type="dxa"/>
          </w:tcPr>
          <w:p w14:paraId="7C958E7C" w14:textId="77777777" w:rsidR="00DE1B44" w:rsidRDefault="00D40582">
            <w:pPr>
              <w:spacing w:before="120"/>
              <w:ind w:firstLineChars="0" w:firstLine="0"/>
              <w:rPr>
                <w:rFonts w:ascii="Times New Roman" w:hAnsi="Times New Roman" w:cs="Times New Roman"/>
                <w:sz w:val="21"/>
                <w:szCs w:val="21"/>
              </w:rPr>
            </w:pPr>
            <w:r>
              <w:rPr>
                <w:rFonts w:ascii="Times New Roman" w:hAnsi="Times New Roman" w:cs="Times New Roman" w:hint="eastAsia"/>
                <w:sz w:val="21"/>
                <w:szCs w:val="21"/>
              </w:rPr>
              <w:t>非上市</w:t>
            </w:r>
          </w:p>
        </w:tc>
        <w:tc>
          <w:tcPr>
            <w:tcW w:w="1092" w:type="dxa"/>
            <w:shd w:val="clear" w:color="auto" w:fill="auto"/>
            <w:vAlign w:val="center"/>
          </w:tcPr>
          <w:p w14:paraId="108837FD" w14:textId="77777777" w:rsidR="00DE1B44" w:rsidRDefault="00D40582">
            <w:pPr>
              <w:spacing w:before="120"/>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1,926</w:t>
            </w:r>
          </w:p>
        </w:tc>
        <w:tc>
          <w:tcPr>
            <w:tcW w:w="1093" w:type="dxa"/>
            <w:shd w:val="clear" w:color="auto" w:fill="auto"/>
            <w:vAlign w:val="center"/>
          </w:tcPr>
          <w:p w14:paraId="54D8B203" w14:textId="77777777" w:rsidR="00DE1B44" w:rsidRDefault="00D40582">
            <w:pPr>
              <w:spacing w:before="120"/>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70.35%</w:t>
            </w:r>
          </w:p>
        </w:tc>
        <w:tc>
          <w:tcPr>
            <w:tcW w:w="1335" w:type="dxa"/>
            <w:vAlign w:val="center"/>
          </w:tcPr>
          <w:p w14:paraId="1831F369" w14:textId="77777777" w:rsidR="00DE1B44" w:rsidRDefault="00D40582">
            <w:pPr>
              <w:spacing w:before="120"/>
              <w:ind w:firstLineChars="0" w:firstLine="0"/>
              <w:jc w:val="right"/>
              <w:rPr>
                <w:rFonts w:ascii="Times New Roman" w:hAnsi="Times New Roman" w:cs="Times New Roman"/>
                <w:sz w:val="21"/>
                <w:szCs w:val="21"/>
              </w:rPr>
            </w:pPr>
            <w:r>
              <w:rPr>
                <w:rFonts w:ascii="Times New Roman" w:hAnsi="Times New Roman" w:cs="Times New Roman"/>
                <w:sz w:val="21"/>
                <w:szCs w:val="21"/>
              </w:rPr>
              <w:t>1,944</w:t>
            </w:r>
          </w:p>
        </w:tc>
        <w:tc>
          <w:tcPr>
            <w:tcW w:w="1467" w:type="dxa"/>
            <w:vAlign w:val="center"/>
          </w:tcPr>
          <w:p w14:paraId="4F53C036" w14:textId="77777777" w:rsidR="00DE1B44" w:rsidRDefault="00D40582">
            <w:pPr>
              <w:spacing w:before="120"/>
              <w:ind w:firstLineChars="0" w:firstLine="0"/>
              <w:jc w:val="right"/>
              <w:rPr>
                <w:rFonts w:ascii="Times New Roman" w:hAnsi="Times New Roman" w:cs="Times New Roman"/>
                <w:sz w:val="21"/>
                <w:szCs w:val="21"/>
              </w:rPr>
            </w:pPr>
            <w:r>
              <w:rPr>
                <w:rFonts w:ascii="Times New Roman" w:hAnsi="Times New Roman" w:cs="Times New Roman"/>
                <w:sz w:val="21"/>
                <w:szCs w:val="21"/>
              </w:rPr>
              <w:t>70.85%</w:t>
            </w:r>
          </w:p>
        </w:tc>
        <w:tc>
          <w:tcPr>
            <w:tcW w:w="1335" w:type="dxa"/>
            <w:vAlign w:val="center"/>
          </w:tcPr>
          <w:p w14:paraId="5B01B2E1" w14:textId="77777777" w:rsidR="00DE1B44" w:rsidRDefault="00D40582">
            <w:pPr>
              <w:spacing w:before="120"/>
              <w:ind w:firstLineChars="0" w:firstLine="0"/>
              <w:jc w:val="right"/>
              <w:rPr>
                <w:rFonts w:ascii="Times New Roman" w:hAnsi="Times New Roman" w:cs="Times New Roman"/>
                <w:sz w:val="21"/>
                <w:szCs w:val="21"/>
              </w:rPr>
            </w:pPr>
            <w:r>
              <w:rPr>
                <w:rFonts w:ascii="Times New Roman" w:hAnsi="Times New Roman" w:cs="Times New Roman"/>
                <w:sz w:val="21"/>
                <w:szCs w:val="21"/>
              </w:rPr>
              <w:t>1,318</w:t>
            </w:r>
          </w:p>
        </w:tc>
        <w:tc>
          <w:tcPr>
            <w:tcW w:w="1468" w:type="dxa"/>
            <w:vAlign w:val="center"/>
          </w:tcPr>
          <w:p w14:paraId="6B3844B7" w14:textId="77777777" w:rsidR="00DE1B44" w:rsidRDefault="00D40582">
            <w:pPr>
              <w:spacing w:before="120"/>
              <w:ind w:firstLineChars="0" w:firstLine="0"/>
              <w:jc w:val="right"/>
              <w:rPr>
                <w:rFonts w:ascii="Times New Roman" w:hAnsi="Times New Roman" w:cs="Times New Roman"/>
                <w:sz w:val="21"/>
                <w:szCs w:val="21"/>
              </w:rPr>
            </w:pPr>
            <w:r>
              <w:rPr>
                <w:rFonts w:ascii="Times New Roman" w:hAnsi="Times New Roman" w:cs="Times New Roman"/>
                <w:sz w:val="21"/>
                <w:szCs w:val="21"/>
              </w:rPr>
              <w:t>61.28%</w:t>
            </w:r>
          </w:p>
        </w:tc>
      </w:tr>
      <w:tr w:rsidR="00DE1B44" w14:paraId="2908EEE8" w14:textId="77777777">
        <w:tc>
          <w:tcPr>
            <w:tcW w:w="1226" w:type="dxa"/>
          </w:tcPr>
          <w:p w14:paraId="6DF20EBC" w14:textId="77777777" w:rsidR="00DE1B44" w:rsidRDefault="00D40582">
            <w:pPr>
              <w:spacing w:before="120"/>
              <w:ind w:firstLineChars="0" w:firstLine="0"/>
              <w:rPr>
                <w:rFonts w:ascii="Times New Roman" w:hAnsi="Times New Roman" w:cs="Times New Roman"/>
                <w:sz w:val="21"/>
                <w:szCs w:val="21"/>
              </w:rPr>
            </w:pPr>
            <w:r>
              <w:rPr>
                <w:rFonts w:ascii="Times New Roman" w:hAnsi="Times New Roman" w:cs="Times New Roman" w:hint="eastAsia"/>
                <w:sz w:val="21"/>
                <w:szCs w:val="21"/>
              </w:rPr>
              <w:t>上市</w:t>
            </w:r>
          </w:p>
        </w:tc>
        <w:tc>
          <w:tcPr>
            <w:tcW w:w="1092" w:type="dxa"/>
            <w:shd w:val="clear" w:color="auto" w:fill="auto"/>
            <w:vAlign w:val="center"/>
          </w:tcPr>
          <w:p w14:paraId="7A2C3E3A" w14:textId="77777777" w:rsidR="00DE1B44" w:rsidRDefault="00D40582">
            <w:pPr>
              <w:spacing w:before="120"/>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812</w:t>
            </w:r>
          </w:p>
        </w:tc>
        <w:tc>
          <w:tcPr>
            <w:tcW w:w="1093" w:type="dxa"/>
            <w:shd w:val="clear" w:color="auto" w:fill="auto"/>
            <w:vAlign w:val="center"/>
          </w:tcPr>
          <w:p w14:paraId="0E5C21B2" w14:textId="77777777" w:rsidR="00DE1B44" w:rsidRDefault="00D40582">
            <w:pPr>
              <w:spacing w:before="120"/>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29.65%</w:t>
            </w:r>
          </w:p>
        </w:tc>
        <w:tc>
          <w:tcPr>
            <w:tcW w:w="1335" w:type="dxa"/>
            <w:vAlign w:val="center"/>
          </w:tcPr>
          <w:p w14:paraId="7F856F6B" w14:textId="77777777" w:rsidR="00DE1B44" w:rsidRDefault="00D40582">
            <w:pPr>
              <w:spacing w:before="120"/>
              <w:ind w:firstLineChars="0" w:firstLine="0"/>
              <w:jc w:val="right"/>
              <w:rPr>
                <w:rFonts w:ascii="Times New Roman" w:hAnsi="Times New Roman" w:cs="Times New Roman"/>
                <w:sz w:val="21"/>
                <w:szCs w:val="21"/>
              </w:rPr>
            </w:pPr>
            <w:r>
              <w:rPr>
                <w:rFonts w:ascii="Times New Roman" w:hAnsi="Times New Roman" w:cs="Times New Roman"/>
                <w:sz w:val="21"/>
                <w:szCs w:val="21"/>
              </w:rPr>
              <w:t>800</w:t>
            </w:r>
          </w:p>
        </w:tc>
        <w:tc>
          <w:tcPr>
            <w:tcW w:w="1467" w:type="dxa"/>
            <w:vAlign w:val="center"/>
          </w:tcPr>
          <w:p w14:paraId="3D106032" w14:textId="77777777" w:rsidR="00DE1B44" w:rsidRDefault="00D40582">
            <w:pPr>
              <w:spacing w:before="120"/>
              <w:ind w:firstLineChars="0" w:firstLine="0"/>
              <w:jc w:val="right"/>
              <w:rPr>
                <w:rFonts w:ascii="Times New Roman" w:hAnsi="Times New Roman" w:cs="Times New Roman"/>
                <w:sz w:val="21"/>
                <w:szCs w:val="21"/>
              </w:rPr>
            </w:pPr>
            <w:r>
              <w:rPr>
                <w:rFonts w:ascii="Times New Roman" w:hAnsi="Times New Roman" w:cs="Times New Roman"/>
                <w:sz w:val="21"/>
                <w:szCs w:val="21"/>
              </w:rPr>
              <w:t>29.15%</w:t>
            </w:r>
          </w:p>
        </w:tc>
        <w:tc>
          <w:tcPr>
            <w:tcW w:w="1335" w:type="dxa"/>
            <w:vAlign w:val="center"/>
          </w:tcPr>
          <w:p w14:paraId="38472F9D" w14:textId="77777777" w:rsidR="00DE1B44" w:rsidRDefault="00D40582">
            <w:pPr>
              <w:spacing w:before="120"/>
              <w:ind w:firstLineChars="0" w:firstLine="0"/>
              <w:jc w:val="right"/>
              <w:rPr>
                <w:rFonts w:ascii="Times New Roman" w:hAnsi="Times New Roman" w:cs="Times New Roman"/>
                <w:sz w:val="21"/>
                <w:szCs w:val="21"/>
              </w:rPr>
            </w:pPr>
            <w:r>
              <w:rPr>
                <w:rFonts w:ascii="Times New Roman" w:hAnsi="Times New Roman" w:cs="Times New Roman"/>
                <w:sz w:val="21"/>
                <w:szCs w:val="21"/>
              </w:rPr>
              <w:t>833</w:t>
            </w:r>
          </w:p>
        </w:tc>
        <w:tc>
          <w:tcPr>
            <w:tcW w:w="1468" w:type="dxa"/>
            <w:vAlign w:val="center"/>
          </w:tcPr>
          <w:p w14:paraId="1DFA5E86" w14:textId="77777777" w:rsidR="00DE1B44" w:rsidRDefault="00D40582">
            <w:pPr>
              <w:spacing w:before="120"/>
              <w:ind w:firstLineChars="0" w:firstLine="0"/>
              <w:jc w:val="right"/>
              <w:rPr>
                <w:rFonts w:ascii="Times New Roman" w:hAnsi="Times New Roman" w:cs="Times New Roman"/>
                <w:sz w:val="21"/>
                <w:szCs w:val="21"/>
              </w:rPr>
            </w:pPr>
            <w:r>
              <w:rPr>
                <w:rFonts w:ascii="Times New Roman" w:hAnsi="Times New Roman" w:cs="Times New Roman"/>
                <w:sz w:val="21"/>
                <w:szCs w:val="21"/>
              </w:rPr>
              <w:t>38.72%</w:t>
            </w:r>
          </w:p>
        </w:tc>
      </w:tr>
      <w:tr w:rsidR="00DE1B44" w14:paraId="6A64F44B" w14:textId="77777777">
        <w:tc>
          <w:tcPr>
            <w:tcW w:w="1226" w:type="dxa"/>
          </w:tcPr>
          <w:p w14:paraId="56C204E9" w14:textId="77777777" w:rsidR="00DE1B44" w:rsidRDefault="00D40582">
            <w:pPr>
              <w:spacing w:before="120"/>
              <w:ind w:firstLineChars="0" w:firstLine="0"/>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1092" w:type="dxa"/>
            <w:shd w:val="clear" w:color="auto" w:fill="auto"/>
            <w:vAlign w:val="center"/>
          </w:tcPr>
          <w:p w14:paraId="6C43352F" w14:textId="77777777" w:rsidR="00DE1B44" w:rsidRDefault="00D40582">
            <w:pPr>
              <w:spacing w:before="120"/>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2,738</w:t>
            </w:r>
          </w:p>
        </w:tc>
        <w:tc>
          <w:tcPr>
            <w:tcW w:w="1093" w:type="dxa"/>
            <w:shd w:val="clear" w:color="auto" w:fill="auto"/>
            <w:vAlign w:val="center"/>
          </w:tcPr>
          <w:p w14:paraId="695C4468" w14:textId="77777777" w:rsidR="00DE1B44" w:rsidRDefault="00D40582">
            <w:pPr>
              <w:spacing w:before="120"/>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100.00%</w:t>
            </w:r>
          </w:p>
        </w:tc>
        <w:tc>
          <w:tcPr>
            <w:tcW w:w="1335" w:type="dxa"/>
            <w:vAlign w:val="center"/>
          </w:tcPr>
          <w:p w14:paraId="13B93F32" w14:textId="77777777" w:rsidR="00DE1B44" w:rsidRDefault="00D40582">
            <w:pPr>
              <w:spacing w:before="120"/>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2,744</w:t>
            </w:r>
          </w:p>
        </w:tc>
        <w:tc>
          <w:tcPr>
            <w:tcW w:w="1467" w:type="dxa"/>
            <w:vAlign w:val="center"/>
          </w:tcPr>
          <w:p w14:paraId="44BA2CD7" w14:textId="77777777" w:rsidR="00DE1B44" w:rsidRDefault="00D40582">
            <w:pPr>
              <w:spacing w:before="120"/>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100.00%</w:t>
            </w:r>
          </w:p>
        </w:tc>
        <w:tc>
          <w:tcPr>
            <w:tcW w:w="1335" w:type="dxa"/>
            <w:vAlign w:val="center"/>
          </w:tcPr>
          <w:p w14:paraId="35571F7B" w14:textId="77777777" w:rsidR="00DE1B44" w:rsidRDefault="00D40582">
            <w:pPr>
              <w:spacing w:before="120"/>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2,150</w:t>
            </w:r>
          </w:p>
        </w:tc>
        <w:tc>
          <w:tcPr>
            <w:tcW w:w="1468" w:type="dxa"/>
            <w:vAlign w:val="center"/>
          </w:tcPr>
          <w:p w14:paraId="6A5F7052" w14:textId="77777777" w:rsidR="00DE1B44" w:rsidRDefault="00D40582">
            <w:pPr>
              <w:spacing w:before="120"/>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100.00%</w:t>
            </w:r>
          </w:p>
        </w:tc>
      </w:tr>
    </w:tbl>
    <w:p w14:paraId="3DFCE0C6" w14:textId="77777777" w:rsidR="00DE1B44" w:rsidRDefault="00D40582">
      <w:pPr>
        <w:pStyle w:val="58"/>
        <w:spacing w:before="120"/>
        <w:ind w:firstLine="482"/>
        <w:rPr>
          <w:rFonts w:ascii="Times New Roman" w:hAnsi="Times New Roman"/>
        </w:rPr>
      </w:pPr>
      <w:r>
        <w:rPr>
          <w:rFonts w:ascii="Times New Roman" w:hAnsi="Times New Roman" w:hint="eastAsia"/>
        </w:rPr>
        <w:t>2</w:t>
      </w:r>
      <w:r>
        <w:rPr>
          <w:rFonts w:ascii="Times New Roman" w:hAnsi="Times New Roman" w:hint="eastAsia"/>
        </w:rPr>
        <w:t>、负债情况分析</w:t>
      </w:r>
    </w:p>
    <w:p w14:paraId="2947EB9D" w14:textId="77777777" w:rsidR="00DE1B44" w:rsidRDefault="00D40582">
      <w:pPr>
        <w:spacing w:before="120"/>
        <w:ind w:firstLine="480"/>
        <w:rPr>
          <w:rFonts w:ascii="Times New Roman" w:hAnsi="Times New Roman" w:cs="Times New Roman"/>
        </w:rPr>
      </w:pPr>
      <w:r>
        <w:rPr>
          <w:rFonts w:ascii="Times New Roman" w:hAnsi="Times New Roman" w:cs="Times New Roman"/>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，本行总负债分别为</w:t>
      </w:r>
      <w:r>
        <w:rPr>
          <w:rFonts w:ascii="Times New Roman" w:hAnsi="Times New Roman" w:cs="Times New Roman"/>
        </w:rPr>
        <w:t>24,232.34</w:t>
      </w:r>
      <w:r>
        <w:rPr>
          <w:rFonts w:ascii="Times New Roman" w:hAnsi="Times New Roman" w:cs="Times New Roman"/>
        </w:rPr>
        <w:t>亿元</w:t>
      </w:r>
      <w:r>
        <w:rPr>
          <w:rFonts w:ascii="Times New Roman" w:hAnsi="Times New Roman" w:cs="Times New Roman" w:hint="eastAsia"/>
        </w:rPr>
        <w:t>、</w:t>
      </w:r>
      <w:r>
        <w:rPr>
          <w:rFonts w:ascii="Times New Roman" w:hAnsi="Times New Roman" w:cs="Times New Roman"/>
        </w:rPr>
        <w:t>28,098.22</w:t>
      </w:r>
      <w:r>
        <w:rPr>
          <w:rFonts w:ascii="Times New Roman" w:hAnsi="Times New Roman" w:cs="Times New Roman"/>
        </w:rPr>
        <w:t>亿元</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9,567.67</w:t>
      </w:r>
      <w:r>
        <w:rPr>
          <w:rFonts w:ascii="Times New Roman" w:hAnsi="Times New Roman" w:cs="Times New Roman" w:hint="eastAsia"/>
        </w:rPr>
        <w:t>亿元，</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年末较</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年末增长</w:t>
      </w:r>
      <w:r>
        <w:rPr>
          <w:rFonts w:ascii="Times New Roman" w:hAnsi="Times New Roman" w:cs="Times New Roman"/>
        </w:rPr>
        <w:t>15.95%</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月末较</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年末增长</w:t>
      </w:r>
      <w:r>
        <w:rPr>
          <w:rFonts w:ascii="Times New Roman" w:hAnsi="Times New Roman" w:cs="Times New Roman" w:hint="eastAsia"/>
        </w:rPr>
        <w:t>5</w:t>
      </w:r>
      <w:r>
        <w:rPr>
          <w:rFonts w:ascii="Times New Roman" w:hAnsi="Times New Roman" w:cs="Times New Roman"/>
        </w:rPr>
        <w:t>.23%</w:t>
      </w:r>
      <w:r>
        <w:rPr>
          <w:rFonts w:ascii="Times New Roman" w:hAnsi="Times New Roman" w:cs="Times New Roman"/>
        </w:rPr>
        <w:t>。报告期内，本行负债主要为吸收存款</w:t>
      </w:r>
      <w:r>
        <w:rPr>
          <w:rFonts w:ascii="Times New Roman" w:hAnsi="Times New Roman" w:cs="Times New Roman" w:hint="eastAsia"/>
        </w:rPr>
        <w:t>、同业及其他金融机构存放款项和应付债券</w:t>
      </w:r>
      <w:r>
        <w:rPr>
          <w:rFonts w:ascii="Times New Roman" w:hAnsi="Times New Roman" w:cs="Times New Roman"/>
        </w:rPr>
        <w:t>。</w:t>
      </w:r>
    </w:p>
    <w:p w14:paraId="4726BE27" w14:textId="77777777" w:rsidR="00DE1B44" w:rsidRDefault="00D40582">
      <w:pPr>
        <w:spacing w:before="120"/>
        <w:ind w:firstLine="480"/>
        <w:rPr>
          <w:rFonts w:ascii="Times New Roman" w:hAnsi="Times New Roman" w:cs="Times New Roman"/>
        </w:rPr>
      </w:pPr>
      <w:r>
        <w:rPr>
          <w:rFonts w:ascii="Times New Roman" w:hAnsi="Times New Roman" w:cs="Times New Roman"/>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w:t>
      </w:r>
      <w:r>
        <w:rPr>
          <w:rFonts w:ascii="Times New Roman" w:hAnsi="Times New Roman" w:cs="Times New Roman" w:hint="eastAsia"/>
        </w:rPr>
        <w:t>本行负债具体情况如下：</w:t>
      </w:r>
    </w:p>
    <w:p w14:paraId="3459A906"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Style w:val="TableNormal"/>
        <w:tblW w:w="901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2696"/>
        <w:gridCol w:w="2106"/>
        <w:gridCol w:w="2106"/>
        <w:gridCol w:w="2108"/>
      </w:tblGrid>
      <w:tr w:rsidR="00DE1B44" w14:paraId="294AEB76" w14:textId="77777777">
        <w:trPr>
          <w:trHeight w:val="396"/>
          <w:tblHeader/>
          <w:jc w:val="center"/>
        </w:trPr>
        <w:tc>
          <w:tcPr>
            <w:tcW w:w="2696" w:type="dxa"/>
            <w:vAlign w:val="center"/>
          </w:tcPr>
          <w:p w14:paraId="6EB61043" w14:textId="77777777" w:rsidR="00DE1B44" w:rsidRDefault="00D40582">
            <w:pPr>
              <w:widowControl/>
              <w:autoSpaceDE/>
              <w:autoSpaceDN/>
              <w:spacing w:beforeLines="0" w:before="0" w:line="240" w:lineRule="auto"/>
              <w:ind w:firstLineChars="0" w:firstLine="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w:t>
            </w:r>
          </w:p>
        </w:tc>
        <w:tc>
          <w:tcPr>
            <w:tcW w:w="2106" w:type="dxa"/>
            <w:vAlign w:val="center"/>
          </w:tcPr>
          <w:p w14:paraId="599AC64F" w14:textId="77777777" w:rsidR="00DE1B44" w:rsidRDefault="00D40582">
            <w:pPr>
              <w:spacing w:beforeLines="0" w:before="0" w:line="240" w:lineRule="auto"/>
              <w:ind w:leftChars="-16" w:left="-38" w:firstLineChars="0" w:firstLine="0"/>
              <w:jc w:val="center"/>
              <w:rPr>
                <w:rFonts w:ascii="Times New Roman" w:eastAsiaTheme="minorEastAsia" w:hAnsi="Times New Roman" w:cs="Times New Roman"/>
                <w:b/>
                <w:sz w:val="21"/>
                <w:szCs w:val="22"/>
              </w:rPr>
            </w:pPr>
            <w:r>
              <w:rPr>
                <w:rFonts w:ascii="Times New Roman" w:eastAsiaTheme="minorEastAsia" w:hAnsi="Times New Roman" w:cs="Times New Roman" w:hint="eastAsia"/>
                <w:b/>
                <w:sz w:val="21"/>
                <w:szCs w:val="22"/>
              </w:rPr>
              <w:t>2</w:t>
            </w:r>
            <w:r>
              <w:rPr>
                <w:rFonts w:ascii="Times New Roman" w:eastAsiaTheme="minorEastAsia" w:hAnsi="Times New Roman" w:cs="Times New Roman"/>
                <w:b/>
                <w:sz w:val="21"/>
                <w:szCs w:val="22"/>
              </w:rPr>
              <w:t>021</w:t>
            </w:r>
            <w:r>
              <w:rPr>
                <w:rFonts w:ascii="Times New Roman" w:eastAsiaTheme="minorEastAsia" w:hAnsi="Times New Roman" w:cs="Times New Roman" w:hint="eastAsia"/>
                <w:b/>
                <w:sz w:val="21"/>
                <w:szCs w:val="22"/>
              </w:rPr>
              <w:t>年</w:t>
            </w:r>
            <w:r>
              <w:rPr>
                <w:rFonts w:ascii="Times New Roman" w:eastAsiaTheme="minorEastAsia" w:hAnsi="Times New Roman" w:cs="Times New Roman" w:hint="eastAsia"/>
                <w:b/>
                <w:sz w:val="21"/>
                <w:szCs w:val="22"/>
              </w:rPr>
              <w:t>6</w:t>
            </w:r>
            <w:r>
              <w:rPr>
                <w:rFonts w:ascii="Times New Roman" w:eastAsiaTheme="minorEastAsia" w:hAnsi="Times New Roman" w:cs="Times New Roman" w:hint="eastAsia"/>
                <w:b/>
                <w:sz w:val="21"/>
                <w:szCs w:val="22"/>
              </w:rPr>
              <w:t>月</w:t>
            </w:r>
            <w:r>
              <w:rPr>
                <w:rFonts w:ascii="Times New Roman" w:eastAsiaTheme="minorEastAsia" w:hAnsi="Times New Roman" w:cs="Times New Roman" w:hint="eastAsia"/>
                <w:b/>
                <w:sz w:val="21"/>
                <w:szCs w:val="22"/>
              </w:rPr>
              <w:t>3</w:t>
            </w:r>
            <w:r>
              <w:rPr>
                <w:rFonts w:ascii="Times New Roman" w:eastAsiaTheme="minorEastAsia" w:hAnsi="Times New Roman" w:cs="Times New Roman"/>
                <w:b/>
                <w:sz w:val="21"/>
                <w:szCs w:val="22"/>
              </w:rPr>
              <w:t>0</w:t>
            </w:r>
            <w:r>
              <w:rPr>
                <w:rFonts w:ascii="Times New Roman" w:eastAsiaTheme="minorEastAsia" w:hAnsi="Times New Roman" w:cs="Times New Roman" w:hint="eastAsia"/>
                <w:b/>
                <w:sz w:val="21"/>
                <w:szCs w:val="22"/>
              </w:rPr>
              <w:t>日</w:t>
            </w:r>
          </w:p>
        </w:tc>
        <w:tc>
          <w:tcPr>
            <w:tcW w:w="2106" w:type="dxa"/>
            <w:vAlign w:val="center"/>
          </w:tcPr>
          <w:p w14:paraId="21B6BB2A" w14:textId="77777777" w:rsidR="00DE1B44" w:rsidRDefault="00D40582">
            <w:pPr>
              <w:autoSpaceDE/>
              <w:autoSpaceDN/>
              <w:spacing w:beforeLines="0" w:before="0" w:line="240" w:lineRule="auto"/>
              <w:ind w:leftChars="-16" w:left="-38" w:firstLineChars="0" w:firstLine="0"/>
              <w:jc w:val="center"/>
              <w:rPr>
                <w:rFonts w:ascii="Times New Roman" w:eastAsiaTheme="minorEastAsia" w:hAnsi="Times New Roman" w:cs="Times New Roman"/>
                <w:b/>
                <w:sz w:val="21"/>
                <w:szCs w:val="22"/>
              </w:rPr>
            </w:pPr>
            <w:r>
              <w:rPr>
                <w:rFonts w:ascii="Times New Roman" w:eastAsiaTheme="minorEastAsia" w:hAnsi="Times New Roman" w:cs="Times New Roman"/>
                <w:b/>
                <w:sz w:val="21"/>
                <w:szCs w:val="22"/>
              </w:rPr>
              <w:t>2020</w:t>
            </w:r>
            <w:r>
              <w:rPr>
                <w:rFonts w:ascii="Times New Roman" w:eastAsiaTheme="minorEastAsia" w:hAnsi="Times New Roman" w:cs="Times New Roman" w:hint="eastAsia"/>
                <w:b/>
                <w:spacing w:val="-3"/>
                <w:sz w:val="21"/>
                <w:szCs w:val="22"/>
              </w:rPr>
              <w:t>年</w:t>
            </w:r>
            <w:r>
              <w:rPr>
                <w:rFonts w:ascii="Times New Roman" w:eastAsiaTheme="minorEastAsia" w:hAnsi="Times New Roman" w:cs="Times New Roman"/>
                <w:b/>
                <w:sz w:val="21"/>
                <w:szCs w:val="22"/>
              </w:rPr>
              <w:t>12</w:t>
            </w:r>
            <w:r>
              <w:rPr>
                <w:rFonts w:ascii="Times New Roman" w:eastAsiaTheme="minorEastAsia" w:hAnsi="Times New Roman" w:cs="Times New Roman" w:hint="eastAsia"/>
                <w:b/>
                <w:spacing w:val="-3"/>
                <w:sz w:val="21"/>
                <w:szCs w:val="22"/>
              </w:rPr>
              <w:t>月</w:t>
            </w:r>
            <w:r>
              <w:rPr>
                <w:rFonts w:ascii="Times New Roman" w:eastAsiaTheme="minorEastAsia" w:hAnsi="Times New Roman" w:cs="Times New Roman"/>
                <w:b/>
                <w:sz w:val="21"/>
                <w:szCs w:val="22"/>
              </w:rPr>
              <w:t>31</w:t>
            </w:r>
            <w:r>
              <w:rPr>
                <w:rFonts w:ascii="Times New Roman" w:eastAsiaTheme="minorEastAsia" w:hAnsi="Times New Roman" w:cs="Times New Roman" w:hint="eastAsia"/>
                <w:b/>
                <w:sz w:val="21"/>
                <w:szCs w:val="22"/>
              </w:rPr>
              <w:t>日</w:t>
            </w:r>
          </w:p>
        </w:tc>
        <w:tc>
          <w:tcPr>
            <w:tcW w:w="2108" w:type="dxa"/>
            <w:vAlign w:val="center"/>
          </w:tcPr>
          <w:p w14:paraId="7A36F466" w14:textId="77777777" w:rsidR="00DE1B44" w:rsidRDefault="00D40582">
            <w:pPr>
              <w:autoSpaceDE/>
              <w:autoSpaceDN/>
              <w:spacing w:beforeLines="0" w:before="0" w:line="240" w:lineRule="auto"/>
              <w:ind w:leftChars="-16" w:left="-38" w:firstLineChars="0" w:firstLine="0"/>
              <w:jc w:val="center"/>
              <w:rPr>
                <w:rFonts w:ascii="Times New Roman" w:eastAsiaTheme="minorEastAsia" w:hAnsi="Times New Roman" w:cs="Times New Roman"/>
                <w:b/>
                <w:sz w:val="21"/>
                <w:szCs w:val="22"/>
              </w:rPr>
            </w:pPr>
            <w:r>
              <w:rPr>
                <w:rFonts w:ascii="Times New Roman" w:eastAsiaTheme="minorEastAsia" w:hAnsi="Times New Roman" w:cs="Times New Roman"/>
                <w:b/>
                <w:sz w:val="21"/>
                <w:szCs w:val="22"/>
              </w:rPr>
              <w:t>2019</w:t>
            </w:r>
            <w:r>
              <w:rPr>
                <w:rFonts w:ascii="Times New Roman" w:eastAsiaTheme="minorEastAsia" w:hAnsi="Times New Roman" w:cs="Times New Roman" w:hint="eastAsia"/>
                <w:b/>
                <w:spacing w:val="-3"/>
                <w:sz w:val="21"/>
                <w:szCs w:val="22"/>
              </w:rPr>
              <w:t>年</w:t>
            </w:r>
            <w:r>
              <w:rPr>
                <w:rFonts w:ascii="Times New Roman" w:eastAsiaTheme="minorEastAsia" w:hAnsi="Times New Roman" w:cs="Times New Roman"/>
                <w:b/>
                <w:sz w:val="21"/>
                <w:szCs w:val="22"/>
              </w:rPr>
              <w:t>12</w:t>
            </w:r>
            <w:r>
              <w:rPr>
                <w:rFonts w:ascii="Times New Roman" w:eastAsiaTheme="minorEastAsia" w:hAnsi="Times New Roman" w:cs="Times New Roman" w:hint="eastAsia"/>
                <w:b/>
                <w:spacing w:val="-3"/>
                <w:sz w:val="21"/>
                <w:szCs w:val="22"/>
              </w:rPr>
              <w:t>月</w:t>
            </w:r>
            <w:r>
              <w:rPr>
                <w:rFonts w:ascii="Times New Roman" w:eastAsiaTheme="minorEastAsia" w:hAnsi="Times New Roman" w:cs="Times New Roman"/>
                <w:b/>
                <w:sz w:val="21"/>
                <w:szCs w:val="22"/>
              </w:rPr>
              <w:t>31</w:t>
            </w:r>
            <w:r>
              <w:rPr>
                <w:rFonts w:ascii="Times New Roman" w:eastAsiaTheme="minorEastAsia" w:hAnsi="Times New Roman" w:cs="Times New Roman" w:hint="eastAsia"/>
                <w:b/>
                <w:sz w:val="21"/>
                <w:szCs w:val="22"/>
              </w:rPr>
              <w:t>日</w:t>
            </w:r>
          </w:p>
        </w:tc>
      </w:tr>
      <w:tr w:rsidR="00DE1B44" w14:paraId="5FDCA4B8" w14:textId="77777777">
        <w:trPr>
          <w:trHeight w:val="396"/>
          <w:jc w:val="center"/>
        </w:trPr>
        <w:tc>
          <w:tcPr>
            <w:tcW w:w="2696" w:type="dxa"/>
            <w:vAlign w:val="center"/>
          </w:tcPr>
          <w:p w14:paraId="3A37D1D4" w14:textId="77777777" w:rsidR="00DE1B44" w:rsidRDefault="00D40582">
            <w:pPr>
              <w:widowControl/>
              <w:autoSpaceDE/>
              <w:autoSpaceDN/>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向中央银行借款</w:t>
            </w:r>
          </w:p>
        </w:tc>
        <w:tc>
          <w:tcPr>
            <w:tcW w:w="2106" w:type="dxa"/>
            <w:shd w:val="clear" w:color="auto" w:fill="auto"/>
            <w:vAlign w:val="center"/>
          </w:tcPr>
          <w:p w14:paraId="0A798231"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84,551</w:t>
            </w:r>
          </w:p>
        </w:tc>
        <w:tc>
          <w:tcPr>
            <w:tcW w:w="2106" w:type="dxa"/>
          </w:tcPr>
          <w:p w14:paraId="728452E9"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93,122</w:t>
            </w:r>
          </w:p>
        </w:tc>
        <w:tc>
          <w:tcPr>
            <w:tcW w:w="2108" w:type="dxa"/>
          </w:tcPr>
          <w:p w14:paraId="596DAEED"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64,774</w:t>
            </w:r>
          </w:p>
        </w:tc>
      </w:tr>
      <w:tr w:rsidR="00DE1B44" w14:paraId="6FCFC0BC" w14:textId="77777777">
        <w:trPr>
          <w:trHeight w:val="396"/>
          <w:jc w:val="center"/>
        </w:trPr>
        <w:tc>
          <w:tcPr>
            <w:tcW w:w="2696" w:type="dxa"/>
            <w:vAlign w:val="center"/>
          </w:tcPr>
          <w:p w14:paraId="2EA812E4" w14:textId="77777777" w:rsidR="00DE1B44" w:rsidRDefault="00D40582">
            <w:pPr>
              <w:widowControl/>
              <w:autoSpaceDE/>
              <w:autoSpaceDN/>
              <w:spacing w:beforeLines="0" w:before="0" w:line="240" w:lineRule="auto"/>
              <w:ind w:firstLineChars="0" w:firstLine="0"/>
              <w:rPr>
                <w:rFonts w:ascii="Times New Roman" w:hAnsi="Times New Roman" w:cs="Times New Roman"/>
                <w:color w:val="000000"/>
                <w:sz w:val="21"/>
                <w:szCs w:val="21"/>
                <w:lang w:eastAsia="zh-CN"/>
              </w:rPr>
            </w:pPr>
            <w:r>
              <w:rPr>
                <w:rFonts w:ascii="Times New Roman" w:hAnsi="Times New Roman" w:cs="Times New Roman" w:hint="eastAsia"/>
                <w:color w:val="000000"/>
                <w:sz w:val="21"/>
                <w:szCs w:val="21"/>
                <w:lang w:eastAsia="zh-CN"/>
              </w:rPr>
              <w:t>同业及其他金融机构存放款项</w:t>
            </w:r>
          </w:p>
        </w:tc>
        <w:tc>
          <w:tcPr>
            <w:tcW w:w="2106" w:type="dxa"/>
            <w:shd w:val="clear" w:color="auto" w:fill="auto"/>
            <w:vAlign w:val="center"/>
          </w:tcPr>
          <w:p w14:paraId="00E98BD3"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504,888</w:t>
            </w:r>
          </w:p>
        </w:tc>
        <w:tc>
          <w:tcPr>
            <w:tcW w:w="2106" w:type="dxa"/>
          </w:tcPr>
          <w:p w14:paraId="1AA5CCB6"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464,919</w:t>
            </w:r>
          </w:p>
        </w:tc>
        <w:tc>
          <w:tcPr>
            <w:tcW w:w="2108" w:type="dxa"/>
          </w:tcPr>
          <w:p w14:paraId="65AB184A"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416,716</w:t>
            </w:r>
          </w:p>
        </w:tc>
      </w:tr>
      <w:tr w:rsidR="00DE1B44" w14:paraId="27FD1BD9" w14:textId="77777777">
        <w:trPr>
          <w:trHeight w:val="397"/>
          <w:jc w:val="center"/>
        </w:trPr>
        <w:tc>
          <w:tcPr>
            <w:tcW w:w="2696" w:type="dxa"/>
            <w:vAlign w:val="center"/>
          </w:tcPr>
          <w:p w14:paraId="1021D965" w14:textId="77777777" w:rsidR="00DE1B44" w:rsidRDefault="00D40582">
            <w:pPr>
              <w:widowControl/>
              <w:autoSpaceDE/>
              <w:autoSpaceDN/>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拆入资金</w:t>
            </w:r>
          </w:p>
        </w:tc>
        <w:tc>
          <w:tcPr>
            <w:tcW w:w="2106" w:type="dxa"/>
            <w:shd w:val="clear" w:color="auto" w:fill="auto"/>
            <w:vAlign w:val="center"/>
          </w:tcPr>
          <w:p w14:paraId="7D9DBD26"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34,182</w:t>
            </w:r>
          </w:p>
        </w:tc>
        <w:tc>
          <w:tcPr>
            <w:tcW w:w="2106" w:type="dxa"/>
          </w:tcPr>
          <w:p w14:paraId="276E4342"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16,667</w:t>
            </w:r>
          </w:p>
        </w:tc>
        <w:tc>
          <w:tcPr>
            <w:tcW w:w="2108" w:type="dxa"/>
          </w:tcPr>
          <w:p w14:paraId="4C16F68B"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27,763</w:t>
            </w:r>
          </w:p>
        </w:tc>
      </w:tr>
      <w:tr w:rsidR="00DE1B44" w14:paraId="7AD3A240" w14:textId="77777777">
        <w:trPr>
          <w:trHeight w:val="397"/>
          <w:jc w:val="center"/>
        </w:trPr>
        <w:tc>
          <w:tcPr>
            <w:tcW w:w="2696" w:type="dxa"/>
            <w:vAlign w:val="center"/>
          </w:tcPr>
          <w:p w14:paraId="34221625" w14:textId="77777777" w:rsidR="00DE1B44" w:rsidRDefault="00D40582">
            <w:pPr>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交易性金融负债</w:t>
            </w:r>
          </w:p>
        </w:tc>
        <w:tc>
          <w:tcPr>
            <w:tcW w:w="2106" w:type="dxa"/>
            <w:shd w:val="clear" w:color="auto" w:fill="auto"/>
            <w:vAlign w:val="center"/>
          </w:tcPr>
          <w:p w14:paraId="1AB859C4"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20,446</w:t>
            </w:r>
          </w:p>
        </w:tc>
        <w:tc>
          <w:tcPr>
            <w:tcW w:w="2106" w:type="dxa"/>
          </w:tcPr>
          <w:p w14:paraId="2D588341"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15,981</w:t>
            </w:r>
          </w:p>
        </w:tc>
        <w:tc>
          <w:tcPr>
            <w:tcW w:w="2108" w:type="dxa"/>
          </w:tcPr>
          <w:p w14:paraId="37B0204B"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4,496</w:t>
            </w:r>
          </w:p>
        </w:tc>
      </w:tr>
      <w:tr w:rsidR="00DE1B44" w14:paraId="75B7F474" w14:textId="77777777">
        <w:trPr>
          <w:trHeight w:val="397"/>
          <w:jc w:val="center"/>
        </w:trPr>
        <w:tc>
          <w:tcPr>
            <w:tcW w:w="2696" w:type="dxa"/>
            <w:vAlign w:val="center"/>
          </w:tcPr>
          <w:p w14:paraId="24047C9E" w14:textId="77777777" w:rsidR="00DE1B44" w:rsidRDefault="00D40582">
            <w:pPr>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衍生金融负债</w:t>
            </w:r>
          </w:p>
        </w:tc>
        <w:tc>
          <w:tcPr>
            <w:tcW w:w="2106" w:type="dxa"/>
            <w:shd w:val="clear" w:color="auto" w:fill="auto"/>
            <w:vAlign w:val="center"/>
          </w:tcPr>
          <w:p w14:paraId="5B2D8D8B"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18,882</w:t>
            </w:r>
          </w:p>
        </w:tc>
        <w:tc>
          <w:tcPr>
            <w:tcW w:w="2106" w:type="dxa"/>
          </w:tcPr>
          <w:p w14:paraId="7D9BE6A8"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28,001</w:t>
            </w:r>
          </w:p>
        </w:tc>
        <w:tc>
          <w:tcPr>
            <w:tcW w:w="2108" w:type="dxa"/>
          </w:tcPr>
          <w:p w14:paraId="60ECC114"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24,283</w:t>
            </w:r>
          </w:p>
        </w:tc>
      </w:tr>
      <w:tr w:rsidR="00DE1B44" w14:paraId="59F6E00F" w14:textId="77777777">
        <w:trPr>
          <w:trHeight w:val="396"/>
          <w:jc w:val="center"/>
        </w:trPr>
        <w:tc>
          <w:tcPr>
            <w:tcW w:w="2696" w:type="dxa"/>
            <w:vAlign w:val="center"/>
          </w:tcPr>
          <w:p w14:paraId="2D29FE54" w14:textId="77777777" w:rsidR="00DE1B44" w:rsidRDefault="00D40582">
            <w:pPr>
              <w:widowControl/>
              <w:autoSpaceDE/>
              <w:autoSpaceDN/>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卖出回购金融资产款</w:t>
            </w:r>
          </w:p>
        </w:tc>
        <w:tc>
          <w:tcPr>
            <w:tcW w:w="2106" w:type="dxa"/>
            <w:shd w:val="clear" w:color="auto" w:fill="auto"/>
            <w:vAlign w:val="center"/>
          </w:tcPr>
          <w:p w14:paraId="3F0E9D7B" w14:textId="77777777" w:rsidR="00DE1B44" w:rsidRDefault="00D40582">
            <w:pPr>
              <w:spacing w:beforeLines="0" w:before="76"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37,535</w:t>
            </w:r>
          </w:p>
        </w:tc>
        <w:tc>
          <w:tcPr>
            <w:tcW w:w="2106" w:type="dxa"/>
          </w:tcPr>
          <w:p w14:paraId="2EBC3DAB" w14:textId="77777777" w:rsidR="00DE1B44" w:rsidRDefault="00D40582">
            <w:pPr>
              <w:autoSpaceDE/>
              <w:autoSpaceDN/>
              <w:spacing w:beforeLines="0" w:before="76"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85,124</w:t>
            </w:r>
          </w:p>
        </w:tc>
        <w:tc>
          <w:tcPr>
            <w:tcW w:w="2108" w:type="dxa"/>
          </w:tcPr>
          <w:p w14:paraId="069695A0" w14:textId="77777777" w:rsidR="00DE1B44" w:rsidRDefault="00D40582">
            <w:pPr>
              <w:autoSpaceDE/>
              <w:autoSpaceDN/>
              <w:spacing w:beforeLines="0" w:before="76"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104,743</w:t>
            </w:r>
          </w:p>
        </w:tc>
      </w:tr>
      <w:tr w:rsidR="00DE1B44" w14:paraId="2EDE0AB5" w14:textId="77777777">
        <w:trPr>
          <w:trHeight w:val="396"/>
          <w:jc w:val="center"/>
        </w:trPr>
        <w:tc>
          <w:tcPr>
            <w:tcW w:w="2696" w:type="dxa"/>
            <w:vAlign w:val="center"/>
          </w:tcPr>
          <w:p w14:paraId="6EFE7D7B" w14:textId="77777777" w:rsidR="00DE1B44" w:rsidRDefault="00D40582">
            <w:pPr>
              <w:widowControl/>
              <w:autoSpaceDE/>
              <w:autoSpaceDN/>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吸收存款</w:t>
            </w:r>
          </w:p>
        </w:tc>
        <w:tc>
          <w:tcPr>
            <w:tcW w:w="2106" w:type="dxa"/>
            <w:shd w:val="clear" w:color="auto" w:fill="auto"/>
            <w:vAlign w:val="center"/>
          </w:tcPr>
          <w:p w14:paraId="3420D650"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1,990,199</w:t>
            </w:r>
          </w:p>
        </w:tc>
        <w:tc>
          <w:tcPr>
            <w:tcW w:w="2106" w:type="dxa"/>
          </w:tcPr>
          <w:p w14:paraId="6ACA9400"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1,852,555</w:t>
            </w:r>
          </w:p>
        </w:tc>
        <w:tc>
          <w:tcPr>
            <w:tcW w:w="2108" w:type="dxa"/>
          </w:tcPr>
          <w:p w14:paraId="789CB523"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1,600,170</w:t>
            </w:r>
          </w:p>
        </w:tc>
      </w:tr>
      <w:tr w:rsidR="00DE1B44" w14:paraId="25B2EF76" w14:textId="77777777">
        <w:trPr>
          <w:trHeight w:val="396"/>
          <w:jc w:val="center"/>
        </w:trPr>
        <w:tc>
          <w:tcPr>
            <w:tcW w:w="2696" w:type="dxa"/>
            <w:vAlign w:val="center"/>
          </w:tcPr>
          <w:p w14:paraId="174D997F" w14:textId="77777777" w:rsidR="00DE1B44" w:rsidRDefault="00D40582">
            <w:pPr>
              <w:widowControl/>
              <w:autoSpaceDE/>
              <w:autoSpaceDN/>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lastRenderedPageBreak/>
              <w:t>应付职工薪酬</w:t>
            </w:r>
          </w:p>
        </w:tc>
        <w:tc>
          <w:tcPr>
            <w:tcW w:w="2106" w:type="dxa"/>
            <w:shd w:val="clear" w:color="auto" w:fill="auto"/>
            <w:vAlign w:val="center"/>
          </w:tcPr>
          <w:p w14:paraId="17066B84"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6,296</w:t>
            </w:r>
          </w:p>
        </w:tc>
        <w:tc>
          <w:tcPr>
            <w:tcW w:w="2106" w:type="dxa"/>
          </w:tcPr>
          <w:p w14:paraId="6C575A47"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6,893</w:t>
            </w:r>
          </w:p>
        </w:tc>
        <w:tc>
          <w:tcPr>
            <w:tcW w:w="2108" w:type="dxa"/>
          </w:tcPr>
          <w:p w14:paraId="6E2F3FE4"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5,446</w:t>
            </w:r>
          </w:p>
        </w:tc>
      </w:tr>
      <w:tr w:rsidR="00DE1B44" w14:paraId="77841373" w14:textId="77777777">
        <w:trPr>
          <w:trHeight w:val="396"/>
          <w:jc w:val="center"/>
        </w:trPr>
        <w:tc>
          <w:tcPr>
            <w:tcW w:w="2696" w:type="dxa"/>
            <w:vAlign w:val="center"/>
          </w:tcPr>
          <w:p w14:paraId="5C994F6B" w14:textId="77777777" w:rsidR="00DE1B44" w:rsidRDefault="00D40582">
            <w:pPr>
              <w:widowControl/>
              <w:autoSpaceDE/>
              <w:autoSpaceDN/>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应交税费</w:t>
            </w:r>
          </w:p>
        </w:tc>
        <w:tc>
          <w:tcPr>
            <w:tcW w:w="2106" w:type="dxa"/>
            <w:shd w:val="clear" w:color="auto" w:fill="auto"/>
            <w:vAlign w:val="center"/>
          </w:tcPr>
          <w:p w14:paraId="008895A4"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7,073</w:t>
            </w:r>
          </w:p>
        </w:tc>
        <w:tc>
          <w:tcPr>
            <w:tcW w:w="2106" w:type="dxa"/>
          </w:tcPr>
          <w:p w14:paraId="12E158EC"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7,023</w:t>
            </w:r>
          </w:p>
        </w:tc>
        <w:tc>
          <w:tcPr>
            <w:tcW w:w="2108" w:type="dxa"/>
          </w:tcPr>
          <w:p w14:paraId="6A1D0CE1"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7,957</w:t>
            </w:r>
          </w:p>
        </w:tc>
      </w:tr>
      <w:tr w:rsidR="00DE1B44" w14:paraId="736B8021" w14:textId="77777777">
        <w:trPr>
          <w:trHeight w:val="396"/>
          <w:jc w:val="center"/>
        </w:trPr>
        <w:tc>
          <w:tcPr>
            <w:tcW w:w="2696" w:type="dxa"/>
            <w:vAlign w:val="center"/>
          </w:tcPr>
          <w:p w14:paraId="20EB271A" w14:textId="77777777" w:rsidR="00DE1B44" w:rsidRDefault="00D40582">
            <w:pPr>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租赁负债</w:t>
            </w:r>
          </w:p>
        </w:tc>
        <w:tc>
          <w:tcPr>
            <w:tcW w:w="2106" w:type="dxa"/>
            <w:shd w:val="clear" w:color="auto" w:fill="auto"/>
            <w:vAlign w:val="center"/>
          </w:tcPr>
          <w:p w14:paraId="7847E1E4"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5,118</w:t>
            </w:r>
          </w:p>
        </w:tc>
        <w:tc>
          <w:tcPr>
            <w:tcW w:w="2106" w:type="dxa"/>
          </w:tcPr>
          <w:p w14:paraId="78B1D2AC"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hint="eastAsia"/>
                <w:sz w:val="21"/>
                <w:szCs w:val="22"/>
              </w:rPr>
              <w:t>不适用</w:t>
            </w:r>
          </w:p>
        </w:tc>
        <w:tc>
          <w:tcPr>
            <w:tcW w:w="2108" w:type="dxa"/>
          </w:tcPr>
          <w:p w14:paraId="58EC1196"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hint="eastAsia"/>
                <w:sz w:val="21"/>
                <w:szCs w:val="22"/>
              </w:rPr>
              <w:t>不适用</w:t>
            </w:r>
          </w:p>
        </w:tc>
      </w:tr>
      <w:tr w:rsidR="00DE1B44" w14:paraId="161DF8A4" w14:textId="77777777">
        <w:trPr>
          <w:trHeight w:val="396"/>
          <w:jc w:val="center"/>
        </w:trPr>
        <w:tc>
          <w:tcPr>
            <w:tcW w:w="2696" w:type="dxa"/>
            <w:vAlign w:val="center"/>
          </w:tcPr>
          <w:p w14:paraId="7E1F6D9E" w14:textId="77777777" w:rsidR="00DE1B44" w:rsidRDefault="00D40582">
            <w:pPr>
              <w:widowControl/>
              <w:autoSpaceDE/>
              <w:autoSpaceDN/>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预计负债</w:t>
            </w:r>
          </w:p>
        </w:tc>
        <w:tc>
          <w:tcPr>
            <w:tcW w:w="2106" w:type="dxa"/>
            <w:shd w:val="clear" w:color="auto" w:fill="auto"/>
            <w:vAlign w:val="center"/>
          </w:tcPr>
          <w:p w14:paraId="16BD3B84"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2,640</w:t>
            </w:r>
          </w:p>
        </w:tc>
        <w:tc>
          <w:tcPr>
            <w:tcW w:w="2106" w:type="dxa"/>
          </w:tcPr>
          <w:p w14:paraId="74A0E6D4"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2,841</w:t>
            </w:r>
          </w:p>
        </w:tc>
        <w:tc>
          <w:tcPr>
            <w:tcW w:w="2108" w:type="dxa"/>
          </w:tcPr>
          <w:p w14:paraId="5BC455D7"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2,130</w:t>
            </w:r>
          </w:p>
        </w:tc>
      </w:tr>
      <w:tr w:rsidR="00DE1B44" w14:paraId="665773EE" w14:textId="77777777">
        <w:trPr>
          <w:trHeight w:val="396"/>
          <w:jc w:val="center"/>
        </w:trPr>
        <w:tc>
          <w:tcPr>
            <w:tcW w:w="2696" w:type="dxa"/>
            <w:vAlign w:val="center"/>
          </w:tcPr>
          <w:p w14:paraId="16D875C3" w14:textId="77777777" w:rsidR="00DE1B44" w:rsidRDefault="00D40582">
            <w:pPr>
              <w:widowControl/>
              <w:autoSpaceDE/>
              <w:autoSpaceDN/>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应付债券</w:t>
            </w:r>
          </w:p>
        </w:tc>
        <w:tc>
          <w:tcPr>
            <w:tcW w:w="2106" w:type="dxa"/>
            <w:shd w:val="clear" w:color="auto" w:fill="auto"/>
            <w:vAlign w:val="center"/>
          </w:tcPr>
          <w:p w14:paraId="092A6693" w14:textId="77777777" w:rsidR="00DE1B44" w:rsidRDefault="00D40582">
            <w:pPr>
              <w:spacing w:beforeLines="0" w:before="76"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230,091</w:t>
            </w:r>
          </w:p>
        </w:tc>
        <w:tc>
          <w:tcPr>
            <w:tcW w:w="2106" w:type="dxa"/>
          </w:tcPr>
          <w:p w14:paraId="3AADD9BD" w14:textId="77777777" w:rsidR="00DE1B44" w:rsidRDefault="00D40582">
            <w:pPr>
              <w:autoSpaceDE/>
              <w:autoSpaceDN/>
              <w:spacing w:beforeLines="0" w:before="76"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221,917</w:t>
            </w:r>
          </w:p>
        </w:tc>
        <w:tc>
          <w:tcPr>
            <w:tcW w:w="2108" w:type="dxa"/>
          </w:tcPr>
          <w:p w14:paraId="3A86F450" w14:textId="77777777" w:rsidR="00DE1B44" w:rsidRDefault="00D40582">
            <w:pPr>
              <w:autoSpaceDE/>
              <w:autoSpaceDN/>
              <w:spacing w:beforeLines="0" w:before="76"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147,864</w:t>
            </w:r>
          </w:p>
        </w:tc>
      </w:tr>
      <w:tr w:rsidR="00DE1B44" w14:paraId="3D78F26F" w14:textId="77777777">
        <w:trPr>
          <w:trHeight w:val="397"/>
          <w:jc w:val="center"/>
        </w:trPr>
        <w:tc>
          <w:tcPr>
            <w:tcW w:w="2696" w:type="dxa"/>
            <w:vAlign w:val="center"/>
          </w:tcPr>
          <w:p w14:paraId="44076D9E" w14:textId="77777777" w:rsidR="00DE1B44" w:rsidRDefault="00D40582">
            <w:pPr>
              <w:widowControl/>
              <w:autoSpaceDE/>
              <w:autoSpaceDN/>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hint="eastAsia"/>
                <w:color w:val="000000"/>
                <w:sz w:val="21"/>
                <w:szCs w:val="21"/>
              </w:rPr>
              <w:t>其他负债</w:t>
            </w:r>
          </w:p>
        </w:tc>
        <w:tc>
          <w:tcPr>
            <w:tcW w:w="2106" w:type="dxa"/>
            <w:shd w:val="clear" w:color="auto" w:fill="auto"/>
            <w:vAlign w:val="center"/>
          </w:tcPr>
          <w:p w14:paraId="6C051F69"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14,865</w:t>
            </w:r>
          </w:p>
        </w:tc>
        <w:tc>
          <w:tcPr>
            <w:tcW w:w="2106" w:type="dxa"/>
          </w:tcPr>
          <w:p w14:paraId="1B92F742"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14,780</w:t>
            </w:r>
          </w:p>
        </w:tc>
        <w:tc>
          <w:tcPr>
            <w:tcW w:w="2108" w:type="dxa"/>
          </w:tcPr>
          <w:p w14:paraId="7024590B"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16,891</w:t>
            </w:r>
          </w:p>
        </w:tc>
      </w:tr>
      <w:tr w:rsidR="00DE1B44" w14:paraId="4507F1C6" w14:textId="77777777">
        <w:trPr>
          <w:trHeight w:val="398"/>
          <w:jc w:val="center"/>
        </w:trPr>
        <w:tc>
          <w:tcPr>
            <w:tcW w:w="2696" w:type="dxa"/>
            <w:vAlign w:val="center"/>
          </w:tcPr>
          <w:p w14:paraId="63F9547A" w14:textId="77777777" w:rsidR="00DE1B44" w:rsidRDefault="00D40582">
            <w:pPr>
              <w:widowControl/>
              <w:autoSpaceDE/>
              <w:autoSpaceDN/>
              <w:spacing w:beforeLines="0" w:before="0" w:line="240" w:lineRule="auto"/>
              <w:ind w:firstLineChars="0" w:firstLine="0"/>
              <w:rPr>
                <w:rFonts w:ascii="Times New Roman" w:hAnsi="Times New Roman" w:cs="Times New Roman"/>
                <w:b/>
                <w:bCs/>
                <w:color w:val="000000"/>
                <w:sz w:val="21"/>
                <w:szCs w:val="21"/>
              </w:rPr>
            </w:pPr>
            <w:proofErr w:type="spellStart"/>
            <w:r>
              <w:rPr>
                <w:rFonts w:ascii="Times New Roman" w:hAnsi="Times New Roman" w:cs="Times New Roman" w:hint="eastAsia"/>
                <w:b/>
                <w:bCs/>
                <w:color w:val="000000"/>
                <w:sz w:val="21"/>
                <w:szCs w:val="21"/>
              </w:rPr>
              <w:t>负债合计</w:t>
            </w:r>
            <w:proofErr w:type="spellEnd"/>
          </w:p>
        </w:tc>
        <w:tc>
          <w:tcPr>
            <w:tcW w:w="2106" w:type="dxa"/>
            <w:shd w:val="clear" w:color="auto" w:fill="auto"/>
            <w:vAlign w:val="center"/>
          </w:tcPr>
          <w:p w14:paraId="6F2AC973" w14:textId="77777777" w:rsidR="00DE1B44" w:rsidRDefault="00D40582">
            <w:pPr>
              <w:spacing w:beforeLines="0" w:before="79" w:line="240" w:lineRule="auto"/>
              <w:ind w:right="96" w:firstLineChars="0" w:firstLine="0"/>
              <w:jc w:val="right"/>
              <w:rPr>
                <w:rFonts w:ascii="Times New Roman" w:eastAsia="Times New Roman" w:hAnsi="Times New Roman" w:cs="Times New Roman"/>
                <w:b/>
                <w:bCs/>
                <w:sz w:val="21"/>
                <w:szCs w:val="22"/>
              </w:rPr>
            </w:pPr>
            <w:r>
              <w:rPr>
                <w:rFonts w:ascii="Times New Roman" w:eastAsia="等线" w:hAnsi="Times New Roman" w:cs="Times New Roman"/>
                <w:b/>
                <w:bCs/>
                <w:color w:val="000000"/>
                <w:sz w:val="21"/>
                <w:szCs w:val="21"/>
              </w:rPr>
              <w:t>2,956,767</w:t>
            </w:r>
          </w:p>
        </w:tc>
        <w:tc>
          <w:tcPr>
            <w:tcW w:w="2106" w:type="dxa"/>
          </w:tcPr>
          <w:p w14:paraId="577F27A7" w14:textId="77777777" w:rsidR="00DE1B44" w:rsidRDefault="00D40582">
            <w:pPr>
              <w:autoSpaceDE/>
              <w:autoSpaceDN/>
              <w:spacing w:beforeLines="0" w:before="79" w:line="240" w:lineRule="auto"/>
              <w:ind w:right="96" w:firstLineChars="0" w:firstLine="0"/>
              <w:jc w:val="right"/>
              <w:rPr>
                <w:rFonts w:ascii="Times New Roman" w:eastAsia="Times New Roman" w:hAnsi="Times New Roman" w:cs="Times New Roman"/>
                <w:b/>
                <w:bCs/>
                <w:sz w:val="21"/>
                <w:szCs w:val="22"/>
              </w:rPr>
            </w:pPr>
            <w:r>
              <w:rPr>
                <w:rFonts w:ascii="Times New Roman" w:eastAsia="Times New Roman" w:hAnsi="Times New Roman" w:cs="Times New Roman"/>
                <w:b/>
                <w:bCs/>
                <w:sz w:val="21"/>
                <w:szCs w:val="22"/>
              </w:rPr>
              <w:t>2,809,822</w:t>
            </w:r>
          </w:p>
        </w:tc>
        <w:tc>
          <w:tcPr>
            <w:tcW w:w="2108" w:type="dxa"/>
          </w:tcPr>
          <w:p w14:paraId="44211AA4" w14:textId="77777777" w:rsidR="00DE1B44" w:rsidRDefault="00D40582">
            <w:pPr>
              <w:autoSpaceDE/>
              <w:autoSpaceDN/>
              <w:spacing w:beforeLines="0" w:before="79" w:line="240" w:lineRule="auto"/>
              <w:ind w:right="96" w:firstLineChars="0" w:firstLine="0"/>
              <w:jc w:val="right"/>
              <w:rPr>
                <w:rFonts w:ascii="Times New Roman" w:eastAsia="Times New Roman" w:hAnsi="Times New Roman" w:cs="Times New Roman"/>
                <w:b/>
                <w:bCs/>
                <w:sz w:val="21"/>
                <w:szCs w:val="22"/>
              </w:rPr>
            </w:pPr>
            <w:r>
              <w:rPr>
                <w:rFonts w:ascii="Times New Roman" w:eastAsia="Times New Roman" w:hAnsi="Times New Roman" w:cs="Times New Roman"/>
                <w:b/>
                <w:bCs/>
                <w:sz w:val="21"/>
                <w:szCs w:val="22"/>
              </w:rPr>
              <w:t>2,423,234</w:t>
            </w:r>
          </w:p>
        </w:tc>
      </w:tr>
    </w:tbl>
    <w:p w14:paraId="5CD31DDB" w14:textId="77777777" w:rsidR="00DE1B44" w:rsidRDefault="00D40582">
      <w:pPr>
        <w:pStyle w:val="58"/>
        <w:spacing w:before="120"/>
        <w:ind w:firstLine="482"/>
        <w:rPr>
          <w:rFonts w:ascii="Times New Roman" w:hAnsi="Times New Roman"/>
        </w:rPr>
      </w:pPr>
      <w:r w:rsidRPr="00F677C4">
        <w:rPr>
          <w:rFonts w:ascii="Times New Roman" w:hAnsi="Times New Roman" w:hint="eastAsia"/>
          <w:bCs/>
          <w:kern w:val="0"/>
          <w:szCs w:val="24"/>
        </w:rPr>
        <w:t>（</w:t>
      </w:r>
      <w:r w:rsidRPr="00F677C4">
        <w:rPr>
          <w:rFonts w:ascii="Times New Roman" w:hAnsi="Times New Roman"/>
          <w:bCs/>
          <w:kern w:val="0"/>
          <w:szCs w:val="24"/>
        </w:rPr>
        <w:t>1</w:t>
      </w:r>
      <w:r w:rsidRPr="00F677C4">
        <w:rPr>
          <w:rFonts w:ascii="Times New Roman" w:hAnsi="Times New Roman" w:hint="eastAsia"/>
          <w:bCs/>
          <w:kern w:val="0"/>
          <w:szCs w:val="24"/>
        </w:rPr>
        <w:t>）吸收存款</w:t>
      </w:r>
    </w:p>
    <w:p w14:paraId="2A2D4E1A" w14:textId="77777777" w:rsidR="00DE1B44" w:rsidRDefault="00D40582">
      <w:pPr>
        <w:spacing w:before="120"/>
        <w:ind w:firstLine="480"/>
        <w:rPr>
          <w:rFonts w:ascii="Times New Roman" w:hAnsi="Times New Roman" w:cs="Times New Roman"/>
        </w:rPr>
      </w:pPr>
      <w:r>
        <w:rPr>
          <w:rFonts w:ascii="Times New Roman" w:hAnsi="Times New Roman" w:cs="Times New Roman"/>
        </w:rPr>
        <w:t>本行主要通过吸收存款为贷款及投资业务提供资金。截至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，本行的吸收存款余额占本行负债的比重分别为</w:t>
      </w:r>
      <w:r>
        <w:rPr>
          <w:rFonts w:ascii="Times New Roman" w:hAnsi="Times New Roman" w:cs="Times New Roman"/>
        </w:rPr>
        <w:t>66.03%</w:t>
      </w:r>
      <w:r>
        <w:rPr>
          <w:rFonts w:ascii="Times New Roman" w:hAnsi="Times New Roman" w:cs="Times New Roman" w:hint="eastAsia"/>
        </w:rPr>
        <w:t>、</w:t>
      </w:r>
      <w:r>
        <w:rPr>
          <w:rFonts w:ascii="Times New Roman" w:hAnsi="Times New Roman" w:cs="Times New Roman"/>
        </w:rPr>
        <w:t>65.93%</w:t>
      </w:r>
      <w:r>
        <w:rPr>
          <w:rFonts w:ascii="Times New Roman" w:hAnsi="Times New Roman" w:cs="Times New Roman" w:hint="eastAsia"/>
        </w:rPr>
        <w:t>和</w:t>
      </w:r>
      <w:r>
        <w:rPr>
          <w:rFonts w:ascii="Times New Roman" w:hAnsi="Times New Roman" w:cs="Times New Roman" w:hint="eastAsia"/>
        </w:rPr>
        <w:t>6</w:t>
      </w:r>
      <w:r>
        <w:rPr>
          <w:rFonts w:ascii="Times New Roman" w:hAnsi="Times New Roman" w:cs="Times New Roman"/>
        </w:rPr>
        <w:t>7.31%</w:t>
      </w:r>
      <w:r>
        <w:rPr>
          <w:rFonts w:ascii="Times New Roman" w:hAnsi="Times New Roman" w:cs="Times New Roman"/>
        </w:rPr>
        <w:t>。本行吸收存款情况如下：</w:t>
      </w:r>
    </w:p>
    <w:p w14:paraId="2719F25F"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Style w:val="TableNormal"/>
        <w:tblW w:w="901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1142"/>
        <w:gridCol w:w="1143"/>
        <w:gridCol w:w="1141"/>
        <w:gridCol w:w="1141"/>
        <w:gridCol w:w="1141"/>
        <w:gridCol w:w="1140"/>
      </w:tblGrid>
      <w:tr w:rsidR="00DE1B44" w14:paraId="6E9B7B42" w14:textId="77777777">
        <w:trPr>
          <w:trHeight w:val="396"/>
          <w:jc w:val="center"/>
        </w:trPr>
        <w:tc>
          <w:tcPr>
            <w:tcW w:w="2168" w:type="dxa"/>
            <w:vMerge w:val="restart"/>
            <w:vAlign w:val="center"/>
          </w:tcPr>
          <w:p w14:paraId="2973DF75" w14:textId="77777777" w:rsidR="00DE1B44" w:rsidRDefault="00D40582">
            <w:pPr>
              <w:spacing w:beforeLines="0" w:before="63" w:line="240" w:lineRule="auto"/>
              <w:ind w:left="108" w:firstLineChars="0" w:firstLine="0"/>
              <w:jc w:val="center"/>
              <w:rPr>
                <w:b/>
                <w:bCs/>
                <w:sz w:val="21"/>
                <w:szCs w:val="21"/>
              </w:rPr>
            </w:pPr>
            <w:r>
              <w:rPr>
                <w:rFonts w:hint="eastAsia"/>
                <w:b/>
                <w:bCs/>
                <w:sz w:val="21"/>
                <w:szCs w:val="21"/>
              </w:rPr>
              <w:t>项目</w:t>
            </w:r>
          </w:p>
        </w:tc>
        <w:tc>
          <w:tcPr>
            <w:tcW w:w="2285" w:type="dxa"/>
            <w:gridSpan w:val="2"/>
            <w:vAlign w:val="center"/>
          </w:tcPr>
          <w:p w14:paraId="5D506724" w14:textId="77777777" w:rsidR="00DE1B44" w:rsidRDefault="00D40582">
            <w:pPr>
              <w:spacing w:beforeLines="0" w:before="0" w:line="240" w:lineRule="auto"/>
              <w:ind w:right="95" w:firstLineChars="0" w:firstLine="0"/>
              <w:jc w:val="center"/>
              <w:rPr>
                <w:rFonts w:ascii="Times New Roman" w:eastAsiaTheme="minorEastAsia" w:hAnsi="Times New Roman" w:cs="Times New Roman"/>
                <w:b/>
                <w:bCs/>
                <w:sz w:val="21"/>
                <w:szCs w:val="22"/>
              </w:rPr>
            </w:pPr>
            <w:r>
              <w:rPr>
                <w:rFonts w:ascii="Times New Roman" w:eastAsiaTheme="minorEastAsia" w:hAnsi="Times New Roman" w:cs="Times New Roman" w:hint="eastAsia"/>
                <w:b/>
                <w:bCs/>
                <w:sz w:val="21"/>
                <w:szCs w:val="22"/>
              </w:rPr>
              <w:t>2</w:t>
            </w:r>
            <w:r>
              <w:rPr>
                <w:rFonts w:ascii="Times New Roman" w:eastAsiaTheme="minorEastAsia" w:hAnsi="Times New Roman" w:cs="Times New Roman"/>
                <w:b/>
                <w:bCs/>
                <w:sz w:val="21"/>
                <w:szCs w:val="22"/>
              </w:rPr>
              <w:t>021</w:t>
            </w:r>
            <w:r>
              <w:rPr>
                <w:rFonts w:ascii="Times New Roman" w:eastAsiaTheme="minorEastAsia" w:hAnsi="Times New Roman" w:cs="Times New Roman" w:hint="eastAsia"/>
                <w:b/>
                <w:bCs/>
                <w:sz w:val="21"/>
                <w:szCs w:val="22"/>
              </w:rPr>
              <w:t>年</w:t>
            </w:r>
            <w:r>
              <w:rPr>
                <w:rFonts w:ascii="Times New Roman" w:eastAsiaTheme="minorEastAsia" w:hAnsi="Times New Roman" w:cs="Times New Roman" w:hint="eastAsia"/>
                <w:b/>
                <w:bCs/>
                <w:sz w:val="21"/>
                <w:szCs w:val="22"/>
              </w:rPr>
              <w:t>6</w:t>
            </w:r>
            <w:r>
              <w:rPr>
                <w:rFonts w:ascii="Times New Roman" w:eastAsiaTheme="minorEastAsia" w:hAnsi="Times New Roman" w:cs="Times New Roman" w:hint="eastAsia"/>
                <w:b/>
                <w:bCs/>
                <w:sz w:val="21"/>
                <w:szCs w:val="22"/>
              </w:rPr>
              <w:t>月</w:t>
            </w:r>
            <w:r>
              <w:rPr>
                <w:rFonts w:ascii="Times New Roman" w:eastAsiaTheme="minorEastAsia" w:hAnsi="Times New Roman" w:cs="Times New Roman" w:hint="eastAsia"/>
                <w:b/>
                <w:bCs/>
                <w:sz w:val="21"/>
                <w:szCs w:val="22"/>
              </w:rPr>
              <w:t>3</w:t>
            </w:r>
            <w:r>
              <w:rPr>
                <w:rFonts w:ascii="Times New Roman" w:eastAsiaTheme="minorEastAsia" w:hAnsi="Times New Roman" w:cs="Times New Roman"/>
                <w:b/>
                <w:bCs/>
                <w:sz w:val="21"/>
                <w:szCs w:val="22"/>
              </w:rPr>
              <w:t>0</w:t>
            </w:r>
            <w:r>
              <w:rPr>
                <w:rFonts w:ascii="Times New Roman" w:eastAsiaTheme="minorEastAsia" w:hAnsi="Times New Roman" w:cs="Times New Roman" w:hint="eastAsia"/>
                <w:b/>
                <w:bCs/>
                <w:sz w:val="21"/>
                <w:szCs w:val="22"/>
              </w:rPr>
              <w:t>日</w:t>
            </w:r>
          </w:p>
        </w:tc>
        <w:tc>
          <w:tcPr>
            <w:tcW w:w="2282" w:type="dxa"/>
            <w:gridSpan w:val="2"/>
            <w:vAlign w:val="center"/>
          </w:tcPr>
          <w:p w14:paraId="7091AF89" w14:textId="77777777" w:rsidR="00DE1B44" w:rsidRDefault="00D40582">
            <w:pPr>
              <w:spacing w:beforeLines="0" w:before="0" w:line="240" w:lineRule="auto"/>
              <w:ind w:right="95" w:firstLineChars="0" w:firstLine="0"/>
              <w:jc w:val="center"/>
              <w:rPr>
                <w:rFonts w:ascii="Times New Roman" w:eastAsiaTheme="minorEastAsia" w:hAnsi="Times New Roman" w:cs="Times New Roman"/>
                <w:b/>
                <w:bCs/>
                <w:sz w:val="21"/>
                <w:szCs w:val="22"/>
              </w:rPr>
            </w:pPr>
            <w:r>
              <w:rPr>
                <w:rFonts w:ascii="Times New Roman" w:eastAsiaTheme="minorEastAsia" w:hAnsi="Times New Roman" w:cs="Times New Roman"/>
                <w:b/>
                <w:bCs/>
                <w:sz w:val="21"/>
                <w:szCs w:val="22"/>
              </w:rPr>
              <w:t>2020</w:t>
            </w:r>
            <w:r>
              <w:rPr>
                <w:rFonts w:ascii="Times New Roman" w:eastAsiaTheme="minorEastAsia" w:hAnsi="Times New Roman" w:cs="Times New Roman" w:hint="eastAsia"/>
                <w:b/>
                <w:bCs/>
                <w:spacing w:val="-3"/>
                <w:sz w:val="21"/>
                <w:szCs w:val="22"/>
              </w:rPr>
              <w:t>年</w:t>
            </w:r>
            <w:r>
              <w:rPr>
                <w:rFonts w:ascii="Times New Roman" w:eastAsiaTheme="minorEastAsia" w:hAnsi="Times New Roman" w:cs="Times New Roman"/>
                <w:b/>
                <w:bCs/>
                <w:sz w:val="21"/>
                <w:szCs w:val="22"/>
              </w:rPr>
              <w:t>12</w:t>
            </w:r>
            <w:r>
              <w:rPr>
                <w:rFonts w:ascii="Times New Roman" w:eastAsiaTheme="minorEastAsia" w:hAnsi="Times New Roman" w:cs="Times New Roman" w:hint="eastAsia"/>
                <w:b/>
                <w:bCs/>
                <w:spacing w:val="-3"/>
                <w:sz w:val="21"/>
                <w:szCs w:val="22"/>
              </w:rPr>
              <w:t>月</w:t>
            </w:r>
            <w:r>
              <w:rPr>
                <w:rFonts w:ascii="Times New Roman" w:eastAsiaTheme="minorEastAsia" w:hAnsi="Times New Roman" w:cs="Times New Roman"/>
                <w:b/>
                <w:bCs/>
                <w:sz w:val="21"/>
                <w:szCs w:val="22"/>
              </w:rPr>
              <w:t>31</w:t>
            </w:r>
            <w:r>
              <w:rPr>
                <w:rFonts w:ascii="Times New Roman" w:eastAsiaTheme="minorEastAsia" w:hAnsi="Times New Roman" w:cs="Times New Roman" w:hint="eastAsia"/>
                <w:b/>
                <w:bCs/>
                <w:sz w:val="21"/>
                <w:szCs w:val="22"/>
              </w:rPr>
              <w:t>日</w:t>
            </w:r>
          </w:p>
        </w:tc>
        <w:tc>
          <w:tcPr>
            <w:tcW w:w="2281" w:type="dxa"/>
            <w:gridSpan w:val="2"/>
            <w:vAlign w:val="center"/>
          </w:tcPr>
          <w:p w14:paraId="20080459" w14:textId="77777777" w:rsidR="00DE1B44" w:rsidRDefault="00D40582">
            <w:pPr>
              <w:spacing w:beforeLines="0" w:before="0" w:line="240" w:lineRule="auto"/>
              <w:ind w:right="98" w:firstLineChars="0" w:firstLine="0"/>
              <w:jc w:val="center"/>
              <w:rPr>
                <w:rFonts w:ascii="Times New Roman" w:eastAsiaTheme="minorEastAsia" w:hAnsi="Times New Roman" w:cs="Times New Roman"/>
                <w:b/>
                <w:bCs/>
                <w:sz w:val="21"/>
                <w:szCs w:val="22"/>
              </w:rPr>
            </w:pPr>
            <w:r>
              <w:rPr>
                <w:rFonts w:ascii="Times New Roman" w:eastAsiaTheme="minorEastAsia" w:hAnsi="Times New Roman" w:cs="Times New Roman"/>
                <w:b/>
                <w:bCs/>
                <w:sz w:val="21"/>
                <w:szCs w:val="22"/>
              </w:rPr>
              <w:t>2019</w:t>
            </w:r>
            <w:r>
              <w:rPr>
                <w:rFonts w:ascii="Times New Roman" w:eastAsiaTheme="minorEastAsia" w:hAnsi="Times New Roman" w:cs="Times New Roman" w:hint="eastAsia"/>
                <w:b/>
                <w:bCs/>
                <w:spacing w:val="-3"/>
                <w:sz w:val="21"/>
                <w:szCs w:val="22"/>
              </w:rPr>
              <w:t>年</w:t>
            </w:r>
            <w:r>
              <w:rPr>
                <w:rFonts w:ascii="Times New Roman" w:eastAsiaTheme="minorEastAsia" w:hAnsi="Times New Roman" w:cs="Times New Roman"/>
                <w:b/>
                <w:bCs/>
                <w:sz w:val="21"/>
                <w:szCs w:val="22"/>
              </w:rPr>
              <w:t>12</w:t>
            </w:r>
            <w:r>
              <w:rPr>
                <w:rFonts w:ascii="Times New Roman" w:eastAsiaTheme="minorEastAsia" w:hAnsi="Times New Roman" w:cs="Times New Roman" w:hint="eastAsia"/>
                <w:b/>
                <w:bCs/>
                <w:spacing w:val="-3"/>
                <w:sz w:val="21"/>
                <w:szCs w:val="22"/>
              </w:rPr>
              <w:t>月</w:t>
            </w:r>
            <w:r>
              <w:rPr>
                <w:rFonts w:ascii="Times New Roman" w:eastAsiaTheme="minorEastAsia" w:hAnsi="Times New Roman" w:cs="Times New Roman"/>
                <w:b/>
                <w:bCs/>
                <w:sz w:val="21"/>
                <w:szCs w:val="22"/>
              </w:rPr>
              <w:t>31</w:t>
            </w:r>
            <w:r>
              <w:rPr>
                <w:rFonts w:ascii="Times New Roman" w:eastAsiaTheme="minorEastAsia" w:hAnsi="Times New Roman" w:cs="Times New Roman" w:hint="eastAsia"/>
                <w:b/>
                <w:bCs/>
                <w:sz w:val="21"/>
                <w:szCs w:val="22"/>
              </w:rPr>
              <w:t>日</w:t>
            </w:r>
          </w:p>
        </w:tc>
      </w:tr>
      <w:tr w:rsidR="00DE1B44" w14:paraId="44E856AF" w14:textId="77777777">
        <w:trPr>
          <w:trHeight w:val="396"/>
          <w:jc w:val="center"/>
        </w:trPr>
        <w:tc>
          <w:tcPr>
            <w:tcW w:w="2168" w:type="dxa"/>
            <w:vMerge/>
          </w:tcPr>
          <w:p w14:paraId="5DD48444" w14:textId="77777777" w:rsidR="00DE1B44" w:rsidRDefault="00DE1B44">
            <w:pPr>
              <w:spacing w:beforeLines="0" w:before="63" w:line="240" w:lineRule="auto"/>
              <w:ind w:left="108" w:firstLineChars="0" w:firstLine="0"/>
              <w:jc w:val="left"/>
              <w:rPr>
                <w:b/>
                <w:bCs/>
                <w:sz w:val="21"/>
                <w:szCs w:val="21"/>
              </w:rPr>
            </w:pPr>
          </w:p>
        </w:tc>
        <w:tc>
          <w:tcPr>
            <w:tcW w:w="1142" w:type="dxa"/>
            <w:vAlign w:val="center"/>
          </w:tcPr>
          <w:p w14:paraId="3CE3171E" w14:textId="77777777" w:rsidR="00DE1B44" w:rsidRDefault="00D40582">
            <w:pPr>
              <w:spacing w:beforeLines="0" w:before="0" w:line="240" w:lineRule="auto"/>
              <w:ind w:right="97" w:firstLineChars="0" w:firstLine="0"/>
              <w:jc w:val="center"/>
              <w:rPr>
                <w:rFonts w:ascii="Times New Roman" w:eastAsiaTheme="minorEastAsia" w:hAnsi="Times New Roman" w:cs="Times New Roman"/>
                <w:b/>
                <w:bCs/>
                <w:sz w:val="21"/>
                <w:szCs w:val="22"/>
              </w:rPr>
            </w:pPr>
            <w:r>
              <w:rPr>
                <w:rFonts w:ascii="Times New Roman" w:eastAsiaTheme="minorEastAsia" w:hAnsi="Times New Roman" w:cs="Times New Roman" w:hint="eastAsia"/>
                <w:b/>
                <w:bCs/>
                <w:sz w:val="21"/>
                <w:szCs w:val="22"/>
              </w:rPr>
              <w:t>金额</w:t>
            </w:r>
          </w:p>
        </w:tc>
        <w:tc>
          <w:tcPr>
            <w:tcW w:w="1143" w:type="dxa"/>
            <w:vAlign w:val="center"/>
          </w:tcPr>
          <w:p w14:paraId="6EFAC1BF" w14:textId="77777777" w:rsidR="00DE1B44" w:rsidRDefault="00D40582">
            <w:pPr>
              <w:spacing w:beforeLines="0" w:before="0" w:line="240" w:lineRule="auto"/>
              <w:ind w:right="97" w:firstLineChars="0" w:firstLine="0"/>
              <w:jc w:val="center"/>
              <w:rPr>
                <w:rFonts w:ascii="Times New Roman" w:eastAsiaTheme="minorEastAsia" w:hAnsi="Times New Roman" w:cs="Times New Roman"/>
                <w:b/>
                <w:bCs/>
                <w:sz w:val="21"/>
                <w:szCs w:val="22"/>
              </w:rPr>
            </w:pPr>
            <w:r>
              <w:rPr>
                <w:rFonts w:hint="eastAsia"/>
                <w:b/>
                <w:bCs/>
                <w:sz w:val="21"/>
                <w:szCs w:val="22"/>
              </w:rPr>
              <w:t>占比</w:t>
            </w:r>
          </w:p>
        </w:tc>
        <w:tc>
          <w:tcPr>
            <w:tcW w:w="1141" w:type="dxa"/>
            <w:vAlign w:val="center"/>
          </w:tcPr>
          <w:p w14:paraId="24E7B326" w14:textId="77777777" w:rsidR="00DE1B44" w:rsidRDefault="00D40582">
            <w:pPr>
              <w:spacing w:beforeLines="0" w:before="0" w:line="240" w:lineRule="auto"/>
              <w:ind w:right="97" w:firstLineChars="0" w:firstLine="0"/>
              <w:jc w:val="center"/>
              <w:rPr>
                <w:rFonts w:ascii="Times New Roman" w:eastAsiaTheme="minorEastAsia" w:hAnsi="Times New Roman" w:cs="Times New Roman"/>
                <w:b/>
                <w:bCs/>
                <w:sz w:val="21"/>
                <w:szCs w:val="22"/>
              </w:rPr>
            </w:pPr>
            <w:r>
              <w:rPr>
                <w:rFonts w:ascii="Times New Roman" w:eastAsiaTheme="minorEastAsia" w:hAnsi="Times New Roman" w:cs="Times New Roman" w:hint="eastAsia"/>
                <w:b/>
                <w:bCs/>
                <w:sz w:val="21"/>
                <w:szCs w:val="22"/>
              </w:rPr>
              <w:t>金额</w:t>
            </w:r>
          </w:p>
        </w:tc>
        <w:tc>
          <w:tcPr>
            <w:tcW w:w="1141" w:type="dxa"/>
            <w:vAlign w:val="center"/>
          </w:tcPr>
          <w:p w14:paraId="67D08EE5" w14:textId="77777777" w:rsidR="00DE1B44" w:rsidRDefault="00D40582">
            <w:pPr>
              <w:spacing w:beforeLines="0" w:before="0" w:line="240" w:lineRule="auto"/>
              <w:ind w:right="95" w:firstLineChars="0" w:firstLine="0"/>
              <w:jc w:val="center"/>
              <w:rPr>
                <w:rFonts w:ascii="Times New Roman" w:eastAsia="Times New Roman" w:hAnsi="Times New Roman" w:cs="Times New Roman"/>
                <w:b/>
                <w:bCs/>
                <w:sz w:val="21"/>
                <w:szCs w:val="22"/>
              </w:rPr>
            </w:pPr>
            <w:r>
              <w:rPr>
                <w:rFonts w:hint="eastAsia"/>
                <w:b/>
                <w:bCs/>
                <w:sz w:val="21"/>
                <w:szCs w:val="22"/>
              </w:rPr>
              <w:t>占比</w:t>
            </w:r>
          </w:p>
        </w:tc>
        <w:tc>
          <w:tcPr>
            <w:tcW w:w="1141" w:type="dxa"/>
            <w:vAlign w:val="center"/>
          </w:tcPr>
          <w:p w14:paraId="4706DC14" w14:textId="77777777" w:rsidR="00DE1B44" w:rsidRDefault="00D40582">
            <w:pPr>
              <w:spacing w:beforeLines="0" w:before="0" w:line="240" w:lineRule="auto"/>
              <w:ind w:right="98" w:firstLineChars="0" w:firstLine="0"/>
              <w:jc w:val="center"/>
              <w:rPr>
                <w:rFonts w:ascii="Times New Roman" w:eastAsia="Times New Roman" w:hAnsi="Times New Roman" w:cs="Times New Roman"/>
                <w:b/>
                <w:bCs/>
                <w:sz w:val="21"/>
                <w:szCs w:val="22"/>
              </w:rPr>
            </w:pPr>
            <w:r>
              <w:rPr>
                <w:rFonts w:hint="eastAsia"/>
                <w:b/>
                <w:bCs/>
                <w:sz w:val="21"/>
                <w:szCs w:val="22"/>
              </w:rPr>
              <w:t>金额</w:t>
            </w:r>
          </w:p>
        </w:tc>
        <w:tc>
          <w:tcPr>
            <w:tcW w:w="1140" w:type="dxa"/>
            <w:vAlign w:val="center"/>
          </w:tcPr>
          <w:p w14:paraId="6D35D2E4" w14:textId="77777777" w:rsidR="00DE1B44" w:rsidRDefault="00D40582">
            <w:pPr>
              <w:spacing w:beforeLines="0" w:before="0" w:line="240" w:lineRule="auto"/>
              <w:ind w:right="98" w:firstLineChars="0" w:firstLine="0"/>
              <w:jc w:val="center"/>
              <w:rPr>
                <w:rFonts w:ascii="Times New Roman" w:eastAsia="Times New Roman" w:hAnsi="Times New Roman" w:cs="Times New Roman"/>
                <w:b/>
                <w:bCs/>
                <w:sz w:val="21"/>
                <w:szCs w:val="22"/>
              </w:rPr>
            </w:pPr>
            <w:r>
              <w:rPr>
                <w:rFonts w:hint="eastAsia"/>
                <w:b/>
                <w:bCs/>
                <w:sz w:val="21"/>
                <w:szCs w:val="22"/>
              </w:rPr>
              <w:t>占比</w:t>
            </w:r>
          </w:p>
        </w:tc>
      </w:tr>
      <w:tr w:rsidR="00DE1B44" w14:paraId="1257922E" w14:textId="77777777">
        <w:trPr>
          <w:trHeight w:val="396"/>
          <w:jc w:val="center"/>
        </w:trPr>
        <w:tc>
          <w:tcPr>
            <w:tcW w:w="9016" w:type="dxa"/>
            <w:gridSpan w:val="7"/>
          </w:tcPr>
          <w:p w14:paraId="20525A1B" w14:textId="77777777" w:rsidR="00DE1B44" w:rsidRDefault="00D40582">
            <w:pPr>
              <w:spacing w:beforeLines="0" w:before="77" w:line="240" w:lineRule="auto"/>
              <w:ind w:right="98" w:firstLineChars="0" w:firstLine="0"/>
              <w:rPr>
                <w:rFonts w:ascii="Times New Roman" w:eastAsia="Times New Roman" w:hAnsi="Times New Roman" w:cs="Times New Roman"/>
                <w:b/>
                <w:bCs/>
                <w:sz w:val="21"/>
                <w:szCs w:val="22"/>
              </w:rPr>
            </w:pPr>
            <w:r>
              <w:rPr>
                <w:rFonts w:hint="eastAsia"/>
                <w:b/>
                <w:bCs/>
                <w:sz w:val="21"/>
                <w:szCs w:val="21"/>
              </w:rPr>
              <w:t>活期存款</w:t>
            </w:r>
          </w:p>
        </w:tc>
      </w:tr>
      <w:tr w:rsidR="00DE1B44" w14:paraId="45E64CFD" w14:textId="77777777">
        <w:trPr>
          <w:trHeight w:val="396"/>
          <w:jc w:val="center"/>
        </w:trPr>
        <w:tc>
          <w:tcPr>
            <w:tcW w:w="2168" w:type="dxa"/>
          </w:tcPr>
          <w:p w14:paraId="448FB66B" w14:textId="77777777" w:rsidR="00DE1B44" w:rsidRDefault="00D40582">
            <w:pPr>
              <w:autoSpaceDE/>
              <w:autoSpaceDN/>
              <w:spacing w:beforeLines="0" w:before="63" w:line="240" w:lineRule="auto"/>
              <w:ind w:left="108" w:firstLineChars="0" w:firstLine="0"/>
              <w:jc w:val="left"/>
              <w:rPr>
                <w:rFonts w:hAnsi="Times New Roman" w:cs="Times New Roman"/>
                <w:sz w:val="21"/>
                <w:szCs w:val="21"/>
              </w:rPr>
            </w:pPr>
            <w:r>
              <w:rPr>
                <w:rFonts w:hint="eastAsia"/>
                <w:sz w:val="21"/>
                <w:szCs w:val="21"/>
              </w:rPr>
              <w:t>-公司客户</w:t>
            </w:r>
          </w:p>
        </w:tc>
        <w:tc>
          <w:tcPr>
            <w:tcW w:w="1142" w:type="dxa"/>
            <w:shd w:val="clear" w:color="auto" w:fill="auto"/>
            <w:vAlign w:val="center"/>
          </w:tcPr>
          <w:p w14:paraId="5855FA31" w14:textId="77777777" w:rsidR="00DE1B44" w:rsidRDefault="00D40582">
            <w:pPr>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639,548</w:t>
            </w:r>
          </w:p>
        </w:tc>
        <w:tc>
          <w:tcPr>
            <w:tcW w:w="1143" w:type="dxa"/>
            <w:shd w:val="clear" w:color="auto" w:fill="auto"/>
            <w:vAlign w:val="center"/>
          </w:tcPr>
          <w:p w14:paraId="756C030A" w14:textId="77777777" w:rsidR="00DE1B44" w:rsidRDefault="00D40582">
            <w:pPr>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32.13%</w:t>
            </w:r>
          </w:p>
        </w:tc>
        <w:tc>
          <w:tcPr>
            <w:tcW w:w="1141" w:type="dxa"/>
            <w:vAlign w:val="center"/>
          </w:tcPr>
          <w:p w14:paraId="4BBD7D49" w14:textId="77777777" w:rsidR="00DE1B44" w:rsidRDefault="00D40582">
            <w:pPr>
              <w:autoSpaceDE/>
              <w:autoSpaceDN/>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649,407</w:t>
            </w:r>
          </w:p>
        </w:tc>
        <w:tc>
          <w:tcPr>
            <w:tcW w:w="1141" w:type="dxa"/>
            <w:vAlign w:val="center"/>
          </w:tcPr>
          <w:p w14:paraId="3F7C2DAA" w14:textId="77777777" w:rsidR="00DE1B44" w:rsidRDefault="00D40582">
            <w:pPr>
              <w:autoSpaceDE/>
              <w:autoSpaceDN/>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35.06%</w:t>
            </w:r>
          </w:p>
        </w:tc>
        <w:tc>
          <w:tcPr>
            <w:tcW w:w="1141" w:type="dxa"/>
            <w:vAlign w:val="center"/>
          </w:tcPr>
          <w:p w14:paraId="19F0ABED" w14:textId="77777777" w:rsidR="00DE1B44" w:rsidRDefault="00D40582">
            <w:pPr>
              <w:autoSpaceDE/>
              <w:autoSpaceDN/>
              <w:spacing w:beforeLines="0" w:before="77" w:line="240" w:lineRule="auto"/>
              <w:ind w:right="98"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469,240</w:t>
            </w:r>
          </w:p>
        </w:tc>
        <w:tc>
          <w:tcPr>
            <w:tcW w:w="1140" w:type="dxa"/>
            <w:vAlign w:val="center"/>
          </w:tcPr>
          <w:p w14:paraId="41005C6B" w14:textId="77777777" w:rsidR="00DE1B44" w:rsidRDefault="00D40582">
            <w:pPr>
              <w:autoSpaceDE/>
              <w:autoSpaceDN/>
              <w:spacing w:beforeLines="0" w:before="77" w:line="240" w:lineRule="auto"/>
              <w:ind w:right="98"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29.32%</w:t>
            </w:r>
          </w:p>
        </w:tc>
      </w:tr>
      <w:tr w:rsidR="00DE1B44" w14:paraId="6D392F9C" w14:textId="77777777">
        <w:trPr>
          <w:trHeight w:val="397"/>
          <w:jc w:val="center"/>
        </w:trPr>
        <w:tc>
          <w:tcPr>
            <w:tcW w:w="2168" w:type="dxa"/>
          </w:tcPr>
          <w:p w14:paraId="2F2450C4" w14:textId="77777777" w:rsidR="00DE1B44" w:rsidRDefault="00D40582">
            <w:pPr>
              <w:autoSpaceDE/>
              <w:autoSpaceDN/>
              <w:spacing w:beforeLines="0" w:before="63" w:line="240" w:lineRule="auto"/>
              <w:ind w:left="108" w:firstLineChars="0" w:firstLine="0"/>
              <w:jc w:val="left"/>
              <w:rPr>
                <w:rFonts w:hAnsi="Times New Roman" w:cs="Times New Roman"/>
                <w:sz w:val="21"/>
                <w:szCs w:val="21"/>
              </w:rPr>
            </w:pPr>
            <w:r>
              <w:rPr>
                <w:rFonts w:hint="eastAsia"/>
                <w:sz w:val="21"/>
                <w:szCs w:val="21"/>
              </w:rPr>
              <w:t>-个人客户</w:t>
            </w:r>
          </w:p>
        </w:tc>
        <w:tc>
          <w:tcPr>
            <w:tcW w:w="1142" w:type="dxa"/>
            <w:shd w:val="clear" w:color="auto" w:fill="auto"/>
            <w:vAlign w:val="center"/>
          </w:tcPr>
          <w:p w14:paraId="1F3B344A" w14:textId="77777777" w:rsidR="00DE1B44" w:rsidRDefault="00D40582">
            <w:pPr>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128,444</w:t>
            </w:r>
          </w:p>
        </w:tc>
        <w:tc>
          <w:tcPr>
            <w:tcW w:w="1143" w:type="dxa"/>
            <w:shd w:val="clear" w:color="auto" w:fill="auto"/>
            <w:vAlign w:val="center"/>
          </w:tcPr>
          <w:p w14:paraId="3D51C07E" w14:textId="77777777" w:rsidR="00DE1B44" w:rsidRDefault="00D40582">
            <w:pPr>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6.45%</w:t>
            </w:r>
          </w:p>
        </w:tc>
        <w:tc>
          <w:tcPr>
            <w:tcW w:w="1141" w:type="dxa"/>
            <w:vAlign w:val="center"/>
          </w:tcPr>
          <w:p w14:paraId="045271CD" w14:textId="77777777" w:rsidR="00DE1B44" w:rsidRDefault="00D40582">
            <w:pPr>
              <w:autoSpaceDE/>
              <w:autoSpaceDN/>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113,045</w:t>
            </w:r>
          </w:p>
        </w:tc>
        <w:tc>
          <w:tcPr>
            <w:tcW w:w="1141" w:type="dxa"/>
            <w:vAlign w:val="center"/>
          </w:tcPr>
          <w:p w14:paraId="69E478A5" w14:textId="77777777" w:rsidR="00DE1B44" w:rsidRDefault="00D40582">
            <w:pPr>
              <w:autoSpaceDE/>
              <w:autoSpaceDN/>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6.10%</w:t>
            </w:r>
          </w:p>
        </w:tc>
        <w:tc>
          <w:tcPr>
            <w:tcW w:w="1141" w:type="dxa"/>
            <w:vAlign w:val="center"/>
          </w:tcPr>
          <w:p w14:paraId="7CF55477" w14:textId="77777777" w:rsidR="00DE1B44" w:rsidRDefault="00D40582">
            <w:pPr>
              <w:autoSpaceDE/>
              <w:autoSpaceDN/>
              <w:spacing w:beforeLines="0" w:before="77" w:line="240" w:lineRule="auto"/>
              <w:ind w:right="98"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92,038</w:t>
            </w:r>
          </w:p>
        </w:tc>
        <w:tc>
          <w:tcPr>
            <w:tcW w:w="1140" w:type="dxa"/>
            <w:vAlign w:val="center"/>
          </w:tcPr>
          <w:p w14:paraId="6AB6431A" w14:textId="77777777" w:rsidR="00DE1B44" w:rsidRDefault="00D40582">
            <w:pPr>
              <w:autoSpaceDE/>
              <w:autoSpaceDN/>
              <w:spacing w:beforeLines="0" w:before="77" w:line="240" w:lineRule="auto"/>
              <w:ind w:right="98"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5.75%</w:t>
            </w:r>
          </w:p>
        </w:tc>
      </w:tr>
      <w:tr w:rsidR="00DE1B44" w14:paraId="0AC7C827" w14:textId="77777777">
        <w:trPr>
          <w:trHeight w:val="396"/>
          <w:jc w:val="center"/>
        </w:trPr>
        <w:tc>
          <w:tcPr>
            <w:tcW w:w="2168" w:type="dxa"/>
            <w:vAlign w:val="center"/>
          </w:tcPr>
          <w:p w14:paraId="45E4547B" w14:textId="77777777" w:rsidR="00DE1B44" w:rsidRDefault="00D40582">
            <w:pPr>
              <w:autoSpaceDE/>
              <w:autoSpaceDN/>
              <w:spacing w:beforeLines="0" w:before="63" w:line="240" w:lineRule="auto"/>
              <w:ind w:left="108" w:firstLineChars="0" w:firstLine="0"/>
              <w:jc w:val="center"/>
              <w:rPr>
                <w:rFonts w:hAnsi="Times New Roman" w:cs="Times New Roman"/>
                <w:sz w:val="21"/>
                <w:szCs w:val="21"/>
              </w:rPr>
            </w:pPr>
            <w:r>
              <w:rPr>
                <w:rFonts w:hint="eastAsia"/>
                <w:sz w:val="21"/>
                <w:szCs w:val="21"/>
              </w:rPr>
              <w:t>小计</w:t>
            </w:r>
          </w:p>
        </w:tc>
        <w:tc>
          <w:tcPr>
            <w:tcW w:w="1142" w:type="dxa"/>
            <w:shd w:val="clear" w:color="auto" w:fill="auto"/>
            <w:vAlign w:val="center"/>
          </w:tcPr>
          <w:p w14:paraId="6389C03C"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767,992</w:t>
            </w:r>
          </w:p>
        </w:tc>
        <w:tc>
          <w:tcPr>
            <w:tcW w:w="1143" w:type="dxa"/>
            <w:shd w:val="clear" w:color="auto" w:fill="auto"/>
            <w:vAlign w:val="center"/>
          </w:tcPr>
          <w:p w14:paraId="36A09790" w14:textId="77777777" w:rsidR="00DE1B44" w:rsidRDefault="00D40582">
            <w:pPr>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38.59%</w:t>
            </w:r>
          </w:p>
        </w:tc>
        <w:tc>
          <w:tcPr>
            <w:tcW w:w="1141" w:type="dxa"/>
            <w:vAlign w:val="center"/>
          </w:tcPr>
          <w:p w14:paraId="49E33A04" w14:textId="77777777" w:rsidR="00DE1B44" w:rsidRDefault="00D40582">
            <w:pPr>
              <w:autoSpaceDE/>
              <w:autoSpaceDN/>
              <w:spacing w:beforeLines="0" w:before="77" w:line="240" w:lineRule="auto"/>
              <w:ind w:right="96"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762,452</w:t>
            </w:r>
          </w:p>
        </w:tc>
        <w:tc>
          <w:tcPr>
            <w:tcW w:w="1141" w:type="dxa"/>
            <w:vAlign w:val="center"/>
          </w:tcPr>
          <w:p w14:paraId="2D3588F7" w14:textId="77777777" w:rsidR="00DE1B44" w:rsidRDefault="00D40582">
            <w:pPr>
              <w:autoSpaceDE/>
              <w:autoSpaceDN/>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41.16%</w:t>
            </w:r>
          </w:p>
        </w:tc>
        <w:tc>
          <w:tcPr>
            <w:tcW w:w="1141" w:type="dxa"/>
            <w:vAlign w:val="center"/>
          </w:tcPr>
          <w:p w14:paraId="79D43994" w14:textId="77777777" w:rsidR="00DE1B44" w:rsidRDefault="00D40582">
            <w:pPr>
              <w:autoSpaceDE/>
              <w:autoSpaceDN/>
              <w:spacing w:beforeLines="0" w:before="77" w:line="240" w:lineRule="auto"/>
              <w:ind w:right="98"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561,278</w:t>
            </w:r>
          </w:p>
        </w:tc>
        <w:tc>
          <w:tcPr>
            <w:tcW w:w="1140" w:type="dxa"/>
            <w:vAlign w:val="center"/>
          </w:tcPr>
          <w:p w14:paraId="5DB1D867" w14:textId="77777777" w:rsidR="00DE1B44" w:rsidRDefault="00D40582">
            <w:pPr>
              <w:autoSpaceDE/>
              <w:autoSpaceDN/>
              <w:spacing w:beforeLines="0" w:before="77" w:line="240" w:lineRule="auto"/>
              <w:ind w:right="98"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35.07%</w:t>
            </w:r>
          </w:p>
        </w:tc>
      </w:tr>
      <w:tr w:rsidR="00DE1B44" w14:paraId="61E511A2" w14:textId="77777777">
        <w:trPr>
          <w:trHeight w:val="397"/>
          <w:jc w:val="center"/>
        </w:trPr>
        <w:tc>
          <w:tcPr>
            <w:tcW w:w="9016" w:type="dxa"/>
            <w:gridSpan w:val="7"/>
          </w:tcPr>
          <w:p w14:paraId="2D5646C0" w14:textId="77777777" w:rsidR="00DE1B44" w:rsidRDefault="00D40582">
            <w:pPr>
              <w:autoSpaceDE/>
              <w:autoSpaceDN/>
              <w:spacing w:beforeLines="0" w:before="77" w:line="240" w:lineRule="auto"/>
              <w:ind w:right="98" w:firstLineChars="0" w:firstLine="0"/>
              <w:rPr>
                <w:rFonts w:ascii="Times New Roman" w:eastAsia="Times New Roman" w:hAnsi="Times New Roman" w:cs="Times New Roman"/>
                <w:b/>
                <w:bCs/>
                <w:sz w:val="21"/>
                <w:szCs w:val="21"/>
              </w:rPr>
            </w:pPr>
            <w:r>
              <w:rPr>
                <w:rFonts w:hint="eastAsia"/>
                <w:b/>
                <w:bCs/>
                <w:sz w:val="21"/>
                <w:szCs w:val="21"/>
              </w:rPr>
              <w:t>定期存款（含通知存款）</w:t>
            </w:r>
          </w:p>
        </w:tc>
      </w:tr>
      <w:tr w:rsidR="00DE1B44" w14:paraId="68A73178" w14:textId="77777777">
        <w:trPr>
          <w:trHeight w:val="396"/>
          <w:jc w:val="center"/>
        </w:trPr>
        <w:tc>
          <w:tcPr>
            <w:tcW w:w="2168" w:type="dxa"/>
          </w:tcPr>
          <w:p w14:paraId="2BE2648C" w14:textId="77777777" w:rsidR="00DE1B44" w:rsidRDefault="00D40582">
            <w:pPr>
              <w:autoSpaceDE/>
              <w:autoSpaceDN/>
              <w:spacing w:beforeLines="0" w:before="62" w:line="240" w:lineRule="auto"/>
              <w:ind w:left="108" w:firstLineChars="0" w:firstLine="0"/>
              <w:jc w:val="left"/>
              <w:rPr>
                <w:rFonts w:hAnsi="Times New Roman" w:cs="Times New Roman"/>
                <w:sz w:val="21"/>
                <w:szCs w:val="21"/>
              </w:rPr>
            </w:pPr>
            <w:r>
              <w:rPr>
                <w:rFonts w:hint="eastAsia"/>
                <w:sz w:val="21"/>
                <w:szCs w:val="21"/>
              </w:rPr>
              <w:t>-公司客户</w:t>
            </w:r>
          </w:p>
        </w:tc>
        <w:tc>
          <w:tcPr>
            <w:tcW w:w="1142" w:type="dxa"/>
            <w:shd w:val="clear" w:color="auto" w:fill="auto"/>
            <w:vAlign w:val="center"/>
          </w:tcPr>
          <w:p w14:paraId="27380988" w14:textId="77777777" w:rsidR="00DE1B44" w:rsidRDefault="00D40582">
            <w:pPr>
              <w:spacing w:beforeLines="0" w:before="76"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916,319</w:t>
            </w:r>
          </w:p>
        </w:tc>
        <w:tc>
          <w:tcPr>
            <w:tcW w:w="1143" w:type="dxa"/>
            <w:shd w:val="clear" w:color="auto" w:fill="auto"/>
            <w:vAlign w:val="center"/>
          </w:tcPr>
          <w:p w14:paraId="2BD26280" w14:textId="77777777" w:rsidR="00DE1B44" w:rsidRDefault="00D40582">
            <w:pPr>
              <w:spacing w:beforeLines="0" w:before="76"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46.04%</w:t>
            </w:r>
          </w:p>
        </w:tc>
        <w:tc>
          <w:tcPr>
            <w:tcW w:w="1141" w:type="dxa"/>
            <w:vAlign w:val="center"/>
          </w:tcPr>
          <w:p w14:paraId="411995E7" w14:textId="77777777" w:rsidR="00DE1B44" w:rsidRDefault="00D40582">
            <w:pPr>
              <w:autoSpaceDE/>
              <w:autoSpaceDN/>
              <w:spacing w:beforeLines="0" w:before="76" w:line="240" w:lineRule="auto"/>
              <w:ind w:right="97"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807,412</w:t>
            </w:r>
          </w:p>
        </w:tc>
        <w:tc>
          <w:tcPr>
            <w:tcW w:w="1141" w:type="dxa"/>
            <w:vAlign w:val="center"/>
          </w:tcPr>
          <w:p w14:paraId="0D988AC0" w14:textId="77777777" w:rsidR="00DE1B44" w:rsidRDefault="00D40582">
            <w:pPr>
              <w:autoSpaceDE/>
              <w:autoSpaceDN/>
              <w:spacing w:beforeLines="0" w:before="76" w:line="240" w:lineRule="auto"/>
              <w:ind w:right="95"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43.58%</w:t>
            </w:r>
          </w:p>
        </w:tc>
        <w:tc>
          <w:tcPr>
            <w:tcW w:w="1141" w:type="dxa"/>
            <w:vAlign w:val="center"/>
          </w:tcPr>
          <w:p w14:paraId="300F9455" w14:textId="77777777" w:rsidR="00DE1B44" w:rsidRDefault="00D40582">
            <w:pPr>
              <w:autoSpaceDE/>
              <w:autoSpaceDN/>
              <w:spacing w:beforeLines="0" w:before="76" w:line="240" w:lineRule="auto"/>
              <w:ind w:right="98"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805,132</w:t>
            </w:r>
          </w:p>
        </w:tc>
        <w:tc>
          <w:tcPr>
            <w:tcW w:w="1140" w:type="dxa"/>
            <w:vAlign w:val="center"/>
          </w:tcPr>
          <w:p w14:paraId="60BA5DA3" w14:textId="77777777" w:rsidR="00DE1B44" w:rsidRDefault="00D40582">
            <w:pPr>
              <w:autoSpaceDE/>
              <w:autoSpaceDN/>
              <w:spacing w:beforeLines="0" w:before="76" w:line="240" w:lineRule="auto"/>
              <w:ind w:right="98"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50.32%</w:t>
            </w:r>
          </w:p>
        </w:tc>
      </w:tr>
      <w:tr w:rsidR="00DE1B44" w14:paraId="35C449F8" w14:textId="77777777">
        <w:trPr>
          <w:trHeight w:val="396"/>
          <w:jc w:val="center"/>
        </w:trPr>
        <w:tc>
          <w:tcPr>
            <w:tcW w:w="2168" w:type="dxa"/>
          </w:tcPr>
          <w:p w14:paraId="7121C113" w14:textId="77777777" w:rsidR="00DE1B44" w:rsidRDefault="00D40582">
            <w:pPr>
              <w:autoSpaceDE/>
              <w:autoSpaceDN/>
              <w:spacing w:beforeLines="0" w:before="62" w:line="240" w:lineRule="auto"/>
              <w:ind w:left="108" w:firstLineChars="0" w:firstLine="0"/>
              <w:jc w:val="left"/>
              <w:rPr>
                <w:rFonts w:hAnsi="Times New Roman" w:cs="Times New Roman"/>
                <w:sz w:val="21"/>
                <w:szCs w:val="21"/>
              </w:rPr>
            </w:pPr>
            <w:r>
              <w:rPr>
                <w:rFonts w:hint="eastAsia"/>
                <w:sz w:val="21"/>
                <w:szCs w:val="21"/>
              </w:rPr>
              <w:t>-个人客户</w:t>
            </w:r>
          </w:p>
        </w:tc>
        <w:tc>
          <w:tcPr>
            <w:tcW w:w="1142" w:type="dxa"/>
            <w:shd w:val="clear" w:color="auto" w:fill="auto"/>
            <w:vAlign w:val="center"/>
          </w:tcPr>
          <w:p w14:paraId="36F8F91A" w14:textId="77777777" w:rsidR="00DE1B44" w:rsidRDefault="00D40582">
            <w:pPr>
              <w:spacing w:beforeLines="0" w:before="76"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280,798</w:t>
            </w:r>
          </w:p>
        </w:tc>
        <w:tc>
          <w:tcPr>
            <w:tcW w:w="1143" w:type="dxa"/>
            <w:shd w:val="clear" w:color="auto" w:fill="auto"/>
            <w:vAlign w:val="center"/>
          </w:tcPr>
          <w:p w14:paraId="08793663" w14:textId="77777777" w:rsidR="00DE1B44" w:rsidRDefault="00D40582">
            <w:pPr>
              <w:spacing w:beforeLines="0" w:before="76"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14.11%</w:t>
            </w:r>
          </w:p>
        </w:tc>
        <w:tc>
          <w:tcPr>
            <w:tcW w:w="1141" w:type="dxa"/>
            <w:vAlign w:val="center"/>
          </w:tcPr>
          <w:p w14:paraId="2D282292" w14:textId="77777777" w:rsidR="00DE1B44" w:rsidRDefault="00D40582">
            <w:pPr>
              <w:autoSpaceDE/>
              <w:autoSpaceDN/>
              <w:spacing w:beforeLines="0" w:before="76" w:line="240" w:lineRule="auto"/>
              <w:ind w:right="97"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259,654</w:t>
            </w:r>
          </w:p>
        </w:tc>
        <w:tc>
          <w:tcPr>
            <w:tcW w:w="1141" w:type="dxa"/>
            <w:vAlign w:val="center"/>
          </w:tcPr>
          <w:p w14:paraId="77C31420" w14:textId="77777777" w:rsidR="00DE1B44" w:rsidRDefault="00D40582">
            <w:pPr>
              <w:autoSpaceDE/>
              <w:autoSpaceDN/>
              <w:spacing w:beforeLines="0" w:before="76" w:line="240" w:lineRule="auto"/>
              <w:ind w:right="95"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14.02%</w:t>
            </w:r>
          </w:p>
        </w:tc>
        <w:tc>
          <w:tcPr>
            <w:tcW w:w="1141" w:type="dxa"/>
            <w:vAlign w:val="center"/>
          </w:tcPr>
          <w:p w14:paraId="11E80EB5" w14:textId="77777777" w:rsidR="00DE1B44" w:rsidRDefault="00D40582">
            <w:pPr>
              <w:autoSpaceDE/>
              <w:autoSpaceDN/>
              <w:spacing w:beforeLines="0" w:before="76" w:line="240" w:lineRule="auto"/>
              <w:ind w:right="98"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216,190</w:t>
            </w:r>
          </w:p>
        </w:tc>
        <w:tc>
          <w:tcPr>
            <w:tcW w:w="1140" w:type="dxa"/>
            <w:vAlign w:val="center"/>
          </w:tcPr>
          <w:p w14:paraId="0E88EBA1" w14:textId="77777777" w:rsidR="00DE1B44" w:rsidRDefault="00D40582">
            <w:pPr>
              <w:autoSpaceDE/>
              <w:autoSpaceDN/>
              <w:spacing w:beforeLines="0" w:before="76" w:line="240" w:lineRule="auto"/>
              <w:ind w:right="98"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13.51%</w:t>
            </w:r>
          </w:p>
        </w:tc>
      </w:tr>
      <w:tr w:rsidR="00DE1B44" w14:paraId="04E378DA" w14:textId="77777777">
        <w:trPr>
          <w:trHeight w:val="396"/>
          <w:jc w:val="center"/>
        </w:trPr>
        <w:tc>
          <w:tcPr>
            <w:tcW w:w="2168" w:type="dxa"/>
            <w:vAlign w:val="center"/>
          </w:tcPr>
          <w:p w14:paraId="465677B3" w14:textId="77777777" w:rsidR="00DE1B44" w:rsidRDefault="00D40582">
            <w:pPr>
              <w:autoSpaceDE/>
              <w:autoSpaceDN/>
              <w:spacing w:beforeLines="0" w:before="63" w:line="240" w:lineRule="auto"/>
              <w:ind w:left="108" w:firstLineChars="0" w:firstLine="0"/>
              <w:jc w:val="center"/>
              <w:rPr>
                <w:rFonts w:hAnsi="Times New Roman" w:cs="Times New Roman"/>
                <w:sz w:val="21"/>
                <w:szCs w:val="21"/>
              </w:rPr>
            </w:pPr>
            <w:r>
              <w:rPr>
                <w:rFonts w:hint="eastAsia"/>
                <w:sz w:val="21"/>
                <w:szCs w:val="21"/>
              </w:rPr>
              <w:t>小计</w:t>
            </w:r>
          </w:p>
        </w:tc>
        <w:tc>
          <w:tcPr>
            <w:tcW w:w="1142" w:type="dxa"/>
            <w:shd w:val="clear" w:color="auto" w:fill="auto"/>
            <w:vAlign w:val="center"/>
          </w:tcPr>
          <w:p w14:paraId="7E3AE83D" w14:textId="77777777" w:rsidR="00DE1B44" w:rsidRDefault="00D40582">
            <w:pPr>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1,197,117</w:t>
            </w:r>
          </w:p>
        </w:tc>
        <w:tc>
          <w:tcPr>
            <w:tcW w:w="1143" w:type="dxa"/>
            <w:shd w:val="clear" w:color="auto" w:fill="auto"/>
            <w:vAlign w:val="center"/>
          </w:tcPr>
          <w:p w14:paraId="34EC60AD" w14:textId="77777777" w:rsidR="00DE1B44" w:rsidRDefault="00D40582">
            <w:pPr>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60.15%</w:t>
            </w:r>
          </w:p>
        </w:tc>
        <w:tc>
          <w:tcPr>
            <w:tcW w:w="1141" w:type="dxa"/>
            <w:vAlign w:val="center"/>
          </w:tcPr>
          <w:p w14:paraId="6B4591B4" w14:textId="77777777" w:rsidR="00DE1B44" w:rsidRDefault="00D40582">
            <w:pPr>
              <w:autoSpaceDE/>
              <w:autoSpaceDN/>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1,067,066</w:t>
            </w:r>
          </w:p>
        </w:tc>
        <w:tc>
          <w:tcPr>
            <w:tcW w:w="1141" w:type="dxa"/>
            <w:vAlign w:val="center"/>
          </w:tcPr>
          <w:p w14:paraId="66F3A3D2" w14:textId="77777777" w:rsidR="00DE1B44" w:rsidRDefault="00D40582">
            <w:pPr>
              <w:autoSpaceDE/>
              <w:autoSpaceDN/>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57.60%</w:t>
            </w:r>
          </w:p>
        </w:tc>
        <w:tc>
          <w:tcPr>
            <w:tcW w:w="1141" w:type="dxa"/>
            <w:vAlign w:val="center"/>
          </w:tcPr>
          <w:p w14:paraId="2BE08BD4" w14:textId="77777777" w:rsidR="00DE1B44" w:rsidRDefault="00D40582">
            <w:pPr>
              <w:autoSpaceDE/>
              <w:autoSpaceDN/>
              <w:spacing w:beforeLines="0" w:before="77" w:line="240" w:lineRule="auto"/>
              <w:ind w:right="98"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1,021,322</w:t>
            </w:r>
          </w:p>
        </w:tc>
        <w:tc>
          <w:tcPr>
            <w:tcW w:w="1140" w:type="dxa"/>
            <w:vAlign w:val="center"/>
          </w:tcPr>
          <w:p w14:paraId="60610401" w14:textId="77777777" w:rsidR="00DE1B44" w:rsidRDefault="00D40582">
            <w:pPr>
              <w:autoSpaceDE/>
              <w:autoSpaceDN/>
              <w:spacing w:beforeLines="0" w:before="77" w:line="240" w:lineRule="auto"/>
              <w:ind w:right="98"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63.83%</w:t>
            </w:r>
          </w:p>
        </w:tc>
      </w:tr>
      <w:tr w:rsidR="00DE1B44" w14:paraId="03B66099" w14:textId="77777777">
        <w:trPr>
          <w:trHeight w:val="396"/>
          <w:jc w:val="center"/>
        </w:trPr>
        <w:tc>
          <w:tcPr>
            <w:tcW w:w="2168" w:type="dxa"/>
          </w:tcPr>
          <w:p w14:paraId="259FF88C" w14:textId="77777777" w:rsidR="00DE1B44" w:rsidRDefault="00D40582">
            <w:pPr>
              <w:spacing w:beforeLines="0" w:before="63" w:line="240" w:lineRule="auto"/>
              <w:ind w:left="108" w:firstLineChars="0" w:firstLine="0"/>
              <w:jc w:val="left"/>
              <w:rPr>
                <w:sz w:val="21"/>
                <w:szCs w:val="21"/>
              </w:rPr>
            </w:pPr>
            <w:r>
              <w:rPr>
                <w:rFonts w:hint="eastAsia"/>
                <w:sz w:val="21"/>
                <w:szCs w:val="21"/>
              </w:rPr>
              <w:t>其他存款</w:t>
            </w:r>
          </w:p>
        </w:tc>
        <w:tc>
          <w:tcPr>
            <w:tcW w:w="1142" w:type="dxa"/>
            <w:shd w:val="clear" w:color="auto" w:fill="auto"/>
            <w:vAlign w:val="center"/>
          </w:tcPr>
          <w:p w14:paraId="050ED2ED" w14:textId="77777777" w:rsidR="00DE1B44" w:rsidRDefault="00D40582">
            <w:pPr>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769</w:t>
            </w:r>
          </w:p>
        </w:tc>
        <w:tc>
          <w:tcPr>
            <w:tcW w:w="1143" w:type="dxa"/>
            <w:shd w:val="clear" w:color="auto" w:fill="auto"/>
            <w:vAlign w:val="center"/>
          </w:tcPr>
          <w:p w14:paraId="24BE8D30" w14:textId="77777777" w:rsidR="00DE1B44" w:rsidRDefault="00D40582">
            <w:pPr>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0.04%</w:t>
            </w:r>
          </w:p>
        </w:tc>
        <w:tc>
          <w:tcPr>
            <w:tcW w:w="1141" w:type="dxa"/>
            <w:vAlign w:val="center"/>
          </w:tcPr>
          <w:p w14:paraId="3D3B4207" w14:textId="77777777" w:rsidR="00DE1B44" w:rsidRDefault="00D40582">
            <w:pPr>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1,888</w:t>
            </w:r>
          </w:p>
        </w:tc>
        <w:tc>
          <w:tcPr>
            <w:tcW w:w="1141" w:type="dxa"/>
            <w:vAlign w:val="center"/>
          </w:tcPr>
          <w:p w14:paraId="2560ED59" w14:textId="77777777" w:rsidR="00DE1B44" w:rsidRDefault="00D40582">
            <w:pPr>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0.10%</w:t>
            </w:r>
          </w:p>
        </w:tc>
        <w:tc>
          <w:tcPr>
            <w:tcW w:w="1141" w:type="dxa"/>
            <w:vAlign w:val="center"/>
          </w:tcPr>
          <w:p w14:paraId="127E2AE7" w14:textId="77777777" w:rsidR="00DE1B44" w:rsidRDefault="00D40582">
            <w:pPr>
              <w:spacing w:beforeLines="0" w:before="77" w:line="240" w:lineRule="auto"/>
              <w:ind w:right="98"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522</w:t>
            </w:r>
          </w:p>
        </w:tc>
        <w:tc>
          <w:tcPr>
            <w:tcW w:w="1140" w:type="dxa"/>
            <w:vAlign w:val="center"/>
          </w:tcPr>
          <w:p w14:paraId="0D40A2E8" w14:textId="77777777" w:rsidR="00DE1B44" w:rsidRDefault="00D40582">
            <w:pPr>
              <w:spacing w:beforeLines="0" w:before="77" w:line="240" w:lineRule="auto"/>
              <w:ind w:right="98"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0.03%</w:t>
            </w:r>
          </w:p>
        </w:tc>
      </w:tr>
      <w:tr w:rsidR="00DE1B44" w14:paraId="44CA1DEC" w14:textId="77777777">
        <w:trPr>
          <w:trHeight w:val="396"/>
          <w:jc w:val="center"/>
        </w:trPr>
        <w:tc>
          <w:tcPr>
            <w:tcW w:w="2168" w:type="dxa"/>
          </w:tcPr>
          <w:p w14:paraId="06A4778C" w14:textId="77777777" w:rsidR="00DE1B44" w:rsidRDefault="00D40582">
            <w:pPr>
              <w:spacing w:beforeLines="0" w:before="63" w:line="240" w:lineRule="auto"/>
              <w:ind w:left="108" w:firstLineChars="0" w:firstLine="0"/>
              <w:jc w:val="left"/>
              <w:rPr>
                <w:sz w:val="21"/>
                <w:szCs w:val="21"/>
              </w:rPr>
            </w:pPr>
            <w:r>
              <w:rPr>
                <w:rFonts w:hint="eastAsia"/>
                <w:sz w:val="21"/>
                <w:szCs w:val="21"/>
              </w:rPr>
              <w:t>应计利息</w:t>
            </w:r>
          </w:p>
        </w:tc>
        <w:tc>
          <w:tcPr>
            <w:tcW w:w="1142" w:type="dxa"/>
            <w:shd w:val="clear" w:color="auto" w:fill="auto"/>
            <w:vAlign w:val="center"/>
          </w:tcPr>
          <w:p w14:paraId="6E8ADE8B" w14:textId="77777777" w:rsidR="00DE1B44" w:rsidRDefault="00D40582">
            <w:pPr>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24,321</w:t>
            </w:r>
          </w:p>
        </w:tc>
        <w:tc>
          <w:tcPr>
            <w:tcW w:w="1143" w:type="dxa"/>
            <w:shd w:val="clear" w:color="auto" w:fill="auto"/>
            <w:vAlign w:val="center"/>
          </w:tcPr>
          <w:p w14:paraId="60886C89" w14:textId="77777777" w:rsidR="00DE1B44" w:rsidRDefault="00D40582">
            <w:pPr>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等线" w:hAnsi="Times New Roman" w:cs="Times New Roman"/>
                <w:color w:val="000000"/>
                <w:sz w:val="21"/>
                <w:szCs w:val="21"/>
              </w:rPr>
              <w:t>1.22%</w:t>
            </w:r>
          </w:p>
        </w:tc>
        <w:tc>
          <w:tcPr>
            <w:tcW w:w="1141" w:type="dxa"/>
            <w:vAlign w:val="center"/>
          </w:tcPr>
          <w:p w14:paraId="6CB8AF4A" w14:textId="77777777" w:rsidR="00DE1B44" w:rsidRDefault="00D40582">
            <w:pPr>
              <w:spacing w:beforeLines="0" w:before="77" w:line="240" w:lineRule="auto"/>
              <w:ind w:right="97"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21,149</w:t>
            </w:r>
          </w:p>
        </w:tc>
        <w:tc>
          <w:tcPr>
            <w:tcW w:w="1141" w:type="dxa"/>
            <w:vAlign w:val="center"/>
          </w:tcPr>
          <w:p w14:paraId="04299CD4" w14:textId="77777777" w:rsidR="00DE1B44" w:rsidRDefault="00D40582">
            <w:pPr>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1.14%</w:t>
            </w:r>
          </w:p>
        </w:tc>
        <w:tc>
          <w:tcPr>
            <w:tcW w:w="1141" w:type="dxa"/>
            <w:vAlign w:val="center"/>
          </w:tcPr>
          <w:p w14:paraId="4B7216B4" w14:textId="77777777" w:rsidR="00DE1B44" w:rsidRDefault="00D40582">
            <w:pPr>
              <w:spacing w:beforeLines="0" w:before="77" w:line="240" w:lineRule="auto"/>
              <w:ind w:right="98" w:firstLineChars="0" w:firstLine="0"/>
              <w:jc w:val="right"/>
              <w:rPr>
                <w:rFonts w:ascii="Times New Roman" w:eastAsia="Times New Roman" w:hAnsi="Times New Roman" w:cs="Times New Roman"/>
                <w:sz w:val="21"/>
                <w:szCs w:val="22"/>
              </w:rPr>
            </w:pPr>
            <w:r>
              <w:rPr>
                <w:rFonts w:ascii="Times New Roman" w:eastAsia="Times New Roman" w:hAnsi="Times New Roman" w:cs="Times New Roman"/>
                <w:sz w:val="21"/>
                <w:szCs w:val="22"/>
              </w:rPr>
              <w:t>17,048</w:t>
            </w:r>
          </w:p>
        </w:tc>
        <w:tc>
          <w:tcPr>
            <w:tcW w:w="1140" w:type="dxa"/>
            <w:vAlign w:val="center"/>
          </w:tcPr>
          <w:p w14:paraId="72DDDF3D" w14:textId="77777777" w:rsidR="00DE1B44" w:rsidRDefault="00D40582">
            <w:pPr>
              <w:spacing w:beforeLines="0" w:before="77" w:line="240" w:lineRule="auto"/>
              <w:ind w:right="98"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1.07%</w:t>
            </w:r>
          </w:p>
        </w:tc>
      </w:tr>
      <w:tr w:rsidR="00DE1B44" w14:paraId="7B4BB73D" w14:textId="77777777">
        <w:trPr>
          <w:trHeight w:val="398"/>
          <w:jc w:val="center"/>
        </w:trPr>
        <w:tc>
          <w:tcPr>
            <w:tcW w:w="2168" w:type="dxa"/>
          </w:tcPr>
          <w:p w14:paraId="18EABCD4" w14:textId="77777777" w:rsidR="00DE1B44" w:rsidRDefault="00D40582">
            <w:pPr>
              <w:autoSpaceDE/>
              <w:autoSpaceDN/>
              <w:spacing w:beforeLines="0" w:before="63" w:line="240" w:lineRule="auto"/>
              <w:ind w:left="108" w:firstLineChars="0" w:firstLine="0"/>
              <w:jc w:val="left"/>
              <w:rPr>
                <w:rFonts w:hAnsi="Times New Roman" w:cs="Times New Roman"/>
                <w:b/>
                <w:bCs/>
                <w:sz w:val="21"/>
                <w:szCs w:val="21"/>
              </w:rPr>
            </w:pPr>
            <w:proofErr w:type="spellStart"/>
            <w:r>
              <w:rPr>
                <w:rFonts w:hint="eastAsia"/>
                <w:b/>
                <w:bCs/>
                <w:sz w:val="21"/>
                <w:szCs w:val="21"/>
              </w:rPr>
              <w:t>合计</w:t>
            </w:r>
            <w:proofErr w:type="spellEnd"/>
          </w:p>
        </w:tc>
        <w:tc>
          <w:tcPr>
            <w:tcW w:w="1142" w:type="dxa"/>
            <w:shd w:val="clear" w:color="auto" w:fill="auto"/>
            <w:vAlign w:val="center"/>
          </w:tcPr>
          <w:p w14:paraId="005ADF8B" w14:textId="77777777" w:rsidR="00DE1B44" w:rsidRDefault="00D40582">
            <w:pPr>
              <w:spacing w:beforeLines="0" w:before="79" w:line="240" w:lineRule="auto"/>
              <w:ind w:right="97" w:firstLineChars="0" w:firstLine="0"/>
              <w:jc w:val="right"/>
              <w:rPr>
                <w:rFonts w:ascii="Times New Roman" w:eastAsia="Times New Roman" w:hAnsi="Times New Roman" w:cs="Times New Roman"/>
                <w:b/>
                <w:bCs/>
                <w:sz w:val="21"/>
                <w:szCs w:val="22"/>
              </w:rPr>
            </w:pPr>
            <w:r>
              <w:rPr>
                <w:rFonts w:ascii="Times New Roman" w:eastAsia="等线" w:hAnsi="Times New Roman" w:cs="Times New Roman"/>
                <w:b/>
                <w:bCs/>
                <w:color w:val="000000"/>
                <w:sz w:val="21"/>
                <w:szCs w:val="21"/>
              </w:rPr>
              <w:t>1,990,199</w:t>
            </w:r>
          </w:p>
        </w:tc>
        <w:tc>
          <w:tcPr>
            <w:tcW w:w="1143" w:type="dxa"/>
            <w:shd w:val="clear" w:color="auto" w:fill="auto"/>
            <w:vAlign w:val="center"/>
          </w:tcPr>
          <w:p w14:paraId="393E98C2" w14:textId="77777777" w:rsidR="00DE1B44" w:rsidRDefault="00D40582">
            <w:pPr>
              <w:spacing w:beforeLines="0" w:before="79" w:line="240" w:lineRule="auto"/>
              <w:ind w:right="97" w:firstLineChars="0" w:firstLine="0"/>
              <w:jc w:val="right"/>
              <w:rPr>
                <w:rFonts w:ascii="Times New Roman" w:eastAsia="Times New Roman" w:hAnsi="Times New Roman" w:cs="Times New Roman"/>
                <w:b/>
                <w:bCs/>
                <w:sz w:val="21"/>
                <w:szCs w:val="22"/>
              </w:rPr>
            </w:pPr>
            <w:r>
              <w:rPr>
                <w:rFonts w:ascii="Times New Roman" w:eastAsia="等线" w:hAnsi="Times New Roman" w:cs="Times New Roman"/>
                <w:b/>
                <w:bCs/>
                <w:color w:val="000000"/>
                <w:sz w:val="21"/>
                <w:szCs w:val="21"/>
              </w:rPr>
              <w:t>100.00%</w:t>
            </w:r>
          </w:p>
        </w:tc>
        <w:tc>
          <w:tcPr>
            <w:tcW w:w="1141" w:type="dxa"/>
            <w:vAlign w:val="center"/>
          </w:tcPr>
          <w:p w14:paraId="31772C56" w14:textId="77777777" w:rsidR="00DE1B44" w:rsidRDefault="00D40582">
            <w:pPr>
              <w:autoSpaceDE/>
              <w:autoSpaceDN/>
              <w:spacing w:beforeLines="0" w:before="79" w:line="240" w:lineRule="auto"/>
              <w:ind w:right="97" w:firstLineChars="0" w:firstLine="0"/>
              <w:jc w:val="right"/>
              <w:rPr>
                <w:rFonts w:ascii="Times New Roman" w:eastAsia="Times New Roman" w:hAnsi="Times New Roman" w:cs="Times New Roman"/>
                <w:b/>
                <w:bCs/>
                <w:sz w:val="21"/>
                <w:szCs w:val="22"/>
              </w:rPr>
            </w:pPr>
            <w:r>
              <w:rPr>
                <w:rFonts w:ascii="Times New Roman" w:eastAsia="Times New Roman" w:hAnsi="Times New Roman" w:cs="Times New Roman"/>
                <w:b/>
                <w:bCs/>
                <w:sz w:val="21"/>
                <w:szCs w:val="22"/>
              </w:rPr>
              <w:t>1,852,555</w:t>
            </w:r>
          </w:p>
        </w:tc>
        <w:tc>
          <w:tcPr>
            <w:tcW w:w="1141" w:type="dxa"/>
            <w:vAlign w:val="center"/>
          </w:tcPr>
          <w:p w14:paraId="43ECA9A5" w14:textId="77777777" w:rsidR="00DE1B44" w:rsidRDefault="00D40582">
            <w:pPr>
              <w:autoSpaceDE/>
              <w:autoSpaceDN/>
              <w:spacing w:beforeLines="0" w:before="79" w:line="240" w:lineRule="auto"/>
              <w:ind w:right="95" w:firstLineChars="0" w:firstLine="0"/>
              <w:jc w:val="right"/>
              <w:rPr>
                <w:rFonts w:ascii="Times New Roman" w:eastAsia="Times New Roman" w:hAnsi="Times New Roman" w:cs="Times New Roman"/>
                <w:b/>
                <w:bCs/>
                <w:sz w:val="21"/>
                <w:szCs w:val="22"/>
              </w:rPr>
            </w:pPr>
            <w:r>
              <w:rPr>
                <w:rFonts w:ascii="Times New Roman" w:eastAsia="Times New Roman" w:hAnsi="Times New Roman" w:cs="Times New Roman"/>
                <w:b/>
                <w:bCs/>
                <w:sz w:val="21"/>
                <w:szCs w:val="22"/>
              </w:rPr>
              <w:t>100.00%</w:t>
            </w:r>
          </w:p>
        </w:tc>
        <w:tc>
          <w:tcPr>
            <w:tcW w:w="1141" w:type="dxa"/>
            <w:vAlign w:val="center"/>
          </w:tcPr>
          <w:p w14:paraId="693506F1" w14:textId="77777777" w:rsidR="00DE1B44" w:rsidRDefault="00D40582">
            <w:pPr>
              <w:autoSpaceDE/>
              <w:autoSpaceDN/>
              <w:spacing w:beforeLines="0" w:before="79" w:line="240" w:lineRule="auto"/>
              <w:ind w:right="98" w:firstLineChars="0" w:firstLine="0"/>
              <w:jc w:val="right"/>
              <w:rPr>
                <w:rFonts w:ascii="Times New Roman" w:eastAsia="Times New Roman" w:hAnsi="Times New Roman" w:cs="Times New Roman"/>
                <w:b/>
                <w:bCs/>
                <w:sz w:val="21"/>
                <w:szCs w:val="22"/>
              </w:rPr>
            </w:pPr>
            <w:r>
              <w:rPr>
                <w:rFonts w:ascii="Times New Roman" w:eastAsia="Times New Roman" w:hAnsi="Times New Roman" w:cs="Times New Roman"/>
                <w:b/>
                <w:bCs/>
                <w:sz w:val="21"/>
                <w:szCs w:val="22"/>
              </w:rPr>
              <w:t>1,600,170</w:t>
            </w:r>
          </w:p>
        </w:tc>
        <w:tc>
          <w:tcPr>
            <w:tcW w:w="1140" w:type="dxa"/>
            <w:vAlign w:val="center"/>
          </w:tcPr>
          <w:p w14:paraId="325829E3" w14:textId="77777777" w:rsidR="00DE1B44" w:rsidRDefault="00D40582">
            <w:pPr>
              <w:autoSpaceDE/>
              <w:autoSpaceDN/>
              <w:spacing w:beforeLines="0" w:before="79" w:line="240" w:lineRule="auto"/>
              <w:ind w:right="97" w:firstLineChars="0" w:firstLine="0"/>
              <w:jc w:val="right"/>
              <w:rPr>
                <w:rFonts w:ascii="Times New Roman" w:eastAsia="Times New Roman" w:hAnsi="Times New Roman" w:cs="Times New Roman"/>
                <w:b/>
                <w:bCs/>
                <w:sz w:val="21"/>
                <w:szCs w:val="22"/>
              </w:rPr>
            </w:pPr>
            <w:r>
              <w:rPr>
                <w:rFonts w:ascii="Times New Roman" w:eastAsia="Times New Roman" w:hAnsi="Times New Roman" w:cs="Times New Roman"/>
                <w:b/>
                <w:bCs/>
                <w:sz w:val="21"/>
                <w:szCs w:val="22"/>
              </w:rPr>
              <w:t>100.00%</w:t>
            </w:r>
          </w:p>
        </w:tc>
      </w:tr>
    </w:tbl>
    <w:p w14:paraId="22C18DD5" w14:textId="77777777" w:rsidR="00DE1B44" w:rsidRDefault="00D40582">
      <w:pPr>
        <w:spacing w:before="120"/>
        <w:ind w:firstLine="480"/>
        <w:rPr>
          <w:rFonts w:ascii="Times New Roman" w:hAnsi="Times New Roman" w:cs="Times New Roman"/>
        </w:rPr>
      </w:pPr>
      <w:r>
        <w:rPr>
          <w:rFonts w:ascii="Times New Roman" w:hAnsi="Times New Roman" w:cs="Times New Roman"/>
        </w:rPr>
        <w:t>本行吸收存款以</w:t>
      </w:r>
      <w:r>
        <w:rPr>
          <w:rFonts w:ascii="Times New Roman" w:hAnsi="Times New Roman" w:cs="Times New Roman" w:hint="eastAsia"/>
        </w:rPr>
        <w:t>公司</w:t>
      </w:r>
      <w:r>
        <w:rPr>
          <w:rFonts w:ascii="Times New Roman" w:hAnsi="Times New Roman" w:cs="Times New Roman"/>
        </w:rPr>
        <w:t>存款（包括活期</w:t>
      </w:r>
      <w:r>
        <w:rPr>
          <w:rFonts w:ascii="Times New Roman" w:hAnsi="Times New Roman" w:cs="Times New Roman" w:hint="eastAsia"/>
        </w:rPr>
        <w:t>公司</w:t>
      </w:r>
      <w:r>
        <w:rPr>
          <w:rFonts w:ascii="Times New Roman" w:hAnsi="Times New Roman" w:cs="Times New Roman"/>
        </w:rPr>
        <w:t>存款、定期</w:t>
      </w:r>
      <w:r>
        <w:rPr>
          <w:rFonts w:ascii="Times New Roman" w:hAnsi="Times New Roman" w:cs="Times New Roman" w:hint="eastAsia"/>
        </w:rPr>
        <w:t>公司</w:t>
      </w:r>
      <w:r>
        <w:rPr>
          <w:rFonts w:ascii="Times New Roman" w:hAnsi="Times New Roman" w:cs="Times New Roman"/>
        </w:rPr>
        <w:t>存款）为主。截至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，本行</w:t>
      </w:r>
      <w:r>
        <w:rPr>
          <w:rFonts w:ascii="Times New Roman" w:hAnsi="Times New Roman" w:cs="Times New Roman" w:hint="eastAsia"/>
        </w:rPr>
        <w:t>公司</w:t>
      </w:r>
      <w:r>
        <w:rPr>
          <w:rFonts w:ascii="Times New Roman" w:hAnsi="Times New Roman" w:cs="Times New Roman"/>
        </w:rPr>
        <w:t>存款占吸收存款余额的比例分别为</w:t>
      </w:r>
      <w:r>
        <w:rPr>
          <w:rFonts w:ascii="Times New Roman" w:hAnsi="Times New Roman" w:cs="Times New Roman"/>
        </w:rPr>
        <w:t>79.64%</w:t>
      </w:r>
      <w:r>
        <w:rPr>
          <w:rFonts w:ascii="Times New Roman" w:hAnsi="Times New Roman" w:cs="Times New Roman" w:hint="eastAsia"/>
        </w:rPr>
        <w:t>、</w:t>
      </w:r>
      <w:r>
        <w:rPr>
          <w:rFonts w:ascii="Times New Roman" w:hAnsi="Times New Roman" w:cs="Times New Roman"/>
        </w:rPr>
        <w:t>78.64%</w:t>
      </w:r>
      <w:r>
        <w:rPr>
          <w:rFonts w:ascii="Times New Roman" w:hAnsi="Times New Roman" w:cs="Times New Roman" w:hint="eastAsia"/>
        </w:rPr>
        <w:t>和</w:t>
      </w:r>
      <w:r>
        <w:rPr>
          <w:rFonts w:ascii="Times New Roman" w:hAnsi="Times New Roman" w:cs="Times New Roman" w:hint="eastAsia"/>
        </w:rPr>
        <w:t>7</w:t>
      </w:r>
      <w:r>
        <w:rPr>
          <w:rFonts w:ascii="Times New Roman" w:hAnsi="Times New Roman" w:cs="Times New Roman"/>
        </w:rPr>
        <w:t>8.18%</w:t>
      </w:r>
      <w:r>
        <w:rPr>
          <w:rFonts w:ascii="Times New Roman" w:hAnsi="Times New Roman" w:cs="Times New Roman"/>
        </w:rPr>
        <w:t>。</w:t>
      </w:r>
    </w:p>
    <w:p w14:paraId="766AE2CB" w14:textId="77777777" w:rsidR="00DE1B44" w:rsidRDefault="00D40582">
      <w:pPr>
        <w:pStyle w:val="58"/>
        <w:spacing w:before="120"/>
        <w:ind w:firstLine="482"/>
        <w:rPr>
          <w:rFonts w:ascii="Times New Roman" w:hAnsi="Times New Roman"/>
        </w:rPr>
      </w:pPr>
      <w:r>
        <w:rPr>
          <w:rFonts w:ascii="Times New Roman" w:hAnsi="Times New Roman" w:hint="eastAsia"/>
        </w:rPr>
        <w:lastRenderedPageBreak/>
        <w:t>（</w:t>
      </w:r>
      <w:r>
        <w:rPr>
          <w:rFonts w:ascii="Times New Roman" w:hAnsi="Times New Roman" w:hint="eastAsia"/>
        </w:rPr>
        <w:t>2</w:t>
      </w:r>
      <w:r>
        <w:rPr>
          <w:rFonts w:ascii="Times New Roman" w:hAnsi="Times New Roman" w:hint="eastAsia"/>
        </w:rPr>
        <w:t>）同业及其他金融机构存放款项</w:t>
      </w:r>
    </w:p>
    <w:p w14:paraId="7D8B6B58"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本行同业及其他金融存放款项主要由银行和境内其他金融机构构成。截至</w:t>
      </w:r>
      <w:r>
        <w:rPr>
          <w:rFonts w:ascii="Times New Roman" w:hAnsi="Times New Roman" w:cs="Times New Roman"/>
        </w:rPr>
        <w:t>2019</w:t>
      </w:r>
      <w:r>
        <w:rPr>
          <w:rFonts w:ascii="Times New Roman" w:hAnsi="Times New Roman" w:cs="Times New Roman"/>
        </w:rPr>
        <w:t>年末</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年末</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月末</w:t>
      </w:r>
      <w:r>
        <w:rPr>
          <w:rFonts w:ascii="Times New Roman" w:hAnsi="Times New Roman" w:cs="Times New Roman"/>
        </w:rPr>
        <w:t>，</w:t>
      </w:r>
      <w:r>
        <w:rPr>
          <w:rFonts w:ascii="Times New Roman" w:hAnsi="Times New Roman" w:cs="Times New Roman" w:hint="eastAsia"/>
        </w:rPr>
        <w:t>本行</w:t>
      </w:r>
      <w:r>
        <w:rPr>
          <w:rFonts w:ascii="Times New Roman" w:hAnsi="Times New Roman" w:cs="Times New Roman"/>
        </w:rPr>
        <w:t>同业及其他金融机构存放款项余额分别为</w:t>
      </w:r>
      <w:r>
        <w:rPr>
          <w:rFonts w:ascii="Times New Roman" w:hAnsi="Times New Roman" w:cs="Times New Roman"/>
        </w:rPr>
        <w:t>4,167.16</w:t>
      </w:r>
      <w:r>
        <w:rPr>
          <w:rFonts w:ascii="Times New Roman" w:hAnsi="Times New Roman" w:cs="Times New Roman"/>
        </w:rPr>
        <w:t>亿元</w:t>
      </w:r>
      <w:r>
        <w:rPr>
          <w:rFonts w:ascii="Times New Roman" w:hAnsi="Times New Roman" w:cs="Times New Roman" w:hint="eastAsia"/>
        </w:rPr>
        <w:t>、</w:t>
      </w:r>
      <w:r>
        <w:rPr>
          <w:rFonts w:ascii="Times New Roman" w:hAnsi="Times New Roman" w:cs="Times New Roman"/>
        </w:rPr>
        <w:t>4,649.19</w:t>
      </w:r>
      <w:r>
        <w:rPr>
          <w:rFonts w:ascii="Times New Roman" w:hAnsi="Times New Roman" w:cs="Times New Roman"/>
        </w:rPr>
        <w:t>亿元</w:t>
      </w:r>
      <w:r>
        <w:rPr>
          <w:rFonts w:ascii="Times New Roman" w:hAnsi="Times New Roman" w:cs="Times New Roman" w:hint="eastAsia"/>
        </w:rPr>
        <w:t>和</w:t>
      </w:r>
      <w:r>
        <w:rPr>
          <w:rFonts w:ascii="Times New Roman" w:hAnsi="Times New Roman" w:cs="Times New Roman" w:hint="eastAsia"/>
        </w:rPr>
        <w:t>5</w:t>
      </w:r>
      <w:r>
        <w:rPr>
          <w:rFonts w:ascii="Times New Roman" w:hAnsi="Times New Roman" w:cs="Times New Roman"/>
        </w:rPr>
        <w:t>,048.88</w:t>
      </w:r>
      <w:r>
        <w:rPr>
          <w:rFonts w:ascii="Times New Roman" w:hAnsi="Times New Roman" w:cs="Times New Roman" w:hint="eastAsia"/>
        </w:rPr>
        <w:t>亿元</w:t>
      </w:r>
      <w:r>
        <w:rPr>
          <w:rFonts w:ascii="Times New Roman" w:hAnsi="Times New Roman" w:cs="Times New Roman"/>
        </w:rPr>
        <w:t>，占负债总额的比例分别为</w:t>
      </w:r>
      <w:r>
        <w:rPr>
          <w:rFonts w:ascii="Times New Roman" w:hAnsi="Times New Roman" w:cs="Times New Roman"/>
        </w:rPr>
        <w:t>17.20%</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rPr>
        <w:t>6.55%</w:t>
      </w:r>
      <w:r>
        <w:rPr>
          <w:rFonts w:ascii="Times New Roman" w:hAnsi="Times New Roman" w:cs="Times New Roman" w:hint="eastAsia"/>
        </w:rPr>
        <w:t>和</w:t>
      </w:r>
      <w:r>
        <w:rPr>
          <w:rFonts w:ascii="Times New Roman" w:hAnsi="Times New Roman" w:cs="Times New Roman" w:hint="eastAsia"/>
        </w:rPr>
        <w:t>1</w:t>
      </w:r>
      <w:r>
        <w:rPr>
          <w:rFonts w:ascii="Times New Roman" w:hAnsi="Times New Roman" w:cs="Times New Roman"/>
        </w:rPr>
        <w:t>7.08%</w:t>
      </w:r>
      <w:r>
        <w:rPr>
          <w:rFonts w:ascii="Times New Roman" w:hAnsi="Times New Roman" w:cs="Times New Roman" w:hint="eastAsia"/>
        </w:rPr>
        <w:t>，</w:t>
      </w:r>
      <w:proofErr w:type="gramStart"/>
      <w:r>
        <w:rPr>
          <w:rFonts w:ascii="Times New Roman" w:hAnsi="Times New Roman" w:cs="Times New Roman" w:hint="eastAsia"/>
        </w:rPr>
        <w:t>占比较</w:t>
      </w:r>
      <w:proofErr w:type="gramEnd"/>
      <w:r>
        <w:rPr>
          <w:rFonts w:ascii="Times New Roman" w:hAnsi="Times New Roman" w:cs="Times New Roman" w:hint="eastAsia"/>
        </w:rPr>
        <w:t>为稳定</w:t>
      </w:r>
      <w:r>
        <w:rPr>
          <w:rFonts w:ascii="Times New Roman" w:hAnsi="Times New Roman" w:cs="Times New Roman"/>
        </w:rPr>
        <w:t>。</w:t>
      </w:r>
    </w:p>
    <w:p w14:paraId="68A21ADC" w14:textId="77777777" w:rsidR="00DE1B44" w:rsidRDefault="00D40582">
      <w:pPr>
        <w:spacing w:before="120"/>
        <w:ind w:firstLine="480"/>
        <w:rPr>
          <w:rFonts w:ascii="Times New Roman" w:hAnsi="Times New Roman" w:cs="Times New Roman"/>
        </w:rPr>
      </w:pPr>
      <w:r>
        <w:rPr>
          <w:rFonts w:ascii="Times New Roman" w:hAnsi="Times New Roman" w:cs="Times New Roman"/>
        </w:rPr>
        <w:t>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w:t>
      </w:r>
      <w:r>
        <w:rPr>
          <w:rFonts w:ascii="Times New Roman" w:hAnsi="Times New Roman" w:cs="Times New Roman"/>
        </w:rPr>
        <w:t>，</w:t>
      </w:r>
      <w:r>
        <w:rPr>
          <w:rFonts w:ascii="Times New Roman" w:hAnsi="Times New Roman" w:cs="Times New Roman" w:hint="eastAsia"/>
        </w:rPr>
        <w:t>本行</w:t>
      </w:r>
      <w:r>
        <w:rPr>
          <w:rFonts w:ascii="Times New Roman" w:hAnsi="Times New Roman" w:cs="Times New Roman"/>
        </w:rPr>
        <w:t>同业及其他金融机构存放款项具体构成情况如下：</w:t>
      </w:r>
    </w:p>
    <w:p w14:paraId="2DED488F"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2020"/>
        <w:gridCol w:w="1167"/>
        <w:gridCol w:w="1167"/>
        <w:gridCol w:w="1165"/>
        <w:gridCol w:w="1167"/>
        <w:gridCol w:w="1165"/>
        <w:gridCol w:w="1165"/>
      </w:tblGrid>
      <w:tr w:rsidR="00DE1B44" w14:paraId="4E56F6B6" w14:textId="77777777">
        <w:trPr>
          <w:trHeight w:val="340"/>
          <w:tblHeader/>
          <w:jc w:val="center"/>
        </w:trPr>
        <w:tc>
          <w:tcPr>
            <w:tcW w:w="2020" w:type="dxa"/>
            <w:vMerge w:val="restart"/>
            <w:vAlign w:val="center"/>
          </w:tcPr>
          <w:p w14:paraId="0305593D" w14:textId="77777777" w:rsidR="00DE1B44" w:rsidRDefault="00D40582">
            <w:pPr>
              <w:suppressAutoHyphens/>
              <w:spacing w:beforeLines="0" w:before="0" w:line="240" w:lineRule="auto"/>
              <w:ind w:firstLineChars="0" w:firstLine="0"/>
              <w:jc w:val="center"/>
              <w:rPr>
                <w:b/>
                <w:sz w:val="21"/>
                <w:szCs w:val="21"/>
              </w:rPr>
            </w:pPr>
            <w:r>
              <w:rPr>
                <w:b/>
                <w:sz w:val="21"/>
                <w:szCs w:val="21"/>
              </w:rPr>
              <w:t>项目</w:t>
            </w:r>
          </w:p>
        </w:tc>
        <w:tc>
          <w:tcPr>
            <w:tcW w:w="2334" w:type="dxa"/>
            <w:gridSpan w:val="2"/>
            <w:vAlign w:val="center"/>
          </w:tcPr>
          <w:p w14:paraId="7F3D30FA"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hint="eastAsia"/>
                <w:b/>
                <w:sz w:val="21"/>
                <w:szCs w:val="21"/>
              </w:rPr>
              <w:t>2</w:t>
            </w:r>
            <w:r>
              <w:rPr>
                <w:rFonts w:ascii="Times New Roman" w:hAnsi="Times New Roman" w:cs="Times New Roman"/>
                <w:b/>
                <w:sz w:val="21"/>
                <w:szCs w:val="21"/>
              </w:rPr>
              <w:t>021</w:t>
            </w:r>
            <w:r>
              <w:rPr>
                <w:rFonts w:ascii="Times New Roman" w:hAnsi="Times New Roman" w:cs="Times New Roman" w:hint="eastAsia"/>
                <w:b/>
                <w:sz w:val="21"/>
                <w:szCs w:val="21"/>
              </w:rPr>
              <w:t>年</w:t>
            </w:r>
            <w:r>
              <w:rPr>
                <w:rFonts w:ascii="Times New Roman" w:hAnsi="Times New Roman" w:cs="Times New Roman" w:hint="eastAsia"/>
                <w:b/>
                <w:sz w:val="21"/>
                <w:szCs w:val="21"/>
              </w:rPr>
              <w:t>6</w:t>
            </w:r>
            <w:r>
              <w:rPr>
                <w:rFonts w:ascii="Times New Roman" w:hAnsi="Times New Roman" w:cs="Times New Roman" w:hint="eastAsia"/>
                <w:b/>
                <w:sz w:val="21"/>
                <w:szCs w:val="21"/>
              </w:rPr>
              <w:t>月</w:t>
            </w:r>
            <w:r>
              <w:rPr>
                <w:rFonts w:ascii="Times New Roman" w:hAnsi="Times New Roman" w:cs="Times New Roman" w:hint="eastAsia"/>
                <w:b/>
                <w:sz w:val="21"/>
                <w:szCs w:val="21"/>
              </w:rPr>
              <w:t>3</w:t>
            </w:r>
            <w:r>
              <w:rPr>
                <w:rFonts w:ascii="Times New Roman" w:hAnsi="Times New Roman" w:cs="Times New Roman"/>
                <w:b/>
                <w:sz w:val="21"/>
                <w:szCs w:val="21"/>
              </w:rPr>
              <w:t>0</w:t>
            </w:r>
            <w:r>
              <w:rPr>
                <w:rFonts w:ascii="Times New Roman" w:hAnsi="Times New Roman" w:cs="Times New Roman" w:hint="eastAsia"/>
                <w:b/>
                <w:sz w:val="21"/>
                <w:szCs w:val="21"/>
              </w:rPr>
              <w:t>日</w:t>
            </w:r>
          </w:p>
        </w:tc>
        <w:tc>
          <w:tcPr>
            <w:tcW w:w="2332" w:type="dxa"/>
            <w:gridSpan w:val="2"/>
            <w:vAlign w:val="center"/>
          </w:tcPr>
          <w:p w14:paraId="698CF363"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2020</w:t>
            </w:r>
            <w:r>
              <w:rPr>
                <w:rFonts w:ascii="Times New Roman" w:hAnsi="Times New Roman" w:cs="Times New Roman"/>
                <w:b/>
                <w:sz w:val="21"/>
                <w:szCs w:val="21"/>
              </w:rPr>
              <w:t>年</w:t>
            </w:r>
            <w:r>
              <w:rPr>
                <w:rFonts w:ascii="Times New Roman" w:hAnsi="Times New Roman" w:cs="Times New Roman"/>
                <w:b/>
                <w:sz w:val="21"/>
                <w:szCs w:val="21"/>
              </w:rPr>
              <w:t>12</w:t>
            </w:r>
            <w:r>
              <w:rPr>
                <w:rFonts w:ascii="Times New Roman" w:hAnsi="Times New Roman" w:cs="Times New Roman"/>
                <w:b/>
                <w:sz w:val="21"/>
                <w:szCs w:val="21"/>
              </w:rPr>
              <w:t>月</w:t>
            </w:r>
            <w:r>
              <w:rPr>
                <w:rFonts w:ascii="Times New Roman" w:hAnsi="Times New Roman" w:cs="Times New Roman"/>
                <w:b/>
                <w:sz w:val="21"/>
                <w:szCs w:val="21"/>
              </w:rPr>
              <w:t>31</w:t>
            </w:r>
            <w:r>
              <w:rPr>
                <w:rFonts w:ascii="Times New Roman" w:hAnsi="Times New Roman" w:cs="Times New Roman"/>
                <w:b/>
                <w:sz w:val="21"/>
                <w:szCs w:val="21"/>
              </w:rPr>
              <w:t>日</w:t>
            </w:r>
          </w:p>
        </w:tc>
        <w:tc>
          <w:tcPr>
            <w:tcW w:w="2330" w:type="dxa"/>
            <w:gridSpan w:val="2"/>
            <w:vAlign w:val="center"/>
          </w:tcPr>
          <w:p w14:paraId="5F620497" w14:textId="77777777" w:rsidR="00DE1B44" w:rsidRDefault="00D40582">
            <w:pPr>
              <w:suppressAutoHyphens/>
              <w:spacing w:beforeLines="0" w:before="0" w:line="240" w:lineRule="auto"/>
              <w:ind w:firstLineChars="0" w:firstLine="0"/>
              <w:jc w:val="center"/>
              <w:rPr>
                <w:rFonts w:ascii="Times New Roman" w:hAnsi="Times New Roman" w:cs="Times New Roman"/>
                <w:b/>
                <w:sz w:val="21"/>
                <w:szCs w:val="21"/>
              </w:rPr>
            </w:pPr>
            <w:r>
              <w:rPr>
                <w:rFonts w:ascii="Times New Roman" w:hAnsi="Times New Roman" w:cs="Times New Roman"/>
                <w:b/>
                <w:sz w:val="21"/>
                <w:szCs w:val="21"/>
              </w:rPr>
              <w:t>2019</w:t>
            </w:r>
            <w:r>
              <w:rPr>
                <w:rFonts w:ascii="Times New Roman" w:hAnsi="Times New Roman" w:cs="Times New Roman"/>
                <w:b/>
                <w:sz w:val="21"/>
                <w:szCs w:val="21"/>
              </w:rPr>
              <w:t>年</w:t>
            </w:r>
            <w:r>
              <w:rPr>
                <w:rFonts w:ascii="Times New Roman" w:hAnsi="Times New Roman" w:cs="Times New Roman"/>
                <w:b/>
                <w:sz w:val="21"/>
                <w:szCs w:val="21"/>
              </w:rPr>
              <w:t>12</w:t>
            </w:r>
            <w:r>
              <w:rPr>
                <w:rFonts w:ascii="Times New Roman" w:hAnsi="Times New Roman" w:cs="Times New Roman"/>
                <w:b/>
                <w:sz w:val="21"/>
                <w:szCs w:val="21"/>
              </w:rPr>
              <w:t>月</w:t>
            </w:r>
            <w:r>
              <w:rPr>
                <w:rFonts w:ascii="Times New Roman" w:hAnsi="Times New Roman" w:cs="Times New Roman"/>
                <w:b/>
                <w:sz w:val="21"/>
                <w:szCs w:val="21"/>
              </w:rPr>
              <w:t>31</w:t>
            </w:r>
            <w:r>
              <w:rPr>
                <w:rFonts w:ascii="Times New Roman" w:hAnsi="Times New Roman" w:cs="Times New Roman"/>
                <w:b/>
                <w:sz w:val="21"/>
                <w:szCs w:val="21"/>
              </w:rPr>
              <w:t>日</w:t>
            </w:r>
          </w:p>
        </w:tc>
      </w:tr>
      <w:tr w:rsidR="00DE1B44" w14:paraId="44D31EBD" w14:textId="77777777">
        <w:trPr>
          <w:trHeight w:val="340"/>
          <w:tblHeader/>
          <w:jc w:val="center"/>
        </w:trPr>
        <w:tc>
          <w:tcPr>
            <w:tcW w:w="2020" w:type="dxa"/>
            <w:vMerge/>
            <w:vAlign w:val="center"/>
          </w:tcPr>
          <w:p w14:paraId="7943867F" w14:textId="77777777" w:rsidR="00DE1B44" w:rsidRDefault="00DE1B44">
            <w:pPr>
              <w:suppressAutoHyphens/>
              <w:spacing w:beforeLines="0" w:before="0" w:line="240" w:lineRule="auto"/>
              <w:ind w:firstLineChars="0" w:firstLine="0"/>
              <w:rPr>
                <w:sz w:val="21"/>
                <w:szCs w:val="21"/>
              </w:rPr>
            </w:pPr>
          </w:p>
        </w:tc>
        <w:tc>
          <w:tcPr>
            <w:tcW w:w="1167" w:type="dxa"/>
            <w:vAlign w:val="center"/>
          </w:tcPr>
          <w:p w14:paraId="2E8BA2EF" w14:textId="77777777" w:rsidR="00DE1B44" w:rsidRDefault="00D40582">
            <w:pPr>
              <w:suppressAutoHyphens/>
              <w:spacing w:beforeLines="0" w:before="0" w:line="240" w:lineRule="auto"/>
              <w:ind w:firstLineChars="0" w:firstLine="0"/>
              <w:jc w:val="center"/>
              <w:rPr>
                <w:b/>
                <w:sz w:val="21"/>
                <w:szCs w:val="21"/>
              </w:rPr>
            </w:pPr>
            <w:r>
              <w:rPr>
                <w:b/>
                <w:sz w:val="21"/>
                <w:szCs w:val="21"/>
              </w:rPr>
              <w:t>金额</w:t>
            </w:r>
          </w:p>
        </w:tc>
        <w:tc>
          <w:tcPr>
            <w:tcW w:w="1167" w:type="dxa"/>
            <w:vAlign w:val="center"/>
          </w:tcPr>
          <w:p w14:paraId="3DF67AC6" w14:textId="77777777" w:rsidR="00DE1B44" w:rsidRDefault="00D40582">
            <w:pPr>
              <w:suppressAutoHyphens/>
              <w:spacing w:beforeLines="0" w:before="0" w:line="240" w:lineRule="auto"/>
              <w:ind w:firstLineChars="0" w:firstLine="0"/>
              <w:jc w:val="center"/>
              <w:rPr>
                <w:b/>
                <w:sz w:val="21"/>
                <w:szCs w:val="21"/>
              </w:rPr>
            </w:pPr>
            <w:r>
              <w:rPr>
                <w:b/>
                <w:sz w:val="21"/>
                <w:szCs w:val="21"/>
              </w:rPr>
              <w:t>占比</w:t>
            </w:r>
          </w:p>
        </w:tc>
        <w:tc>
          <w:tcPr>
            <w:tcW w:w="1165" w:type="dxa"/>
            <w:vAlign w:val="center"/>
          </w:tcPr>
          <w:p w14:paraId="33D0D080" w14:textId="77777777" w:rsidR="00DE1B44" w:rsidRDefault="00D40582">
            <w:pPr>
              <w:suppressAutoHyphens/>
              <w:spacing w:beforeLines="0" w:before="0" w:line="240" w:lineRule="auto"/>
              <w:ind w:firstLineChars="0" w:firstLine="0"/>
              <w:jc w:val="center"/>
              <w:rPr>
                <w:sz w:val="21"/>
                <w:szCs w:val="21"/>
              </w:rPr>
            </w:pPr>
            <w:r>
              <w:rPr>
                <w:b/>
                <w:sz w:val="21"/>
                <w:szCs w:val="21"/>
              </w:rPr>
              <w:t>金额</w:t>
            </w:r>
          </w:p>
        </w:tc>
        <w:tc>
          <w:tcPr>
            <w:tcW w:w="1167" w:type="dxa"/>
            <w:vAlign w:val="center"/>
          </w:tcPr>
          <w:p w14:paraId="6CDB9EC8" w14:textId="77777777" w:rsidR="00DE1B44" w:rsidRDefault="00D40582">
            <w:pPr>
              <w:suppressAutoHyphens/>
              <w:spacing w:beforeLines="0" w:before="0" w:line="240" w:lineRule="auto"/>
              <w:ind w:firstLineChars="0" w:firstLine="0"/>
              <w:jc w:val="center"/>
              <w:rPr>
                <w:sz w:val="21"/>
                <w:szCs w:val="21"/>
              </w:rPr>
            </w:pPr>
            <w:r>
              <w:rPr>
                <w:b/>
                <w:sz w:val="21"/>
                <w:szCs w:val="21"/>
              </w:rPr>
              <w:t>占比</w:t>
            </w:r>
          </w:p>
        </w:tc>
        <w:tc>
          <w:tcPr>
            <w:tcW w:w="1165" w:type="dxa"/>
            <w:vAlign w:val="center"/>
          </w:tcPr>
          <w:p w14:paraId="40674828" w14:textId="77777777" w:rsidR="00DE1B44" w:rsidRDefault="00D40582">
            <w:pPr>
              <w:suppressAutoHyphens/>
              <w:spacing w:beforeLines="0" w:before="0" w:line="240" w:lineRule="auto"/>
              <w:ind w:firstLineChars="0" w:firstLine="0"/>
              <w:jc w:val="center"/>
              <w:rPr>
                <w:sz w:val="21"/>
                <w:szCs w:val="21"/>
              </w:rPr>
            </w:pPr>
            <w:r>
              <w:rPr>
                <w:b/>
                <w:sz w:val="21"/>
                <w:szCs w:val="21"/>
              </w:rPr>
              <w:t>金额</w:t>
            </w:r>
          </w:p>
        </w:tc>
        <w:tc>
          <w:tcPr>
            <w:tcW w:w="1165" w:type="dxa"/>
            <w:vAlign w:val="center"/>
          </w:tcPr>
          <w:p w14:paraId="5547F6C7" w14:textId="77777777" w:rsidR="00DE1B44" w:rsidRDefault="00D40582">
            <w:pPr>
              <w:suppressAutoHyphens/>
              <w:spacing w:beforeLines="0" w:before="0" w:line="240" w:lineRule="auto"/>
              <w:ind w:firstLineChars="0" w:firstLine="0"/>
              <w:jc w:val="center"/>
              <w:rPr>
                <w:sz w:val="21"/>
                <w:szCs w:val="21"/>
              </w:rPr>
            </w:pPr>
            <w:r>
              <w:rPr>
                <w:b/>
                <w:sz w:val="21"/>
                <w:szCs w:val="21"/>
              </w:rPr>
              <w:t>占比</w:t>
            </w:r>
          </w:p>
        </w:tc>
      </w:tr>
      <w:tr w:rsidR="00DE1B44" w14:paraId="16EDAE4A" w14:textId="77777777">
        <w:trPr>
          <w:trHeight w:val="340"/>
          <w:jc w:val="center"/>
        </w:trPr>
        <w:tc>
          <w:tcPr>
            <w:tcW w:w="2020" w:type="dxa"/>
            <w:vAlign w:val="center"/>
          </w:tcPr>
          <w:p w14:paraId="724F0875" w14:textId="77777777" w:rsidR="00DE1B44" w:rsidRDefault="00D40582">
            <w:pPr>
              <w:suppressAutoHyphens/>
              <w:spacing w:beforeLines="0" w:before="0" w:line="240" w:lineRule="auto"/>
              <w:ind w:firstLineChars="0" w:firstLine="0"/>
              <w:rPr>
                <w:sz w:val="21"/>
                <w:szCs w:val="21"/>
              </w:rPr>
            </w:pPr>
            <w:r>
              <w:rPr>
                <w:sz w:val="21"/>
                <w:szCs w:val="21"/>
              </w:rPr>
              <w:t>境内银行</w:t>
            </w:r>
            <w:r>
              <w:rPr>
                <w:rFonts w:hint="eastAsia"/>
                <w:sz w:val="21"/>
                <w:szCs w:val="21"/>
              </w:rPr>
              <w:t>同业</w:t>
            </w:r>
          </w:p>
        </w:tc>
        <w:tc>
          <w:tcPr>
            <w:tcW w:w="1167" w:type="dxa"/>
            <w:shd w:val="clear" w:color="auto" w:fill="auto"/>
            <w:vAlign w:val="center"/>
          </w:tcPr>
          <w:p w14:paraId="5D045B80"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98,649</w:t>
            </w:r>
          </w:p>
        </w:tc>
        <w:tc>
          <w:tcPr>
            <w:tcW w:w="1167" w:type="dxa"/>
            <w:shd w:val="clear" w:color="auto" w:fill="auto"/>
            <w:vAlign w:val="center"/>
          </w:tcPr>
          <w:p w14:paraId="0B372607"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19.54%</w:t>
            </w:r>
          </w:p>
        </w:tc>
        <w:tc>
          <w:tcPr>
            <w:tcW w:w="1165" w:type="dxa"/>
            <w:vAlign w:val="center"/>
          </w:tcPr>
          <w:p w14:paraId="5DBA9CEE"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136,177</w:t>
            </w:r>
          </w:p>
        </w:tc>
        <w:tc>
          <w:tcPr>
            <w:tcW w:w="1167" w:type="dxa"/>
            <w:vAlign w:val="center"/>
          </w:tcPr>
          <w:p w14:paraId="5B232DC0"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sz w:val="21"/>
                <w:szCs w:val="21"/>
              </w:rPr>
              <w:t>29.29%</w:t>
            </w:r>
          </w:p>
        </w:tc>
        <w:tc>
          <w:tcPr>
            <w:tcW w:w="1165" w:type="dxa"/>
            <w:vAlign w:val="center"/>
          </w:tcPr>
          <w:p w14:paraId="6F9F100A"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135,212</w:t>
            </w:r>
          </w:p>
        </w:tc>
        <w:tc>
          <w:tcPr>
            <w:tcW w:w="1165" w:type="dxa"/>
            <w:vAlign w:val="center"/>
          </w:tcPr>
          <w:p w14:paraId="4437420C"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32.45%</w:t>
            </w:r>
          </w:p>
        </w:tc>
      </w:tr>
      <w:tr w:rsidR="00DE1B44" w14:paraId="1B9B4E7E" w14:textId="77777777">
        <w:trPr>
          <w:trHeight w:val="340"/>
          <w:jc w:val="center"/>
        </w:trPr>
        <w:tc>
          <w:tcPr>
            <w:tcW w:w="2020" w:type="dxa"/>
            <w:vAlign w:val="center"/>
          </w:tcPr>
          <w:p w14:paraId="3743FDE3" w14:textId="77777777" w:rsidR="00DE1B44" w:rsidRDefault="00D40582">
            <w:pPr>
              <w:suppressAutoHyphens/>
              <w:spacing w:beforeLines="0" w:before="0" w:line="240" w:lineRule="auto"/>
              <w:ind w:firstLineChars="0" w:firstLine="0"/>
              <w:rPr>
                <w:sz w:val="21"/>
                <w:szCs w:val="21"/>
              </w:rPr>
            </w:pPr>
            <w:r>
              <w:rPr>
                <w:rFonts w:hint="eastAsia"/>
                <w:sz w:val="21"/>
                <w:szCs w:val="21"/>
              </w:rPr>
              <w:t>境内其他金融机构</w:t>
            </w:r>
          </w:p>
        </w:tc>
        <w:tc>
          <w:tcPr>
            <w:tcW w:w="1167" w:type="dxa"/>
            <w:shd w:val="clear" w:color="auto" w:fill="auto"/>
            <w:vAlign w:val="center"/>
          </w:tcPr>
          <w:p w14:paraId="466FBF5D"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402,351</w:t>
            </w:r>
          </w:p>
        </w:tc>
        <w:tc>
          <w:tcPr>
            <w:tcW w:w="1167" w:type="dxa"/>
            <w:shd w:val="clear" w:color="auto" w:fill="auto"/>
            <w:vAlign w:val="center"/>
          </w:tcPr>
          <w:p w14:paraId="480D1AB7"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79.69%</w:t>
            </w:r>
          </w:p>
        </w:tc>
        <w:tc>
          <w:tcPr>
            <w:tcW w:w="1165" w:type="dxa"/>
            <w:vAlign w:val="center"/>
          </w:tcPr>
          <w:p w14:paraId="39C6C6B5"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321,690</w:t>
            </w:r>
          </w:p>
        </w:tc>
        <w:tc>
          <w:tcPr>
            <w:tcW w:w="1167" w:type="dxa"/>
            <w:vAlign w:val="center"/>
          </w:tcPr>
          <w:p w14:paraId="19C1DAA2"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69.19%</w:t>
            </w:r>
          </w:p>
        </w:tc>
        <w:tc>
          <w:tcPr>
            <w:tcW w:w="1165" w:type="dxa"/>
            <w:vAlign w:val="center"/>
          </w:tcPr>
          <w:p w14:paraId="3CED3A4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275,942</w:t>
            </w:r>
          </w:p>
        </w:tc>
        <w:tc>
          <w:tcPr>
            <w:tcW w:w="1165" w:type="dxa"/>
            <w:vAlign w:val="center"/>
          </w:tcPr>
          <w:p w14:paraId="73E10C21"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66.22%</w:t>
            </w:r>
          </w:p>
        </w:tc>
      </w:tr>
      <w:tr w:rsidR="00DE1B44" w14:paraId="1F3C8D6F" w14:textId="77777777">
        <w:trPr>
          <w:trHeight w:val="340"/>
          <w:jc w:val="center"/>
        </w:trPr>
        <w:tc>
          <w:tcPr>
            <w:tcW w:w="2020" w:type="dxa"/>
            <w:vAlign w:val="center"/>
          </w:tcPr>
          <w:p w14:paraId="301EFF08" w14:textId="77777777" w:rsidR="00DE1B44" w:rsidRDefault="00D40582">
            <w:pPr>
              <w:suppressAutoHyphens/>
              <w:spacing w:beforeLines="0" w:before="0" w:line="240" w:lineRule="auto"/>
              <w:ind w:firstLineChars="0" w:firstLine="0"/>
              <w:rPr>
                <w:sz w:val="21"/>
                <w:szCs w:val="21"/>
              </w:rPr>
            </w:pPr>
            <w:r>
              <w:rPr>
                <w:rFonts w:hint="eastAsia"/>
                <w:sz w:val="21"/>
                <w:szCs w:val="21"/>
              </w:rPr>
              <w:t>小计</w:t>
            </w:r>
          </w:p>
        </w:tc>
        <w:tc>
          <w:tcPr>
            <w:tcW w:w="1167" w:type="dxa"/>
            <w:shd w:val="clear" w:color="auto" w:fill="auto"/>
            <w:vAlign w:val="center"/>
          </w:tcPr>
          <w:p w14:paraId="302AA5C8"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501,000</w:t>
            </w:r>
          </w:p>
        </w:tc>
        <w:tc>
          <w:tcPr>
            <w:tcW w:w="1167" w:type="dxa"/>
            <w:shd w:val="clear" w:color="auto" w:fill="auto"/>
            <w:vAlign w:val="center"/>
          </w:tcPr>
          <w:p w14:paraId="6F26B54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99.23%</w:t>
            </w:r>
          </w:p>
        </w:tc>
        <w:tc>
          <w:tcPr>
            <w:tcW w:w="1165" w:type="dxa"/>
            <w:vAlign w:val="center"/>
          </w:tcPr>
          <w:p w14:paraId="3B048962"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457,866</w:t>
            </w:r>
          </w:p>
        </w:tc>
        <w:tc>
          <w:tcPr>
            <w:tcW w:w="1167" w:type="dxa"/>
            <w:vAlign w:val="center"/>
          </w:tcPr>
          <w:p w14:paraId="3817375D" w14:textId="77777777" w:rsidR="00DE1B44" w:rsidRDefault="00D40582">
            <w:pPr>
              <w:suppressAutoHyphens/>
              <w:spacing w:beforeLines="0" w:before="0" w:line="240" w:lineRule="auto"/>
              <w:ind w:firstLineChars="0" w:firstLine="0"/>
              <w:jc w:val="right"/>
              <w:rPr>
                <w:rFonts w:ascii="Times New Roman" w:eastAsia="等线" w:hAnsi="Times New Roman" w:cs="Times New Roman"/>
                <w:color w:val="000000"/>
                <w:sz w:val="21"/>
                <w:szCs w:val="21"/>
              </w:rPr>
            </w:pPr>
            <w:r>
              <w:rPr>
                <w:rFonts w:ascii="Times New Roman" w:hAnsi="Times New Roman" w:cs="Times New Roman"/>
                <w:sz w:val="21"/>
                <w:szCs w:val="21"/>
              </w:rPr>
              <w:t>98.48%</w:t>
            </w:r>
          </w:p>
        </w:tc>
        <w:tc>
          <w:tcPr>
            <w:tcW w:w="1165" w:type="dxa"/>
            <w:vAlign w:val="center"/>
          </w:tcPr>
          <w:p w14:paraId="6DB3BE8D"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411,154</w:t>
            </w:r>
          </w:p>
        </w:tc>
        <w:tc>
          <w:tcPr>
            <w:tcW w:w="1165" w:type="dxa"/>
            <w:vAlign w:val="center"/>
          </w:tcPr>
          <w:p w14:paraId="23A22A46"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98.67%</w:t>
            </w:r>
          </w:p>
        </w:tc>
      </w:tr>
      <w:tr w:rsidR="00DE1B44" w14:paraId="1786CFAC" w14:textId="77777777">
        <w:trPr>
          <w:trHeight w:val="340"/>
          <w:jc w:val="center"/>
        </w:trPr>
        <w:tc>
          <w:tcPr>
            <w:tcW w:w="2020" w:type="dxa"/>
            <w:vAlign w:val="center"/>
          </w:tcPr>
          <w:p w14:paraId="710A922B" w14:textId="77777777" w:rsidR="00DE1B44" w:rsidRDefault="00D40582">
            <w:pPr>
              <w:suppressAutoHyphens/>
              <w:spacing w:beforeLines="0" w:before="0" w:line="240" w:lineRule="auto"/>
              <w:ind w:firstLineChars="0" w:firstLine="0"/>
              <w:rPr>
                <w:sz w:val="21"/>
                <w:szCs w:val="21"/>
              </w:rPr>
            </w:pPr>
            <w:r>
              <w:rPr>
                <w:sz w:val="21"/>
                <w:szCs w:val="21"/>
              </w:rPr>
              <w:t>境外银行</w:t>
            </w:r>
            <w:r>
              <w:rPr>
                <w:rFonts w:hint="eastAsia"/>
                <w:sz w:val="21"/>
                <w:szCs w:val="21"/>
              </w:rPr>
              <w:t>同业</w:t>
            </w:r>
          </w:p>
        </w:tc>
        <w:tc>
          <w:tcPr>
            <w:tcW w:w="1167" w:type="dxa"/>
            <w:shd w:val="clear" w:color="auto" w:fill="auto"/>
            <w:vAlign w:val="center"/>
          </w:tcPr>
          <w:p w14:paraId="3D967A53"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1,535</w:t>
            </w:r>
          </w:p>
        </w:tc>
        <w:tc>
          <w:tcPr>
            <w:tcW w:w="1167" w:type="dxa"/>
            <w:shd w:val="clear" w:color="auto" w:fill="auto"/>
            <w:vAlign w:val="center"/>
          </w:tcPr>
          <w:p w14:paraId="50DFA1FC"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0.30%</w:t>
            </w:r>
          </w:p>
        </w:tc>
        <w:tc>
          <w:tcPr>
            <w:tcW w:w="1165" w:type="dxa"/>
            <w:vAlign w:val="center"/>
          </w:tcPr>
          <w:p w14:paraId="2E56269A"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4,922</w:t>
            </w:r>
          </w:p>
        </w:tc>
        <w:tc>
          <w:tcPr>
            <w:tcW w:w="1167" w:type="dxa"/>
            <w:vAlign w:val="center"/>
          </w:tcPr>
          <w:p w14:paraId="3A13A48F"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sz w:val="21"/>
                <w:szCs w:val="21"/>
              </w:rPr>
              <w:t>1.06%</w:t>
            </w:r>
          </w:p>
        </w:tc>
        <w:tc>
          <w:tcPr>
            <w:tcW w:w="1165" w:type="dxa"/>
            <w:vAlign w:val="center"/>
          </w:tcPr>
          <w:p w14:paraId="1E9CC7C9"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4,271</w:t>
            </w:r>
          </w:p>
        </w:tc>
        <w:tc>
          <w:tcPr>
            <w:tcW w:w="1165" w:type="dxa"/>
            <w:vAlign w:val="center"/>
          </w:tcPr>
          <w:p w14:paraId="7FA92895"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1.02%</w:t>
            </w:r>
          </w:p>
        </w:tc>
      </w:tr>
      <w:tr w:rsidR="00DE1B44" w14:paraId="57621DC9" w14:textId="77777777">
        <w:trPr>
          <w:trHeight w:val="340"/>
          <w:jc w:val="center"/>
        </w:trPr>
        <w:tc>
          <w:tcPr>
            <w:tcW w:w="2020" w:type="dxa"/>
            <w:vAlign w:val="center"/>
          </w:tcPr>
          <w:p w14:paraId="29D9B08F" w14:textId="77777777" w:rsidR="00DE1B44" w:rsidRDefault="00D40582">
            <w:pPr>
              <w:suppressAutoHyphens/>
              <w:spacing w:beforeLines="0" w:before="0" w:line="240" w:lineRule="auto"/>
              <w:ind w:firstLineChars="0" w:firstLine="0"/>
              <w:rPr>
                <w:sz w:val="21"/>
                <w:szCs w:val="21"/>
              </w:rPr>
            </w:pPr>
            <w:r>
              <w:rPr>
                <w:rFonts w:hint="eastAsia"/>
                <w:sz w:val="21"/>
                <w:szCs w:val="21"/>
              </w:rPr>
              <w:t>境外</w:t>
            </w:r>
            <w:r>
              <w:rPr>
                <w:sz w:val="21"/>
                <w:szCs w:val="21"/>
              </w:rPr>
              <w:t>其他金融机构</w:t>
            </w:r>
          </w:p>
        </w:tc>
        <w:tc>
          <w:tcPr>
            <w:tcW w:w="1167" w:type="dxa"/>
            <w:shd w:val="clear" w:color="auto" w:fill="auto"/>
            <w:vAlign w:val="center"/>
          </w:tcPr>
          <w:p w14:paraId="1F5724D5"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w:t>
            </w:r>
          </w:p>
        </w:tc>
        <w:tc>
          <w:tcPr>
            <w:tcW w:w="1167" w:type="dxa"/>
            <w:shd w:val="clear" w:color="auto" w:fill="auto"/>
            <w:vAlign w:val="center"/>
          </w:tcPr>
          <w:p w14:paraId="6D2CD2C6"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w:t>
            </w:r>
          </w:p>
        </w:tc>
        <w:tc>
          <w:tcPr>
            <w:tcW w:w="1165" w:type="dxa"/>
            <w:vAlign w:val="center"/>
          </w:tcPr>
          <w:p w14:paraId="6B9ED623"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w:t>
            </w:r>
          </w:p>
        </w:tc>
        <w:tc>
          <w:tcPr>
            <w:tcW w:w="1167" w:type="dxa"/>
            <w:vAlign w:val="center"/>
          </w:tcPr>
          <w:p w14:paraId="4789DF3F"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sz w:val="21"/>
                <w:szCs w:val="21"/>
              </w:rPr>
              <w:t>-</w:t>
            </w:r>
          </w:p>
        </w:tc>
        <w:tc>
          <w:tcPr>
            <w:tcW w:w="1165" w:type="dxa"/>
            <w:vAlign w:val="center"/>
          </w:tcPr>
          <w:p w14:paraId="0F464856"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0</w:t>
            </w:r>
          </w:p>
        </w:tc>
        <w:tc>
          <w:tcPr>
            <w:tcW w:w="1165" w:type="dxa"/>
            <w:vAlign w:val="center"/>
          </w:tcPr>
          <w:p w14:paraId="1651B38E"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0.00%</w:t>
            </w:r>
          </w:p>
        </w:tc>
      </w:tr>
      <w:tr w:rsidR="00DE1B44" w14:paraId="723FB1AE" w14:textId="77777777">
        <w:trPr>
          <w:trHeight w:val="340"/>
          <w:jc w:val="center"/>
        </w:trPr>
        <w:tc>
          <w:tcPr>
            <w:tcW w:w="2020" w:type="dxa"/>
            <w:vAlign w:val="center"/>
          </w:tcPr>
          <w:p w14:paraId="6A1D81A2" w14:textId="77777777" w:rsidR="00DE1B44" w:rsidRDefault="00D40582">
            <w:pPr>
              <w:suppressAutoHyphens/>
              <w:spacing w:beforeLines="0" w:before="0" w:line="240" w:lineRule="auto"/>
              <w:ind w:firstLineChars="0" w:firstLine="0"/>
              <w:rPr>
                <w:sz w:val="21"/>
                <w:szCs w:val="21"/>
              </w:rPr>
            </w:pPr>
            <w:r>
              <w:rPr>
                <w:sz w:val="21"/>
                <w:szCs w:val="21"/>
              </w:rPr>
              <w:t>小计</w:t>
            </w:r>
          </w:p>
        </w:tc>
        <w:tc>
          <w:tcPr>
            <w:tcW w:w="1167" w:type="dxa"/>
            <w:shd w:val="clear" w:color="auto" w:fill="auto"/>
            <w:vAlign w:val="center"/>
          </w:tcPr>
          <w:p w14:paraId="090306FC"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1,535</w:t>
            </w:r>
          </w:p>
        </w:tc>
        <w:tc>
          <w:tcPr>
            <w:tcW w:w="1167" w:type="dxa"/>
            <w:shd w:val="clear" w:color="auto" w:fill="auto"/>
            <w:vAlign w:val="center"/>
          </w:tcPr>
          <w:p w14:paraId="542FB0EF"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0.30%</w:t>
            </w:r>
          </w:p>
        </w:tc>
        <w:tc>
          <w:tcPr>
            <w:tcW w:w="1165" w:type="dxa"/>
            <w:vAlign w:val="center"/>
          </w:tcPr>
          <w:p w14:paraId="44A3B44A"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4,922</w:t>
            </w:r>
          </w:p>
        </w:tc>
        <w:tc>
          <w:tcPr>
            <w:tcW w:w="1167" w:type="dxa"/>
            <w:vAlign w:val="center"/>
          </w:tcPr>
          <w:p w14:paraId="57485133"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1.06%</w:t>
            </w:r>
          </w:p>
        </w:tc>
        <w:tc>
          <w:tcPr>
            <w:tcW w:w="1165" w:type="dxa"/>
            <w:vAlign w:val="center"/>
          </w:tcPr>
          <w:p w14:paraId="0C5FF4F6"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4,271</w:t>
            </w:r>
          </w:p>
        </w:tc>
        <w:tc>
          <w:tcPr>
            <w:tcW w:w="1165" w:type="dxa"/>
            <w:vAlign w:val="center"/>
          </w:tcPr>
          <w:p w14:paraId="58453644"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1.02%</w:t>
            </w:r>
          </w:p>
        </w:tc>
      </w:tr>
      <w:tr w:rsidR="00DE1B44" w14:paraId="07E18F2E" w14:textId="77777777">
        <w:trPr>
          <w:trHeight w:val="340"/>
          <w:jc w:val="center"/>
        </w:trPr>
        <w:tc>
          <w:tcPr>
            <w:tcW w:w="2020" w:type="dxa"/>
            <w:vAlign w:val="center"/>
          </w:tcPr>
          <w:p w14:paraId="10905E65" w14:textId="77777777" w:rsidR="00DE1B44" w:rsidRDefault="00D40582">
            <w:pPr>
              <w:suppressAutoHyphens/>
              <w:spacing w:beforeLines="0" w:before="0" w:line="240" w:lineRule="auto"/>
              <w:ind w:firstLineChars="0" w:firstLine="0"/>
              <w:rPr>
                <w:sz w:val="21"/>
                <w:szCs w:val="21"/>
              </w:rPr>
            </w:pPr>
            <w:r>
              <w:rPr>
                <w:sz w:val="21"/>
                <w:szCs w:val="21"/>
              </w:rPr>
              <w:t>加：应计利息</w:t>
            </w:r>
          </w:p>
        </w:tc>
        <w:tc>
          <w:tcPr>
            <w:tcW w:w="1167" w:type="dxa"/>
            <w:shd w:val="clear" w:color="auto" w:fill="auto"/>
            <w:vAlign w:val="center"/>
          </w:tcPr>
          <w:p w14:paraId="0D81F7AD"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2,353</w:t>
            </w:r>
          </w:p>
        </w:tc>
        <w:tc>
          <w:tcPr>
            <w:tcW w:w="1167" w:type="dxa"/>
            <w:shd w:val="clear" w:color="auto" w:fill="auto"/>
            <w:vAlign w:val="center"/>
          </w:tcPr>
          <w:p w14:paraId="4E07570D"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0.47%</w:t>
            </w:r>
          </w:p>
        </w:tc>
        <w:tc>
          <w:tcPr>
            <w:tcW w:w="1165" w:type="dxa"/>
            <w:vAlign w:val="center"/>
          </w:tcPr>
          <w:p w14:paraId="0AA37833"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2,130</w:t>
            </w:r>
          </w:p>
        </w:tc>
        <w:tc>
          <w:tcPr>
            <w:tcW w:w="1167" w:type="dxa"/>
            <w:vAlign w:val="center"/>
          </w:tcPr>
          <w:p w14:paraId="3C46F446"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sz w:val="21"/>
                <w:szCs w:val="21"/>
              </w:rPr>
              <w:t>0.46%</w:t>
            </w:r>
          </w:p>
        </w:tc>
        <w:tc>
          <w:tcPr>
            <w:tcW w:w="1165" w:type="dxa"/>
            <w:vAlign w:val="center"/>
          </w:tcPr>
          <w:p w14:paraId="091600AB"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1,291</w:t>
            </w:r>
          </w:p>
        </w:tc>
        <w:tc>
          <w:tcPr>
            <w:tcW w:w="1165" w:type="dxa"/>
            <w:vAlign w:val="center"/>
          </w:tcPr>
          <w:p w14:paraId="2C244E6E" w14:textId="77777777" w:rsidR="00DE1B44" w:rsidRDefault="00D40582">
            <w:pPr>
              <w:suppressAutoHyphens/>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0.31%</w:t>
            </w:r>
          </w:p>
        </w:tc>
      </w:tr>
      <w:tr w:rsidR="00DE1B44" w14:paraId="46F9247C" w14:textId="77777777">
        <w:trPr>
          <w:trHeight w:val="340"/>
          <w:jc w:val="center"/>
        </w:trPr>
        <w:tc>
          <w:tcPr>
            <w:tcW w:w="2020" w:type="dxa"/>
            <w:vAlign w:val="center"/>
          </w:tcPr>
          <w:p w14:paraId="733E9A8B" w14:textId="77777777" w:rsidR="00DE1B44" w:rsidRDefault="00D40582">
            <w:pPr>
              <w:suppressAutoHyphens/>
              <w:spacing w:beforeLines="0" w:before="0" w:line="240" w:lineRule="auto"/>
              <w:ind w:firstLineChars="0" w:firstLine="0"/>
              <w:rPr>
                <w:b/>
                <w:sz w:val="21"/>
                <w:szCs w:val="21"/>
              </w:rPr>
            </w:pPr>
            <w:r>
              <w:rPr>
                <w:b/>
                <w:sz w:val="21"/>
                <w:szCs w:val="21"/>
              </w:rPr>
              <w:t>合计</w:t>
            </w:r>
          </w:p>
        </w:tc>
        <w:tc>
          <w:tcPr>
            <w:tcW w:w="1167" w:type="dxa"/>
            <w:shd w:val="clear" w:color="auto" w:fill="auto"/>
            <w:vAlign w:val="center"/>
          </w:tcPr>
          <w:p w14:paraId="43BBC799" w14:textId="77777777" w:rsidR="00DE1B44" w:rsidRDefault="00D40582">
            <w:pPr>
              <w:suppressAutoHyphens/>
              <w:spacing w:beforeLines="0" w:before="0" w:line="240" w:lineRule="auto"/>
              <w:ind w:firstLineChars="0" w:firstLine="0"/>
              <w:jc w:val="right"/>
              <w:rPr>
                <w:rFonts w:ascii="Times New Roman" w:hAnsi="Times New Roman" w:cs="Times New Roman"/>
                <w:b/>
                <w:sz w:val="21"/>
                <w:szCs w:val="21"/>
              </w:rPr>
            </w:pPr>
            <w:r>
              <w:rPr>
                <w:rFonts w:ascii="Times New Roman" w:eastAsia="等线" w:hAnsi="Times New Roman" w:cs="Times New Roman"/>
                <w:b/>
                <w:bCs/>
                <w:color w:val="000000"/>
                <w:sz w:val="21"/>
                <w:szCs w:val="21"/>
              </w:rPr>
              <w:t>504,888</w:t>
            </w:r>
          </w:p>
        </w:tc>
        <w:tc>
          <w:tcPr>
            <w:tcW w:w="1167" w:type="dxa"/>
            <w:shd w:val="clear" w:color="auto" w:fill="auto"/>
            <w:vAlign w:val="center"/>
          </w:tcPr>
          <w:p w14:paraId="15E5113A" w14:textId="77777777" w:rsidR="00DE1B44" w:rsidRDefault="00D40582">
            <w:pPr>
              <w:suppressAutoHyphens/>
              <w:spacing w:beforeLines="0" w:before="0" w:line="240" w:lineRule="auto"/>
              <w:ind w:firstLineChars="0" w:firstLine="0"/>
              <w:jc w:val="right"/>
              <w:rPr>
                <w:rFonts w:ascii="Times New Roman" w:hAnsi="Times New Roman" w:cs="Times New Roman"/>
                <w:b/>
                <w:sz w:val="21"/>
                <w:szCs w:val="21"/>
              </w:rPr>
            </w:pPr>
            <w:r>
              <w:rPr>
                <w:rFonts w:ascii="Times New Roman" w:eastAsia="等线" w:hAnsi="Times New Roman" w:cs="Times New Roman"/>
                <w:b/>
                <w:bCs/>
                <w:color w:val="000000"/>
                <w:sz w:val="21"/>
                <w:szCs w:val="21"/>
              </w:rPr>
              <w:t>100.00%</w:t>
            </w:r>
          </w:p>
        </w:tc>
        <w:tc>
          <w:tcPr>
            <w:tcW w:w="1165" w:type="dxa"/>
            <w:vAlign w:val="center"/>
          </w:tcPr>
          <w:p w14:paraId="0FD28CFB" w14:textId="77777777" w:rsidR="00DE1B44" w:rsidRDefault="00D40582">
            <w:pPr>
              <w:suppressAutoHyphens/>
              <w:spacing w:beforeLines="0" w:before="0" w:line="240" w:lineRule="auto"/>
              <w:ind w:firstLineChars="0" w:firstLine="0"/>
              <w:jc w:val="right"/>
              <w:rPr>
                <w:rFonts w:ascii="Times New Roman" w:hAnsi="Times New Roman" w:cs="Times New Roman"/>
                <w:b/>
                <w:sz w:val="21"/>
                <w:szCs w:val="21"/>
              </w:rPr>
            </w:pPr>
            <w:r>
              <w:rPr>
                <w:rFonts w:ascii="Times New Roman" w:hAnsi="Times New Roman" w:cs="Times New Roman"/>
                <w:b/>
                <w:sz w:val="21"/>
                <w:szCs w:val="21"/>
              </w:rPr>
              <w:t>464,919</w:t>
            </w:r>
          </w:p>
        </w:tc>
        <w:tc>
          <w:tcPr>
            <w:tcW w:w="1167" w:type="dxa"/>
            <w:vAlign w:val="center"/>
          </w:tcPr>
          <w:p w14:paraId="1B77216C" w14:textId="77777777" w:rsidR="00DE1B44" w:rsidRDefault="00D40582">
            <w:pPr>
              <w:suppressAutoHyphens/>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100.00%</w:t>
            </w:r>
          </w:p>
        </w:tc>
        <w:tc>
          <w:tcPr>
            <w:tcW w:w="1165" w:type="dxa"/>
            <w:vAlign w:val="center"/>
          </w:tcPr>
          <w:p w14:paraId="4449F477" w14:textId="77777777" w:rsidR="00DE1B44" w:rsidRDefault="00D40582">
            <w:pPr>
              <w:suppressAutoHyphens/>
              <w:spacing w:beforeLines="0" w:before="0" w:line="240" w:lineRule="auto"/>
              <w:ind w:firstLineChars="0" w:firstLine="0"/>
              <w:jc w:val="right"/>
              <w:rPr>
                <w:rFonts w:ascii="Times New Roman" w:hAnsi="Times New Roman" w:cs="Times New Roman"/>
                <w:b/>
                <w:sz w:val="21"/>
                <w:szCs w:val="21"/>
              </w:rPr>
            </w:pPr>
            <w:r>
              <w:rPr>
                <w:rFonts w:ascii="Times New Roman" w:hAnsi="Times New Roman" w:cs="Times New Roman"/>
                <w:b/>
                <w:sz w:val="21"/>
                <w:szCs w:val="21"/>
              </w:rPr>
              <w:t>416,716</w:t>
            </w:r>
          </w:p>
        </w:tc>
        <w:tc>
          <w:tcPr>
            <w:tcW w:w="1165" w:type="dxa"/>
            <w:vAlign w:val="center"/>
          </w:tcPr>
          <w:p w14:paraId="643456F7" w14:textId="77777777" w:rsidR="00DE1B44" w:rsidRDefault="00D40582">
            <w:pPr>
              <w:suppressAutoHyphens/>
              <w:spacing w:beforeLines="0" w:before="0" w:line="240" w:lineRule="auto"/>
              <w:ind w:firstLineChars="0" w:firstLine="0"/>
              <w:jc w:val="right"/>
              <w:rPr>
                <w:rFonts w:ascii="Times New Roman" w:hAnsi="Times New Roman" w:cs="Times New Roman"/>
                <w:b/>
                <w:sz w:val="21"/>
                <w:szCs w:val="21"/>
              </w:rPr>
            </w:pPr>
            <w:r>
              <w:rPr>
                <w:rFonts w:ascii="Times New Roman" w:hAnsi="Times New Roman" w:cs="Times New Roman"/>
                <w:b/>
                <w:sz w:val="21"/>
                <w:szCs w:val="21"/>
              </w:rPr>
              <w:t>100.00%</w:t>
            </w:r>
          </w:p>
        </w:tc>
      </w:tr>
    </w:tbl>
    <w:p w14:paraId="5EF99252" w14:textId="77777777" w:rsidR="00DE1B44" w:rsidRDefault="00D40582">
      <w:pPr>
        <w:pStyle w:val="58"/>
        <w:spacing w:before="120"/>
        <w:ind w:firstLine="482"/>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）应付债券</w:t>
      </w:r>
    </w:p>
    <w:p w14:paraId="276F357F" w14:textId="77777777" w:rsidR="00DE1B44" w:rsidRDefault="00D40582">
      <w:pPr>
        <w:spacing w:before="120"/>
        <w:ind w:firstLine="480"/>
        <w:rPr>
          <w:rFonts w:ascii="Times New Roman" w:hAnsi="Times New Roman" w:cs="Times New Roman"/>
        </w:rPr>
      </w:pPr>
      <w:r>
        <w:rPr>
          <w:rFonts w:ascii="Times New Roman" w:hAnsi="Times New Roman" w:cs="Times New Roman"/>
        </w:rPr>
        <w:t>报告期内，本行应付债券明细如下表所示：</w:t>
      </w:r>
    </w:p>
    <w:p w14:paraId="70641D94"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Style w:val="TableNormal"/>
        <w:tblW w:w="901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12"/>
        <w:gridCol w:w="1183"/>
        <w:gridCol w:w="1185"/>
        <w:gridCol w:w="1183"/>
        <w:gridCol w:w="1185"/>
        <w:gridCol w:w="1183"/>
        <w:gridCol w:w="1185"/>
      </w:tblGrid>
      <w:tr w:rsidR="00DE1B44" w14:paraId="5D877D55" w14:textId="77777777">
        <w:trPr>
          <w:trHeight w:val="396"/>
        </w:trPr>
        <w:tc>
          <w:tcPr>
            <w:tcW w:w="1912" w:type="dxa"/>
            <w:vMerge w:val="restart"/>
            <w:vAlign w:val="center"/>
          </w:tcPr>
          <w:p w14:paraId="4BCFABCE" w14:textId="77777777" w:rsidR="00DE1B44" w:rsidRDefault="00D40582">
            <w:pPr>
              <w:spacing w:beforeLines="0" w:before="63" w:line="240" w:lineRule="auto"/>
              <w:ind w:left="108" w:firstLineChars="0" w:firstLine="0"/>
              <w:jc w:val="center"/>
              <w:rPr>
                <w:rFonts w:ascii="Times New Roman" w:hAnsi="Times New Roman" w:cs="Times New Roman"/>
                <w:b/>
                <w:bCs/>
                <w:sz w:val="21"/>
                <w:szCs w:val="22"/>
              </w:rPr>
            </w:pPr>
            <w:r>
              <w:rPr>
                <w:rFonts w:ascii="Times New Roman" w:hAnsi="Times New Roman" w:cs="Times New Roman"/>
                <w:b/>
                <w:bCs/>
                <w:sz w:val="21"/>
                <w:szCs w:val="22"/>
              </w:rPr>
              <w:t>项目</w:t>
            </w:r>
          </w:p>
        </w:tc>
        <w:tc>
          <w:tcPr>
            <w:tcW w:w="2368" w:type="dxa"/>
            <w:gridSpan w:val="2"/>
            <w:vAlign w:val="center"/>
          </w:tcPr>
          <w:p w14:paraId="78FECD2F" w14:textId="77777777" w:rsidR="00DE1B44" w:rsidRDefault="00D40582">
            <w:pPr>
              <w:spacing w:beforeLines="0" w:before="76" w:line="240" w:lineRule="auto"/>
              <w:ind w:firstLineChars="0" w:firstLine="0"/>
              <w:jc w:val="center"/>
              <w:rPr>
                <w:rFonts w:ascii="Times New Roman" w:hAnsi="Times New Roman" w:cs="Times New Roman"/>
                <w:b/>
                <w:bCs/>
                <w:sz w:val="21"/>
                <w:szCs w:val="22"/>
              </w:rPr>
            </w:pPr>
            <w:r>
              <w:rPr>
                <w:rFonts w:ascii="Times New Roman" w:hAnsi="Times New Roman" w:cs="Times New Roman" w:hint="eastAsia"/>
                <w:b/>
                <w:bCs/>
                <w:sz w:val="21"/>
                <w:szCs w:val="22"/>
              </w:rPr>
              <w:t>2</w:t>
            </w:r>
            <w:r>
              <w:rPr>
                <w:rFonts w:ascii="Times New Roman" w:hAnsi="Times New Roman" w:cs="Times New Roman"/>
                <w:b/>
                <w:bCs/>
                <w:sz w:val="21"/>
                <w:szCs w:val="22"/>
              </w:rPr>
              <w:t>021</w:t>
            </w:r>
            <w:r>
              <w:rPr>
                <w:rFonts w:ascii="Times New Roman" w:hAnsi="Times New Roman" w:cs="Times New Roman" w:hint="eastAsia"/>
                <w:b/>
                <w:bCs/>
                <w:sz w:val="21"/>
                <w:szCs w:val="22"/>
              </w:rPr>
              <w:t>年</w:t>
            </w:r>
            <w:r>
              <w:rPr>
                <w:rFonts w:ascii="Times New Roman" w:hAnsi="Times New Roman" w:cs="Times New Roman" w:hint="eastAsia"/>
                <w:b/>
                <w:bCs/>
                <w:sz w:val="21"/>
                <w:szCs w:val="22"/>
              </w:rPr>
              <w:t>6</w:t>
            </w:r>
            <w:r>
              <w:rPr>
                <w:rFonts w:ascii="Times New Roman" w:hAnsi="Times New Roman" w:cs="Times New Roman" w:hint="eastAsia"/>
                <w:b/>
                <w:bCs/>
                <w:sz w:val="21"/>
                <w:szCs w:val="22"/>
              </w:rPr>
              <w:t>月</w:t>
            </w:r>
            <w:r>
              <w:rPr>
                <w:rFonts w:ascii="Times New Roman" w:hAnsi="Times New Roman" w:cs="Times New Roman" w:hint="eastAsia"/>
                <w:b/>
                <w:bCs/>
                <w:sz w:val="21"/>
                <w:szCs w:val="22"/>
              </w:rPr>
              <w:t>3</w:t>
            </w:r>
            <w:r>
              <w:rPr>
                <w:rFonts w:ascii="Times New Roman" w:hAnsi="Times New Roman" w:cs="Times New Roman"/>
                <w:b/>
                <w:bCs/>
                <w:sz w:val="21"/>
                <w:szCs w:val="22"/>
              </w:rPr>
              <w:t>0</w:t>
            </w:r>
            <w:r>
              <w:rPr>
                <w:rFonts w:ascii="Times New Roman" w:hAnsi="Times New Roman" w:cs="Times New Roman" w:hint="eastAsia"/>
                <w:b/>
                <w:bCs/>
                <w:sz w:val="21"/>
                <w:szCs w:val="22"/>
              </w:rPr>
              <w:t>日</w:t>
            </w:r>
          </w:p>
        </w:tc>
        <w:tc>
          <w:tcPr>
            <w:tcW w:w="2368" w:type="dxa"/>
            <w:gridSpan w:val="2"/>
            <w:vAlign w:val="center"/>
          </w:tcPr>
          <w:p w14:paraId="62126BA0" w14:textId="77777777" w:rsidR="00DE1B44" w:rsidRDefault="00D40582">
            <w:pPr>
              <w:spacing w:beforeLines="0" w:before="76" w:line="240" w:lineRule="auto"/>
              <w:ind w:firstLineChars="0" w:firstLine="0"/>
              <w:jc w:val="center"/>
              <w:rPr>
                <w:rFonts w:ascii="Times New Roman" w:hAnsi="Times New Roman" w:cs="Times New Roman"/>
                <w:b/>
                <w:bCs/>
                <w:sz w:val="21"/>
                <w:szCs w:val="22"/>
              </w:rPr>
            </w:pPr>
            <w:r>
              <w:rPr>
                <w:rFonts w:ascii="Times New Roman" w:hAnsi="Times New Roman" w:cs="Times New Roman"/>
                <w:b/>
                <w:bCs/>
                <w:sz w:val="21"/>
                <w:szCs w:val="22"/>
              </w:rPr>
              <w:t>2020</w:t>
            </w:r>
            <w:r>
              <w:rPr>
                <w:rFonts w:ascii="Times New Roman" w:hAnsi="Times New Roman" w:cs="Times New Roman"/>
                <w:b/>
                <w:bCs/>
                <w:sz w:val="21"/>
                <w:szCs w:val="22"/>
              </w:rPr>
              <w:t>年</w:t>
            </w:r>
            <w:r>
              <w:rPr>
                <w:rFonts w:ascii="Times New Roman" w:hAnsi="Times New Roman" w:cs="Times New Roman"/>
                <w:b/>
                <w:bCs/>
                <w:sz w:val="21"/>
                <w:szCs w:val="22"/>
              </w:rPr>
              <w:t>12</w:t>
            </w:r>
            <w:r>
              <w:rPr>
                <w:rFonts w:ascii="Times New Roman" w:hAnsi="Times New Roman" w:cs="Times New Roman"/>
                <w:b/>
                <w:bCs/>
                <w:sz w:val="21"/>
                <w:szCs w:val="22"/>
              </w:rPr>
              <w:t>月</w:t>
            </w:r>
            <w:r>
              <w:rPr>
                <w:rFonts w:ascii="Times New Roman" w:hAnsi="Times New Roman" w:cs="Times New Roman"/>
                <w:b/>
                <w:bCs/>
                <w:sz w:val="21"/>
                <w:szCs w:val="22"/>
              </w:rPr>
              <w:t>31</w:t>
            </w:r>
            <w:r>
              <w:rPr>
                <w:rFonts w:ascii="Times New Roman" w:hAnsi="Times New Roman" w:cs="Times New Roman"/>
                <w:b/>
                <w:bCs/>
                <w:sz w:val="21"/>
                <w:szCs w:val="22"/>
              </w:rPr>
              <w:t>日</w:t>
            </w:r>
          </w:p>
        </w:tc>
        <w:tc>
          <w:tcPr>
            <w:tcW w:w="2368" w:type="dxa"/>
            <w:gridSpan w:val="2"/>
            <w:vAlign w:val="center"/>
          </w:tcPr>
          <w:p w14:paraId="77B7B429" w14:textId="77777777" w:rsidR="00DE1B44" w:rsidRDefault="00D40582">
            <w:pPr>
              <w:spacing w:beforeLines="0" w:before="77" w:line="240" w:lineRule="auto"/>
              <w:ind w:firstLineChars="0" w:firstLine="0"/>
              <w:jc w:val="center"/>
              <w:rPr>
                <w:rFonts w:ascii="Times New Roman" w:hAnsi="Times New Roman" w:cs="Times New Roman"/>
                <w:b/>
                <w:bCs/>
                <w:sz w:val="21"/>
                <w:szCs w:val="22"/>
              </w:rPr>
            </w:pPr>
            <w:r>
              <w:rPr>
                <w:rFonts w:ascii="Times New Roman" w:hAnsi="Times New Roman" w:cs="Times New Roman"/>
                <w:b/>
                <w:bCs/>
                <w:sz w:val="21"/>
                <w:szCs w:val="22"/>
              </w:rPr>
              <w:t>2019</w:t>
            </w:r>
            <w:r>
              <w:rPr>
                <w:rFonts w:ascii="Times New Roman" w:hAnsi="Times New Roman" w:cs="Times New Roman"/>
                <w:b/>
                <w:bCs/>
                <w:sz w:val="21"/>
                <w:szCs w:val="22"/>
              </w:rPr>
              <w:t>年</w:t>
            </w:r>
            <w:r>
              <w:rPr>
                <w:rFonts w:ascii="Times New Roman" w:hAnsi="Times New Roman" w:cs="Times New Roman"/>
                <w:b/>
                <w:bCs/>
                <w:sz w:val="21"/>
                <w:szCs w:val="22"/>
              </w:rPr>
              <w:t>12</w:t>
            </w:r>
            <w:r>
              <w:rPr>
                <w:rFonts w:ascii="Times New Roman" w:hAnsi="Times New Roman" w:cs="Times New Roman"/>
                <w:b/>
                <w:bCs/>
                <w:sz w:val="21"/>
                <w:szCs w:val="22"/>
              </w:rPr>
              <w:t>月</w:t>
            </w:r>
            <w:r>
              <w:rPr>
                <w:rFonts w:ascii="Times New Roman" w:hAnsi="Times New Roman" w:cs="Times New Roman"/>
                <w:b/>
                <w:bCs/>
                <w:sz w:val="21"/>
                <w:szCs w:val="22"/>
              </w:rPr>
              <w:t>31</w:t>
            </w:r>
            <w:r>
              <w:rPr>
                <w:rFonts w:ascii="Times New Roman" w:hAnsi="Times New Roman" w:cs="Times New Roman"/>
                <w:b/>
                <w:bCs/>
                <w:sz w:val="21"/>
                <w:szCs w:val="22"/>
              </w:rPr>
              <w:t>日</w:t>
            </w:r>
          </w:p>
        </w:tc>
      </w:tr>
      <w:tr w:rsidR="00DE1B44" w14:paraId="7BDFD066" w14:textId="77777777">
        <w:trPr>
          <w:trHeight w:val="396"/>
        </w:trPr>
        <w:tc>
          <w:tcPr>
            <w:tcW w:w="1912" w:type="dxa"/>
            <w:vMerge/>
            <w:vAlign w:val="center"/>
          </w:tcPr>
          <w:p w14:paraId="31E00A36" w14:textId="77777777" w:rsidR="00DE1B44" w:rsidRDefault="00DE1B44">
            <w:pPr>
              <w:spacing w:beforeLines="0" w:before="63" w:line="240" w:lineRule="auto"/>
              <w:ind w:left="108" w:firstLineChars="0" w:firstLine="0"/>
              <w:jc w:val="center"/>
              <w:rPr>
                <w:rFonts w:hAnsi="Times New Roman" w:cs="Times New Roman"/>
                <w:b/>
                <w:bCs/>
                <w:sz w:val="21"/>
                <w:szCs w:val="22"/>
              </w:rPr>
            </w:pPr>
          </w:p>
        </w:tc>
        <w:tc>
          <w:tcPr>
            <w:tcW w:w="1183" w:type="dxa"/>
            <w:vAlign w:val="center"/>
          </w:tcPr>
          <w:p w14:paraId="7AF47568" w14:textId="77777777" w:rsidR="00DE1B44" w:rsidRDefault="00D40582">
            <w:pPr>
              <w:spacing w:beforeLines="0" w:before="76" w:line="240" w:lineRule="auto"/>
              <w:ind w:right="95" w:firstLineChars="0" w:firstLine="0"/>
              <w:jc w:val="center"/>
              <w:rPr>
                <w:b/>
                <w:bCs/>
                <w:sz w:val="21"/>
                <w:szCs w:val="22"/>
              </w:rPr>
            </w:pPr>
            <w:r>
              <w:rPr>
                <w:rFonts w:hint="eastAsia"/>
                <w:b/>
                <w:bCs/>
                <w:sz w:val="21"/>
                <w:szCs w:val="22"/>
              </w:rPr>
              <w:t>金额</w:t>
            </w:r>
          </w:p>
        </w:tc>
        <w:tc>
          <w:tcPr>
            <w:tcW w:w="1185" w:type="dxa"/>
            <w:vAlign w:val="center"/>
          </w:tcPr>
          <w:p w14:paraId="0F49150A" w14:textId="77777777" w:rsidR="00DE1B44" w:rsidRDefault="00D40582">
            <w:pPr>
              <w:spacing w:beforeLines="0" w:before="76" w:line="240" w:lineRule="auto"/>
              <w:ind w:right="95" w:firstLineChars="0" w:firstLine="0"/>
              <w:jc w:val="center"/>
              <w:rPr>
                <w:b/>
                <w:bCs/>
                <w:sz w:val="21"/>
                <w:szCs w:val="22"/>
              </w:rPr>
            </w:pPr>
            <w:r>
              <w:rPr>
                <w:rFonts w:hint="eastAsia"/>
                <w:b/>
                <w:bCs/>
                <w:sz w:val="21"/>
                <w:szCs w:val="22"/>
              </w:rPr>
              <w:t>占比</w:t>
            </w:r>
          </w:p>
        </w:tc>
        <w:tc>
          <w:tcPr>
            <w:tcW w:w="1183" w:type="dxa"/>
            <w:vAlign w:val="center"/>
          </w:tcPr>
          <w:p w14:paraId="01B8D6A9" w14:textId="77777777" w:rsidR="00DE1B44" w:rsidRDefault="00D40582">
            <w:pPr>
              <w:spacing w:beforeLines="0" w:before="76" w:line="240" w:lineRule="auto"/>
              <w:ind w:right="95" w:firstLineChars="0" w:firstLine="0"/>
              <w:jc w:val="center"/>
              <w:rPr>
                <w:rFonts w:ascii="Times New Roman" w:eastAsia="Times New Roman" w:hAnsi="Times New Roman" w:cs="Times New Roman"/>
                <w:b/>
                <w:bCs/>
                <w:sz w:val="21"/>
                <w:szCs w:val="22"/>
              </w:rPr>
            </w:pPr>
            <w:r>
              <w:rPr>
                <w:rFonts w:hint="eastAsia"/>
                <w:b/>
                <w:bCs/>
                <w:sz w:val="21"/>
                <w:szCs w:val="22"/>
              </w:rPr>
              <w:t>金额</w:t>
            </w:r>
          </w:p>
        </w:tc>
        <w:tc>
          <w:tcPr>
            <w:tcW w:w="1185" w:type="dxa"/>
            <w:vAlign w:val="center"/>
          </w:tcPr>
          <w:p w14:paraId="2B0FC373" w14:textId="77777777" w:rsidR="00DE1B44" w:rsidRDefault="00D40582">
            <w:pPr>
              <w:spacing w:beforeLines="0" w:before="76" w:line="240" w:lineRule="auto"/>
              <w:ind w:right="94" w:firstLineChars="0" w:firstLine="0"/>
              <w:jc w:val="center"/>
              <w:rPr>
                <w:rFonts w:ascii="Times New Roman" w:eastAsia="Times New Roman" w:hAnsi="Times New Roman" w:cs="Times New Roman"/>
                <w:b/>
                <w:bCs/>
                <w:sz w:val="21"/>
                <w:szCs w:val="22"/>
              </w:rPr>
            </w:pPr>
            <w:r>
              <w:rPr>
                <w:rFonts w:hint="eastAsia"/>
                <w:b/>
                <w:bCs/>
                <w:sz w:val="21"/>
                <w:szCs w:val="22"/>
              </w:rPr>
              <w:t>占比</w:t>
            </w:r>
          </w:p>
        </w:tc>
        <w:tc>
          <w:tcPr>
            <w:tcW w:w="1183" w:type="dxa"/>
            <w:vAlign w:val="center"/>
          </w:tcPr>
          <w:p w14:paraId="16C9D325" w14:textId="77777777" w:rsidR="00DE1B44" w:rsidRDefault="00D40582">
            <w:pPr>
              <w:spacing w:beforeLines="0" w:before="77" w:line="240" w:lineRule="auto"/>
              <w:ind w:right="95" w:firstLineChars="0" w:firstLine="0"/>
              <w:jc w:val="center"/>
              <w:rPr>
                <w:rFonts w:ascii="Times New Roman" w:eastAsia="Times New Roman" w:hAnsi="Times New Roman" w:cs="Times New Roman"/>
                <w:b/>
                <w:bCs/>
                <w:sz w:val="21"/>
                <w:szCs w:val="22"/>
              </w:rPr>
            </w:pPr>
            <w:r>
              <w:rPr>
                <w:rFonts w:hint="eastAsia"/>
                <w:b/>
                <w:bCs/>
                <w:sz w:val="21"/>
                <w:szCs w:val="22"/>
              </w:rPr>
              <w:t>金额</w:t>
            </w:r>
          </w:p>
        </w:tc>
        <w:tc>
          <w:tcPr>
            <w:tcW w:w="1185" w:type="dxa"/>
            <w:vAlign w:val="center"/>
          </w:tcPr>
          <w:p w14:paraId="57B5FE0B" w14:textId="77777777" w:rsidR="00DE1B44" w:rsidRDefault="00D40582">
            <w:pPr>
              <w:spacing w:beforeLines="0" w:before="77" w:line="240" w:lineRule="auto"/>
              <w:ind w:right="94" w:firstLineChars="0" w:firstLine="0"/>
              <w:jc w:val="center"/>
              <w:rPr>
                <w:rFonts w:ascii="Times New Roman" w:eastAsia="Times New Roman" w:hAnsi="Times New Roman" w:cs="Times New Roman"/>
                <w:b/>
                <w:bCs/>
                <w:sz w:val="21"/>
                <w:szCs w:val="22"/>
              </w:rPr>
            </w:pPr>
            <w:r>
              <w:rPr>
                <w:rFonts w:hint="eastAsia"/>
                <w:b/>
                <w:bCs/>
                <w:sz w:val="21"/>
                <w:szCs w:val="22"/>
              </w:rPr>
              <w:t>占比</w:t>
            </w:r>
          </w:p>
        </w:tc>
      </w:tr>
      <w:tr w:rsidR="00DE1B44" w14:paraId="3FA461DD" w14:textId="77777777">
        <w:trPr>
          <w:trHeight w:val="396"/>
        </w:trPr>
        <w:tc>
          <w:tcPr>
            <w:tcW w:w="1912" w:type="dxa"/>
          </w:tcPr>
          <w:p w14:paraId="544AC22E" w14:textId="77777777" w:rsidR="00DE1B44" w:rsidRDefault="00D40582">
            <w:pPr>
              <w:autoSpaceDE/>
              <w:autoSpaceDN/>
              <w:spacing w:beforeLines="0" w:before="63" w:line="240" w:lineRule="auto"/>
              <w:ind w:firstLineChars="0" w:firstLine="0"/>
              <w:jc w:val="left"/>
              <w:rPr>
                <w:rFonts w:hAnsi="Times New Roman" w:cs="Times New Roman"/>
                <w:sz w:val="21"/>
                <w:szCs w:val="22"/>
              </w:rPr>
            </w:pPr>
            <w:r>
              <w:rPr>
                <w:rFonts w:hAnsi="Times New Roman" w:cs="Times New Roman" w:hint="eastAsia"/>
                <w:sz w:val="21"/>
                <w:szCs w:val="22"/>
              </w:rPr>
              <w:t>应付次级债</w:t>
            </w:r>
          </w:p>
        </w:tc>
        <w:tc>
          <w:tcPr>
            <w:tcW w:w="1183" w:type="dxa"/>
            <w:shd w:val="clear" w:color="auto" w:fill="auto"/>
            <w:vAlign w:val="center"/>
          </w:tcPr>
          <w:p w14:paraId="5308328E" w14:textId="77777777" w:rsidR="00DE1B44" w:rsidRDefault="00D40582">
            <w:pPr>
              <w:spacing w:beforeLines="0" w:before="76" w:line="240" w:lineRule="auto"/>
              <w:ind w:right="95" w:firstLineChars="0" w:firstLine="0"/>
              <w:jc w:val="right"/>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4,491</w:t>
            </w:r>
          </w:p>
        </w:tc>
        <w:tc>
          <w:tcPr>
            <w:tcW w:w="1185" w:type="dxa"/>
            <w:shd w:val="clear" w:color="auto" w:fill="auto"/>
            <w:vAlign w:val="center"/>
          </w:tcPr>
          <w:p w14:paraId="7C88553D" w14:textId="77777777" w:rsidR="00DE1B44" w:rsidRDefault="00D40582">
            <w:pPr>
              <w:spacing w:beforeLines="0" w:before="76" w:line="240" w:lineRule="auto"/>
              <w:ind w:right="95" w:firstLineChars="0" w:firstLine="0"/>
              <w:jc w:val="right"/>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1.95%</w:t>
            </w:r>
          </w:p>
        </w:tc>
        <w:tc>
          <w:tcPr>
            <w:tcW w:w="1183" w:type="dxa"/>
            <w:vAlign w:val="center"/>
          </w:tcPr>
          <w:p w14:paraId="153AF555" w14:textId="77777777" w:rsidR="00DE1B44" w:rsidRDefault="00D40582">
            <w:pPr>
              <w:autoSpaceDE/>
              <w:autoSpaceDN/>
              <w:spacing w:beforeLines="0" w:before="76" w:line="240" w:lineRule="auto"/>
              <w:ind w:right="95" w:firstLineChars="0" w:firstLine="0"/>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4,491</w:t>
            </w:r>
          </w:p>
        </w:tc>
        <w:tc>
          <w:tcPr>
            <w:tcW w:w="1185" w:type="dxa"/>
            <w:vAlign w:val="center"/>
          </w:tcPr>
          <w:p w14:paraId="11E26E36" w14:textId="77777777" w:rsidR="00DE1B44" w:rsidRDefault="00D40582">
            <w:pPr>
              <w:autoSpaceDE/>
              <w:autoSpaceDN/>
              <w:spacing w:beforeLines="0" w:before="76" w:line="240" w:lineRule="auto"/>
              <w:ind w:right="94"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2.02%</w:t>
            </w:r>
          </w:p>
        </w:tc>
        <w:tc>
          <w:tcPr>
            <w:tcW w:w="1183" w:type="dxa"/>
            <w:vAlign w:val="center"/>
          </w:tcPr>
          <w:p w14:paraId="36AAC72A" w14:textId="77777777" w:rsidR="00DE1B44" w:rsidRDefault="00D40582">
            <w:pPr>
              <w:autoSpaceDE/>
              <w:autoSpaceDN/>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4,490</w:t>
            </w:r>
          </w:p>
        </w:tc>
        <w:tc>
          <w:tcPr>
            <w:tcW w:w="1185" w:type="dxa"/>
            <w:vAlign w:val="center"/>
          </w:tcPr>
          <w:p w14:paraId="50A75CEA" w14:textId="77777777" w:rsidR="00DE1B44" w:rsidRDefault="00D40582">
            <w:pPr>
              <w:autoSpaceDE/>
              <w:autoSpaceDN/>
              <w:spacing w:beforeLines="0" w:before="77" w:line="240" w:lineRule="auto"/>
              <w:ind w:right="94"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3.04%</w:t>
            </w:r>
          </w:p>
        </w:tc>
      </w:tr>
      <w:tr w:rsidR="00DE1B44" w14:paraId="1A16468D" w14:textId="77777777">
        <w:trPr>
          <w:trHeight w:val="396"/>
        </w:trPr>
        <w:tc>
          <w:tcPr>
            <w:tcW w:w="1912" w:type="dxa"/>
          </w:tcPr>
          <w:p w14:paraId="204B217F" w14:textId="77777777" w:rsidR="00DE1B44" w:rsidRDefault="00D40582">
            <w:pPr>
              <w:spacing w:beforeLines="0" w:before="63" w:line="240" w:lineRule="auto"/>
              <w:ind w:firstLineChars="0" w:firstLine="0"/>
              <w:jc w:val="left"/>
              <w:rPr>
                <w:rFonts w:hAnsi="Times New Roman" w:cs="Times New Roman"/>
                <w:sz w:val="21"/>
                <w:szCs w:val="22"/>
              </w:rPr>
            </w:pPr>
            <w:r>
              <w:rPr>
                <w:rFonts w:hAnsi="Times New Roman" w:cs="Times New Roman" w:hint="eastAsia"/>
                <w:sz w:val="21"/>
                <w:szCs w:val="22"/>
              </w:rPr>
              <w:t>应付二级资本债</w:t>
            </w:r>
          </w:p>
        </w:tc>
        <w:tc>
          <w:tcPr>
            <w:tcW w:w="1183" w:type="dxa"/>
            <w:shd w:val="clear" w:color="auto" w:fill="auto"/>
            <w:vAlign w:val="center"/>
          </w:tcPr>
          <w:p w14:paraId="7D50C02D" w14:textId="77777777" w:rsidR="00DE1B44" w:rsidRDefault="00D40582">
            <w:pPr>
              <w:spacing w:beforeLines="0" w:before="76" w:line="240" w:lineRule="auto"/>
              <w:ind w:right="95" w:firstLineChars="0" w:firstLine="0"/>
              <w:jc w:val="right"/>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33,499</w:t>
            </w:r>
          </w:p>
        </w:tc>
        <w:tc>
          <w:tcPr>
            <w:tcW w:w="1185" w:type="dxa"/>
            <w:shd w:val="clear" w:color="auto" w:fill="auto"/>
            <w:vAlign w:val="center"/>
          </w:tcPr>
          <w:p w14:paraId="1DE983A6" w14:textId="77777777" w:rsidR="00DE1B44" w:rsidRDefault="00D40582">
            <w:pPr>
              <w:spacing w:beforeLines="0" w:before="76" w:line="240" w:lineRule="auto"/>
              <w:ind w:right="95" w:firstLineChars="0" w:firstLine="0"/>
              <w:jc w:val="right"/>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14.56%</w:t>
            </w:r>
          </w:p>
        </w:tc>
        <w:tc>
          <w:tcPr>
            <w:tcW w:w="1183" w:type="dxa"/>
            <w:vAlign w:val="center"/>
          </w:tcPr>
          <w:p w14:paraId="226C302D" w14:textId="77777777" w:rsidR="00DE1B44" w:rsidRDefault="00D40582">
            <w:pPr>
              <w:spacing w:beforeLines="0" w:before="76" w:line="240" w:lineRule="auto"/>
              <w:ind w:right="95" w:firstLineChars="0" w:firstLine="0"/>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33,499</w:t>
            </w:r>
          </w:p>
        </w:tc>
        <w:tc>
          <w:tcPr>
            <w:tcW w:w="1185" w:type="dxa"/>
            <w:vAlign w:val="center"/>
          </w:tcPr>
          <w:p w14:paraId="2B810305" w14:textId="77777777" w:rsidR="00DE1B44" w:rsidRDefault="00D40582">
            <w:pPr>
              <w:spacing w:beforeLines="0" w:before="76" w:line="240" w:lineRule="auto"/>
              <w:ind w:right="94"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15.10%</w:t>
            </w:r>
          </w:p>
        </w:tc>
        <w:tc>
          <w:tcPr>
            <w:tcW w:w="1183" w:type="dxa"/>
            <w:vAlign w:val="center"/>
          </w:tcPr>
          <w:p w14:paraId="0F5D9409" w14:textId="77777777" w:rsidR="00DE1B44" w:rsidRDefault="00D40582">
            <w:pPr>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14,987</w:t>
            </w:r>
          </w:p>
        </w:tc>
        <w:tc>
          <w:tcPr>
            <w:tcW w:w="1185" w:type="dxa"/>
            <w:vAlign w:val="center"/>
          </w:tcPr>
          <w:p w14:paraId="1404E01C" w14:textId="77777777" w:rsidR="00DE1B44" w:rsidRDefault="00D40582">
            <w:pPr>
              <w:spacing w:beforeLines="0" w:before="77" w:line="240" w:lineRule="auto"/>
              <w:ind w:right="94"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10.14%</w:t>
            </w:r>
          </w:p>
        </w:tc>
      </w:tr>
      <w:tr w:rsidR="00DE1B44" w14:paraId="15E16766" w14:textId="77777777">
        <w:trPr>
          <w:trHeight w:val="396"/>
        </w:trPr>
        <w:tc>
          <w:tcPr>
            <w:tcW w:w="1912" w:type="dxa"/>
          </w:tcPr>
          <w:p w14:paraId="639D416C" w14:textId="77777777" w:rsidR="00DE1B44" w:rsidRDefault="00D40582">
            <w:pPr>
              <w:spacing w:beforeLines="0" w:before="63" w:line="240" w:lineRule="auto"/>
              <w:ind w:firstLineChars="0" w:firstLine="0"/>
              <w:jc w:val="left"/>
              <w:rPr>
                <w:rFonts w:hAnsi="Times New Roman" w:cs="Times New Roman"/>
                <w:sz w:val="21"/>
                <w:szCs w:val="22"/>
              </w:rPr>
            </w:pPr>
            <w:r>
              <w:rPr>
                <w:rFonts w:hAnsi="Times New Roman" w:cs="Times New Roman" w:hint="eastAsia"/>
                <w:sz w:val="21"/>
                <w:szCs w:val="22"/>
              </w:rPr>
              <w:t>应付金融债</w:t>
            </w:r>
          </w:p>
        </w:tc>
        <w:tc>
          <w:tcPr>
            <w:tcW w:w="1183" w:type="dxa"/>
            <w:shd w:val="clear" w:color="auto" w:fill="auto"/>
            <w:vAlign w:val="center"/>
          </w:tcPr>
          <w:p w14:paraId="22E3C0E6" w14:textId="77777777" w:rsidR="00DE1B44" w:rsidRDefault="00D40582">
            <w:pPr>
              <w:spacing w:beforeLines="0" w:before="0" w:line="240" w:lineRule="auto"/>
              <w:ind w:firstLineChars="0" w:firstLine="0"/>
              <w:jc w:val="right"/>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w:t>
            </w:r>
          </w:p>
        </w:tc>
        <w:tc>
          <w:tcPr>
            <w:tcW w:w="1185" w:type="dxa"/>
            <w:shd w:val="clear" w:color="auto" w:fill="auto"/>
            <w:vAlign w:val="center"/>
          </w:tcPr>
          <w:p w14:paraId="166C0A47" w14:textId="77777777" w:rsidR="00DE1B44" w:rsidRDefault="00D40582">
            <w:pPr>
              <w:spacing w:beforeLines="0" w:before="0" w:line="240" w:lineRule="auto"/>
              <w:ind w:firstLineChars="0" w:firstLine="0"/>
              <w:jc w:val="right"/>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w:t>
            </w:r>
          </w:p>
        </w:tc>
        <w:tc>
          <w:tcPr>
            <w:tcW w:w="1183" w:type="dxa"/>
            <w:vAlign w:val="center"/>
          </w:tcPr>
          <w:p w14:paraId="49D30DA6" w14:textId="77777777" w:rsidR="00DE1B44" w:rsidRDefault="00D40582">
            <w:pPr>
              <w:spacing w:beforeLines="0" w:before="76" w:line="240" w:lineRule="auto"/>
              <w:ind w:right="95" w:firstLineChars="0" w:firstLine="0"/>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29,996</w:t>
            </w:r>
          </w:p>
        </w:tc>
        <w:tc>
          <w:tcPr>
            <w:tcW w:w="1185" w:type="dxa"/>
            <w:vAlign w:val="center"/>
          </w:tcPr>
          <w:p w14:paraId="40BF7A90" w14:textId="77777777" w:rsidR="00DE1B44" w:rsidRDefault="00D40582">
            <w:pPr>
              <w:spacing w:beforeLines="0" w:before="76" w:line="240" w:lineRule="auto"/>
              <w:ind w:right="94"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13.52%</w:t>
            </w:r>
          </w:p>
        </w:tc>
        <w:tc>
          <w:tcPr>
            <w:tcW w:w="1183" w:type="dxa"/>
            <w:vAlign w:val="center"/>
          </w:tcPr>
          <w:p w14:paraId="0CCDB750" w14:textId="77777777" w:rsidR="00DE1B44" w:rsidRDefault="00D40582">
            <w:pPr>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29,984</w:t>
            </w:r>
          </w:p>
        </w:tc>
        <w:tc>
          <w:tcPr>
            <w:tcW w:w="1185" w:type="dxa"/>
            <w:vAlign w:val="center"/>
          </w:tcPr>
          <w:p w14:paraId="4AFE391A" w14:textId="77777777" w:rsidR="00DE1B44" w:rsidRDefault="00D40582">
            <w:pPr>
              <w:spacing w:beforeLines="0" w:before="77" w:line="240" w:lineRule="auto"/>
              <w:ind w:right="94"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20.28%</w:t>
            </w:r>
          </w:p>
        </w:tc>
      </w:tr>
      <w:tr w:rsidR="00DE1B44" w14:paraId="4A63FFCB" w14:textId="77777777">
        <w:trPr>
          <w:trHeight w:val="396"/>
        </w:trPr>
        <w:tc>
          <w:tcPr>
            <w:tcW w:w="1912" w:type="dxa"/>
          </w:tcPr>
          <w:p w14:paraId="03487C70" w14:textId="77777777" w:rsidR="00DE1B44" w:rsidRDefault="00D40582">
            <w:pPr>
              <w:spacing w:beforeLines="0" w:before="63" w:line="240" w:lineRule="auto"/>
              <w:ind w:firstLineChars="0" w:firstLine="0"/>
              <w:jc w:val="left"/>
              <w:rPr>
                <w:rFonts w:hAnsi="Times New Roman" w:cs="Times New Roman"/>
                <w:sz w:val="21"/>
                <w:szCs w:val="22"/>
              </w:rPr>
            </w:pPr>
            <w:r>
              <w:rPr>
                <w:rFonts w:hAnsi="Times New Roman" w:cs="Times New Roman" w:hint="eastAsia"/>
                <w:sz w:val="21"/>
                <w:szCs w:val="22"/>
              </w:rPr>
              <w:t>应付同业存单</w:t>
            </w:r>
          </w:p>
        </w:tc>
        <w:tc>
          <w:tcPr>
            <w:tcW w:w="1183" w:type="dxa"/>
            <w:shd w:val="clear" w:color="auto" w:fill="auto"/>
            <w:vAlign w:val="center"/>
          </w:tcPr>
          <w:p w14:paraId="0EDA9A00" w14:textId="77777777" w:rsidR="00DE1B44" w:rsidRDefault="00D40582">
            <w:pPr>
              <w:spacing w:beforeLines="0" w:before="76" w:line="240" w:lineRule="auto"/>
              <w:ind w:right="95" w:firstLineChars="0" w:firstLine="0"/>
              <w:jc w:val="right"/>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191,028</w:t>
            </w:r>
          </w:p>
        </w:tc>
        <w:tc>
          <w:tcPr>
            <w:tcW w:w="1185" w:type="dxa"/>
            <w:shd w:val="clear" w:color="auto" w:fill="auto"/>
            <w:vAlign w:val="center"/>
          </w:tcPr>
          <w:p w14:paraId="7352A626" w14:textId="77777777" w:rsidR="00DE1B44" w:rsidRDefault="00D40582">
            <w:pPr>
              <w:spacing w:beforeLines="0" w:before="76" w:line="240" w:lineRule="auto"/>
              <w:ind w:right="95" w:firstLineChars="0" w:firstLine="0"/>
              <w:jc w:val="right"/>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83.02%</w:t>
            </w:r>
          </w:p>
        </w:tc>
        <w:tc>
          <w:tcPr>
            <w:tcW w:w="1183" w:type="dxa"/>
            <w:vAlign w:val="center"/>
          </w:tcPr>
          <w:p w14:paraId="44BD00D5" w14:textId="77777777" w:rsidR="00DE1B44" w:rsidRDefault="00D40582">
            <w:pPr>
              <w:spacing w:beforeLines="0" w:before="76" w:line="240" w:lineRule="auto"/>
              <w:ind w:right="95" w:firstLineChars="0" w:firstLine="0"/>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152,951</w:t>
            </w:r>
          </w:p>
        </w:tc>
        <w:tc>
          <w:tcPr>
            <w:tcW w:w="1185" w:type="dxa"/>
            <w:vAlign w:val="center"/>
          </w:tcPr>
          <w:p w14:paraId="21D5BD21" w14:textId="77777777" w:rsidR="00DE1B44" w:rsidRDefault="00D40582">
            <w:pPr>
              <w:spacing w:beforeLines="0" w:before="76" w:line="240" w:lineRule="auto"/>
              <w:ind w:right="94"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68.92%</w:t>
            </w:r>
          </w:p>
        </w:tc>
        <w:tc>
          <w:tcPr>
            <w:tcW w:w="1183" w:type="dxa"/>
            <w:vAlign w:val="center"/>
          </w:tcPr>
          <w:p w14:paraId="1FC554FC" w14:textId="77777777" w:rsidR="00DE1B44" w:rsidRDefault="00D40582">
            <w:pPr>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97,257</w:t>
            </w:r>
          </w:p>
        </w:tc>
        <w:tc>
          <w:tcPr>
            <w:tcW w:w="1185" w:type="dxa"/>
            <w:vAlign w:val="center"/>
          </w:tcPr>
          <w:p w14:paraId="705A11A6" w14:textId="77777777" w:rsidR="00DE1B44" w:rsidRDefault="00D40582">
            <w:pPr>
              <w:spacing w:beforeLines="0" w:before="77" w:line="240" w:lineRule="auto"/>
              <w:ind w:right="94"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65.77%</w:t>
            </w:r>
          </w:p>
        </w:tc>
      </w:tr>
      <w:tr w:rsidR="00DE1B44" w14:paraId="3C657E49" w14:textId="77777777">
        <w:trPr>
          <w:trHeight w:val="398"/>
        </w:trPr>
        <w:tc>
          <w:tcPr>
            <w:tcW w:w="1912" w:type="dxa"/>
          </w:tcPr>
          <w:p w14:paraId="7958FD90" w14:textId="77777777" w:rsidR="00DE1B44" w:rsidRDefault="00D40582">
            <w:pPr>
              <w:autoSpaceDE/>
              <w:autoSpaceDN/>
              <w:spacing w:beforeLines="0" w:before="63" w:line="240" w:lineRule="auto"/>
              <w:ind w:firstLineChars="0" w:firstLine="0"/>
              <w:jc w:val="left"/>
              <w:rPr>
                <w:rFonts w:hAnsi="Times New Roman" w:cs="Times New Roman"/>
                <w:sz w:val="21"/>
                <w:szCs w:val="22"/>
              </w:rPr>
            </w:pPr>
            <w:r>
              <w:rPr>
                <w:rFonts w:hAnsi="Times New Roman" w:cs="Times New Roman" w:hint="eastAsia"/>
                <w:sz w:val="21"/>
                <w:szCs w:val="22"/>
              </w:rPr>
              <w:t>应计利息</w:t>
            </w:r>
          </w:p>
        </w:tc>
        <w:tc>
          <w:tcPr>
            <w:tcW w:w="1183" w:type="dxa"/>
            <w:shd w:val="clear" w:color="auto" w:fill="auto"/>
            <w:vAlign w:val="center"/>
          </w:tcPr>
          <w:p w14:paraId="66046FF3" w14:textId="77777777" w:rsidR="00DE1B44" w:rsidRDefault="00D40582">
            <w:pPr>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1,072</w:t>
            </w:r>
          </w:p>
        </w:tc>
        <w:tc>
          <w:tcPr>
            <w:tcW w:w="1185" w:type="dxa"/>
            <w:shd w:val="clear" w:color="auto" w:fill="auto"/>
            <w:vAlign w:val="center"/>
          </w:tcPr>
          <w:p w14:paraId="5347BA2F" w14:textId="77777777" w:rsidR="00DE1B44" w:rsidRDefault="00D40582">
            <w:pPr>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0.47%</w:t>
            </w:r>
          </w:p>
        </w:tc>
        <w:tc>
          <w:tcPr>
            <w:tcW w:w="1183" w:type="dxa"/>
            <w:vAlign w:val="center"/>
          </w:tcPr>
          <w:p w14:paraId="01BE6F0D" w14:textId="77777777" w:rsidR="00DE1B44" w:rsidRDefault="00D40582">
            <w:pPr>
              <w:autoSpaceDE/>
              <w:autoSpaceDN/>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979</w:t>
            </w:r>
          </w:p>
        </w:tc>
        <w:tc>
          <w:tcPr>
            <w:tcW w:w="1185" w:type="dxa"/>
            <w:vAlign w:val="center"/>
          </w:tcPr>
          <w:p w14:paraId="01B6EE43" w14:textId="77777777" w:rsidR="00DE1B44" w:rsidRDefault="00D40582">
            <w:pPr>
              <w:autoSpaceDE/>
              <w:autoSpaceDN/>
              <w:spacing w:beforeLines="0" w:before="77" w:line="240" w:lineRule="auto"/>
              <w:ind w:right="94"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0.44%</w:t>
            </w:r>
          </w:p>
        </w:tc>
        <w:tc>
          <w:tcPr>
            <w:tcW w:w="1183" w:type="dxa"/>
            <w:vAlign w:val="center"/>
          </w:tcPr>
          <w:p w14:paraId="61DF3E15" w14:textId="77777777" w:rsidR="00DE1B44" w:rsidRDefault="00D40582">
            <w:pPr>
              <w:autoSpaceDE/>
              <w:autoSpaceDN/>
              <w:spacing w:beforeLines="0" w:before="77" w:line="240" w:lineRule="auto"/>
              <w:ind w:right="95" w:firstLineChars="0" w:firstLine="0"/>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1,147</w:t>
            </w:r>
          </w:p>
        </w:tc>
        <w:tc>
          <w:tcPr>
            <w:tcW w:w="1185" w:type="dxa"/>
            <w:vAlign w:val="center"/>
          </w:tcPr>
          <w:p w14:paraId="4C5D8FE1" w14:textId="77777777" w:rsidR="00DE1B44" w:rsidRDefault="00D40582">
            <w:pPr>
              <w:autoSpaceDE/>
              <w:autoSpaceDN/>
              <w:spacing w:beforeLines="0" w:before="77" w:line="240" w:lineRule="auto"/>
              <w:ind w:right="94" w:firstLineChars="0" w:firstLine="0"/>
              <w:jc w:val="right"/>
              <w:rPr>
                <w:rFonts w:ascii="Times New Roman" w:eastAsia="Times New Roman" w:hAnsi="Times New Roman" w:cs="Times New Roman"/>
                <w:sz w:val="21"/>
                <w:szCs w:val="21"/>
              </w:rPr>
            </w:pPr>
            <w:r>
              <w:rPr>
                <w:rFonts w:ascii="Times New Roman" w:hAnsi="Times New Roman" w:cs="Times New Roman"/>
                <w:sz w:val="21"/>
                <w:szCs w:val="21"/>
              </w:rPr>
              <w:t>0.77%</w:t>
            </w:r>
          </w:p>
        </w:tc>
      </w:tr>
      <w:tr w:rsidR="00DE1B44" w14:paraId="1A04EEC4" w14:textId="77777777">
        <w:trPr>
          <w:trHeight w:val="396"/>
        </w:trPr>
        <w:tc>
          <w:tcPr>
            <w:tcW w:w="1912" w:type="dxa"/>
            <w:vAlign w:val="center"/>
          </w:tcPr>
          <w:p w14:paraId="1CAA7E4E" w14:textId="77777777" w:rsidR="00DE1B44" w:rsidRDefault="00D40582">
            <w:pPr>
              <w:autoSpaceDE/>
              <w:autoSpaceDN/>
              <w:spacing w:beforeLines="0" w:before="0" w:line="240" w:lineRule="auto"/>
              <w:ind w:firstLineChars="0" w:firstLine="0"/>
              <w:jc w:val="center"/>
              <w:rPr>
                <w:rFonts w:hAnsi="Times New Roman" w:cs="Times New Roman"/>
                <w:b/>
                <w:sz w:val="21"/>
                <w:szCs w:val="22"/>
              </w:rPr>
            </w:pPr>
            <w:r>
              <w:rPr>
                <w:rFonts w:hAnsi="Times New Roman" w:cs="Times New Roman" w:hint="eastAsia"/>
                <w:b/>
                <w:w w:val="95"/>
                <w:sz w:val="21"/>
                <w:szCs w:val="22"/>
              </w:rPr>
              <w:t>合计</w:t>
            </w:r>
          </w:p>
        </w:tc>
        <w:tc>
          <w:tcPr>
            <w:tcW w:w="1183" w:type="dxa"/>
            <w:shd w:val="clear" w:color="auto" w:fill="auto"/>
            <w:vAlign w:val="center"/>
          </w:tcPr>
          <w:p w14:paraId="53BC2A43" w14:textId="77777777" w:rsidR="00DE1B44" w:rsidRDefault="00D40582">
            <w:pPr>
              <w:spacing w:beforeLines="0" w:before="77" w:line="240" w:lineRule="auto"/>
              <w:ind w:right="95" w:firstLineChars="0" w:firstLine="0"/>
              <w:jc w:val="right"/>
              <w:rPr>
                <w:rFonts w:ascii="Times New Roman" w:eastAsia="Times New Roman" w:hAnsi="Times New Roman" w:cs="Times New Roman"/>
                <w:b/>
                <w:sz w:val="21"/>
                <w:szCs w:val="22"/>
              </w:rPr>
            </w:pPr>
            <w:r>
              <w:rPr>
                <w:rFonts w:ascii="Times New Roman" w:eastAsia="等线" w:hAnsi="Times New Roman" w:cs="Times New Roman"/>
                <w:b/>
                <w:bCs/>
                <w:color w:val="000000"/>
                <w:sz w:val="21"/>
                <w:szCs w:val="21"/>
              </w:rPr>
              <w:t>230,091</w:t>
            </w:r>
          </w:p>
        </w:tc>
        <w:tc>
          <w:tcPr>
            <w:tcW w:w="1185" w:type="dxa"/>
            <w:shd w:val="clear" w:color="auto" w:fill="auto"/>
            <w:vAlign w:val="center"/>
          </w:tcPr>
          <w:p w14:paraId="74AE2175" w14:textId="77777777" w:rsidR="00DE1B44" w:rsidRDefault="00D40582">
            <w:pPr>
              <w:spacing w:beforeLines="0" w:before="77" w:line="240" w:lineRule="auto"/>
              <w:ind w:right="95" w:firstLineChars="0" w:firstLine="0"/>
              <w:jc w:val="right"/>
              <w:rPr>
                <w:rFonts w:ascii="Times New Roman" w:eastAsia="Times New Roman" w:hAnsi="Times New Roman" w:cs="Times New Roman"/>
                <w:b/>
                <w:sz w:val="21"/>
                <w:szCs w:val="22"/>
              </w:rPr>
            </w:pPr>
            <w:r>
              <w:rPr>
                <w:rFonts w:ascii="Times New Roman" w:eastAsia="等线" w:hAnsi="Times New Roman" w:cs="Times New Roman"/>
                <w:b/>
                <w:bCs/>
                <w:color w:val="000000"/>
                <w:sz w:val="21"/>
                <w:szCs w:val="21"/>
              </w:rPr>
              <w:t>100.00%</w:t>
            </w:r>
          </w:p>
        </w:tc>
        <w:tc>
          <w:tcPr>
            <w:tcW w:w="1183" w:type="dxa"/>
            <w:vAlign w:val="center"/>
          </w:tcPr>
          <w:p w14:paraId="57466C87" w14:textId="77777777" w:rsidR="00DE1B44" w:rsidRDefault="00D40582">
            <w:pPr>
              <w:autoSpaceDE/>
              <w:autoSpaceDN/>
              <w:spacing w:beforeLines="0" w:before="77" w:line="240" w:lineRule="auto"/>
              <w:ind w:right="95" w:firstLineChars="0" w:firstLine="0"/>
              <w:jc w:val="right"/>
              <w:rPr>
                <w:rFonts w:ascii="Times New Roman" w:eastAsia="Times New Roman" w:hAnsi="Times New Roman" w:cs="Times New Roman"/>
                <w:b/>
                <w:sz w:val="21"/>
                <w:szCs w:val="22"/>
              </w:rPr>
            </w:pPr>
            <w:r>
              <w:rPr>
                <w:rFonts w:ascii="Times New Roman" w:eastAsia="Times New Roman" w:hAnsi="Times New Roman" w:cs="Times New Roman"/>
                <w:b/>
                <w:sz w:val="21"/>
                <w:szCs w:val="22"/>
              </w:rPr>
              <w:t>221,917</w:t>
            </w:r>
          </w:p>
        </w:tc>
        <w:tc>
          <w:tcPr>
            <w:tcW w:w="1185" w:type="dxa"/>
            <w:vAlign w:val="center"/>
          </w:tcPr>
          <w:p w14:paraId="43BE6DF4" w14:textId="77777777" w:rsidR="00DE1B44" w:rsidRDefault="00D40582">
            <w:pPr>
              <w:autoSpaceDE/>
              <w:autoSpaceDN/>
              <w:spacing w:beforeLines="0" w:before="77" w:line="240" w:lineRule="auto"/>
              <w:ind w:right="94" w:firstLineChars="0" w:firstLine="0"/>
              <w:jc w:val="right"/>
              <w:rPr>
                <w:rFonts w:ascii="Times New Roman" w:eastAsia="Times New Roman" w:hAnsi="Times New Roman" w:cs="Times New Roman"/>
                <w:b/>
                <w:sz w:val="21"/>
                <w:szCs w:val="22"/>
              </w:rPr>
            </w:pPr>
            <w:r>
              <w:rPr>
                <w:rFonts w:ascii="Times New Roman" w:eastAsia="Times New Roman" w:hAnsi="Times New Roman" w:cs="Times New Roman"/>
                <w:b/>
                <w:sz w:val="21"/>
                <w:szCs w:val="22"/>
              </w:rPr>
              <w:t>100.00%</w:t>
            </w:r>
          </w:p>
        </w:tc>
        <w:tc>
          <w:tcPr>
            <w:tcW w:w="1183" w:type="dxa"/>
            <w:vAlign w:val="center"/>
          </w:tcPr>
          <w:p w14:paraId="7B8D0D97" w14:textId="77777777" w:rsidR="00DE1B44" w:rsidRDefault="00D40582">
            <w:pPr>
              <w:autoSpaceDE/>
              <w:autoSpaceDN/>
              <w:spacing w:beforeLines="0" w:before="78" w:line="240" w:lineRule="auto"/>
              <w:ind w:right="95" w:firstLineChars="0" w:firstLine="0"/>
              <w:jc w:val="right"/>
              <w:rPr>
                <w:rFonts w:ascii="Times New Roman" w:eastAsia="Times New Roman" w:hAnsi="Times New Roman" w:cs="Times New Roman"/>
                <w:b/>
                <w:sz w:val="21"/>
                <w:szCs w:val="22"/>
              </w:rPr>
            </w:pPr>
            <w:r>
              <w:rPr>
                <w:rFonts w:ascii="Times New Roman" w:eastAsia="Times New Roman" w:hAnsi="Times New Roman" w:cs="Times New Roman"/>
                <w:b/>
                <w:sz w:val="21"/>
                <w:szCs w:val="22"/>
              </w:rPr>
              <w:t>147,864</w:t>
            </w:r>
          </w:p>
        </w:tc>
        <w:tc>
          <w:tcPr>
            <w:tcW w:w="1185" w:type="dxa"/>
            <w:vAlign w:val="center"/>
          </w:tcPr>
          <w:p w14:paraId="6D4F65E5" w14:textId="77777777" w:rsidR="00DE1B44" w:rsidRDefault="00D40582">
            <w:pPr>
              <w:autoSpaceDE/>
              <w:autoSpaceDN/>
              <w:spacing w:beforeLines="0" w:before="78" w:line="240" w:lineRule="auto"/>
              <w:ind w:right="93" w:firstLineChars="0" w:firstLine="0"/>
              <w:jc w:val="right"/>
              <w:rPr>
                <w:rFonts w:ascii="Times New Roman" w:eastAsia="Times New Roman" w:hAnsi="Times New Roman" w:cs="Times New Roman"/>
                <w:b/>
                <w:sz w:val="21"/>
                <w:szCs w:val="22"/>
              </w:rPr>
            </w:pPr>
            <w:r>
              <w:rPr>
                <w:rFonts w:ascii="Times New Roman" w:eastAsia="Times New Roman" w:hAnsi="Times New Roman" w:cs="Times New Roman"/>
                <w:b/>
                <w:sz w:val="21"/>
                <w:szCs w:val="22"/>
              </w:rPr>
              <w:t>100.00%</w:t>
            </w:r>
          </w:p>
        </w:tc>
      </w:tr>
    </w:tbl>
    <w:p w14:paraId="4A489052" w14:textId="77777777" w:rsidR="00DE1B44" w:rsidRDefault="00D40582">
      <w:pPr>
        <w:spacing w:before="120"/>
        <w:ind w:firstLine="480"/>
        <w:rPr>
          <w:rFonts w:ascii="Times New Roman" w:hAnsi="Times New Roman" w:cs="Times New Roman"/>
        </w:rPr>
      </w:pPr>
      <w:r>
        <w:rPr>
          <w:rFonts w:ascii="Times New Roman" w:hAnsi="Times New Roman" w:cs="Times New Roman"/>
        </w:rPr>
        <w:lastRenderedPageBreak/>
        <w:t>经中国人民银行和中国银保监会的批准，本行于</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10</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日至</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11</w:t>
      </w:r>
      <w:r>
        <w:rPr>
          <w:rFonts w:ascii="Times New Roman" w:hAnsi="Times New Roman" w:cs="Times New Roman"/>
        </w:rPr>
        <w:t>月</w:t>
      </w:r>
      <w:r>
        <w:rPr>
          <w:rFonts w:ascii="Times New Roman" w:hAnsi="Times New Roman" w:cs="Times New Roman"/>
        </w:rPr>
        <w:t>3</w:t>
      </w:r>
      <w:r>
        <w:rPr>
          <w:rFonts w:ascii="Times New Roman" w:hAnsi="Times New Roman" w:cs="Times New Roman"/>
        </w:rPr>
        <w:t>日在全国银行间债券市场发行了总额为</w:t>
      </w:r>
      <w:r>
        <w:rPr>
          <w:rFonts w:ascii="Times New Roman" w:hAnsi="Times New Roman" w:cs="Times New Roman"/>
        </w:rPr>
        <w:t>335</w:t>
      </w:r>
      <w:r>
        <w:rPr>
          <w:rFonts w:ascii="Times New Roman" w:hAnsi="Times New Roman" w:cs="Times New Roman"/>
        </w:rPr>
        <w:t>亿元人民币的二级资本债券。其中，品种</w:t>
      </w:r>
      <w:proofErr w:type="gramStart"/>
      <w:r>
        <w:rPr>
          <w:rFonts w:ascii="Times New Roman" w:hAnsi="Times New Roman" w:cs="Times New Roman"/>
        </w:rPr>
        <w:t>一</w:t>
      </w:r>
      <w:proofErr w:type="gramEnd"/>
      <w:r>
        <w:rPr>
          <w:rFonts w:ascii="Times New Roman" w:hAnsi="Times New Roman" w:cs="Times New Roman"/>
        </w:rPr>
        <w:t>规模为</w:t>
      </w:r>
      <w:r>
        <w:rPr>
          <w:rFonts w:ascii="Times New Roman" w:hAnsi="Times New Roman" w:cs="Times New Roman"/>
        </w:rPr>
        <w:t>300</w:t>
      </w:r>
      <w:r>
        <w:rPr>
          <w:rFonts w:ascii="Times New Roman" w:hAnsi="Times New Roman" w:cs="Times New Roman"/>
        </w:rPr>
        <w:t>亿元，债券期限为</w:t>
      </w:r>
      <w:r>
        <w:rPr>
          <w:rFonts w:ascii="Times New Roman" w:hAnsi="Times New Roman" w:cs="Times New Roman"/>
        </w:rPr>
        <w:t>10</w:t>
      </w:r>
      <w:r>
        <w:rPr>
          <w:rFonts w:ascii="Times New Roman" w:hAnsi="Times New Roman" w:cs="Times New Roman"/>
        </w:rPr>
        <w:t>年期，票面利率为</w:t>
      </w:r>
      <w:r>
        <w:rPr>
          <w:rFonts w:ascii="Times New Roman" w:hAnsi="Times New Roman" w:cs="Times New Roman"/>
        </w:rPr>
        <w:t>4.26%</w:t>
      </w:r>
      <w:r>
        <w:rPr>
          <w:rFonts w:ascii="Times New Roman" w:hAnsi="Times New Roman" w:cs="Times New Roman"/>
        </w:rPr>
        <w:t>，本行在第</w:t>
      </w:r>
      <w:r>
        <w:rPr>
          <w:rFonts w:ascii="Times New Roman" w:hAnsi="Times New Roman" w:cs="Times New Roman"/>
        </w:rPr>
        <w:t>5</w:t>
      </w:r>
      <w:r>
        <w:rPr>
          <w:rFonts w:ascii="Times New Roman" w:hAnsi="Times New Roman" w:cs="Times New Roman"/>
        </w:rPr>
        <w:t>年末具有赎回权，品种</w:t>
      </w:r>
      <w:proofErr w:type="gramStart"/>
      <w:r>
        <w:rPr>
          <w:rFonts w:ascii="Times New Roman" w:hAnsi="Times New Roman" w:cs="Times New Roman"/>
        </w:rPr>
        <w:t>二规模</w:t>
      </w:r>
      <w:proofErr w:type="gramEnd"/>
      <w:r>
        <w:rPr>
          <w:rFonts w:ascii="Times New Roman" w:hAnsi="Times New Roman" w:cs="Times New Roman"/>
        </w:rPr>
        <w:t>为</w:t>
      </w:r>
      <w:r>
        <w:rPr>
          <w:rFonts w:ascii="Times New Roman" w:hAnsi="Times New Roman" w:cs="Times New Roman"/>
        </w:rPr>
        <w:t>35</w:t>
      </w:r>
      <w:r>
        <w:rPr>
          <w:rFonts w:ascii="Times New Roman" w:hAnsi="Times New Roman" w:cs="Times New Roman"/>
        </w:rPr>
        <w:t>亿元，债券期限为</w:t>
      </w:r>
      <w:r>
        <w:rPr>
          <w:rFonts w:ascii="Times New Roman" w:hAnsi="Times New Roman" w:cs="Times New Roman"/>
        </w:rPr>
        <w:t>15</w:t>
      </w:r>
      <w:r>
        <w:rPr>
          <w:rFonts w:ascii="Times New Roman" w:hAnsi="Times New Roman" w:cs="Times New Roman"/>
        </w:rPr>
        <w:t>年期，票面利率为</w:t>
      </w:r>
      <w:r>
        <w:rPr>
          <w:rFonts w:ascii="Times New Roman" w:hAnsi="Times New Roman" w:cs="Times New Roman"/>
        </w:rPr>
        <w:t>4.51%</w:t>
      </w:r>
      <w:r>
        <w:rPr>
          <w:rFonts w:ascii="Times New Roman" w:hAnsi="Times New Roman" w:cs="Times New Roman"/>
        </w:rPr>
        <w:t>，本行在第</w:t>
      </w:r>
      <w:r>
        <w:rPr>
          <w:rFonts w:ascii="Times New Roman" w:hAnsi="Times New Roman" w:cs="Times New Roman"/>
        </w:rPr>
        <w:t>10</w:t>
      </w:r>
      <w:r>
        <w:rPr>
          <w:rFonts w:ascii="Times New Roman" w:hAnsi="Times New Roman" w:cs="Times New Roman"/>
        </w:rPr>
        <w:t>年末具有赎回权。</w:t>
      </w:r>
    </w:p>
    <w:p w14:paraId="5CD57FB1" w14:textId="77777777" w:rsidR="00DE1B44" w:rsidRDefault="00D40582">
      <w:pPr>
        <w:pStyle w:val="4a"/>
        <w:spacing w:before="120"/>
        <w:rPr>
          <w:rFonts w:ascii="Times New Roman" w:hAnsi="Times New Roman"/>
        </w:rPr>
      </w:pPr>
      <w:r>
        <w:rPr>
          <w:rFonts w:ascii="Times New Roman" w:hAnsi="Times New Roman" w:hint="eastAsia"/>
        </w:rPr>
        <w:t>（二）合并利润</w:t>
      </w:r>
      <w:proofErr w:type="gramStart"/>
      <w:r>
        <w:rPr>
          <w:rFonts w:ascii="Times New Roman" w:hAnsi="Times New Roman" w:hint="eastAsia"/>
        </w:rPr>
        <w:t>表重要</w:t>
      </w:r>
      <w:proofErr w:type="gramEnd"/>
      <w:r>
        <w:rPr>
          <w:rFonts w:ascii="Times New Roman" w:hAnsi="Times New Roman" w:hint="eastAsia"/>
        </w:rPr>
        <w:t>项目分析</w:t>
      </w:r>
    </w:p>
    <w:p w14:paraId="05908458"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，本行净利润分别为</w:t>
      </w:r>
      <w:r>
        <w:rPr>
          <w:rFonts w:ascii="Times New Roman" w:hAnsi="Times New Roman"/>
        </w:rPr>
        <w:t>125.81</w:t>
      </w:r>
      <w:r>
        <w:rPr>
          <w:rFonts w:ascii="Times New Roman" w:hAnsi="Times New Roman"/>
        </w:rPr>
        <w:t>亿元</w:t>
      </w:r>
      <w:r>
        <w:rPr>
          <w:rFonts w:ascii="Times New Roman" w:hAnsi="Times New Roman" w:hint="eastAsia"/>
        </w:rPr>
        <w:t>、</w:t>
      </w:r>
      <w:r>
        <w:rPr>
          <w:rFonts w:ascii="Times New Roman" w:hAnsi="Times New Roman"/>
        </w:rPr>
        <w:t>138.12</w:t>
      </w:r>
      <w:r>
        <w:rPr>
          <w:rFonts w:ascii="Times New Roman" w:hAnsi="Times New Roman"/>
        </w:rPr>
        <w:t>亿元</w:t>
      </w:r>
      <w:r>
        <w:rPr>
          <w:rFonts w:ascii="Times New Roman" w:hAnsi="Times New Roman" w:hint="eastAsia"/>
        </w:rPr>
        <w:t>和</w:t>
      </w:r>
      <w:r>
        <w:rPr>
          <w:rFonts w:ascii="Times New Roman" w:hAnsi="Times New Roman" w:hint="eastAsia"/>
        </w:rPr>
        <w:t>1</w:t>
      </w:r>
      <w:r>
        <w:rPr>
          <w:rFonts w:ascii="Times New Roman" w:hAnsi="Times New Roman"/>
        </w:rPr>
        <w:t>00.25</w:t>
      </w:r>
      <w:r>
        <w:rPr>
          <w:rFonts w:ascii="Times New Roman" w:hAnsi="Times New Roman" w:hint="eastAsia"/>
        </w:rPr>
        <w:t>亿元</w:t>
      </w:r>
      <w:r>
        <w:rPr>
          <w:rFonts w:ascii="Times New Roman" w:hAnsi="Times New Roman"/>
        </w:rPr>
        <w:t>。本行持续盈利主要得益于各项业务健康发展。本行通过不断推进战略转型、优化资产配置结构、加强产品创新能力、完善配套体制建设等有力举措，提升全行盈利水平。</w:t>
      </w:r>
    </w:p>
    <w:p w14:paraId="1431CBAF" w14:textId="77777777" w:rsidR="00DE1B44" w:rsidRDefault="00D40582">
      <w:pPr>
        <w:pStyle w:val="58"/>
        <w:spacing w:before="120"/>
        <w:ind w:firstLine="482"/>
        <w:rPr>
          <w:rFonts w:ascii="Times New Roman" w:hAnsi="Times New Roman"/>
        </w:rPr>
      </w:pPr>
      <w:r>
        <w:rPr>
          <w:rFonts w:ascii="Times New Roman" w:hAnsi="Times New Roman" w:hint="eastAsia"/>
        </w:rPr>
        <w:t>1</w:t>
      </w:r>
      <w:r>
        <w:rPr>
          <w:rFonts w:ascii="Times New Roman" w:hAnsi="Times New Roman" w:hint="eastAsia"/>
        </w:rPr>
        <w:t>、利息净收入</w:t>
      </w:r>
    </w:p>
    <w:p w14:paraId="555FB664"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报告期内，本行的利息收入、利息支出和利息净收入如下表所示</w:t>
      </w:r>
      <w:r>
        <w:rPr>
          <w:rFonts w:ascii="Times New Roman" w:hAnsi="Times New Roman" w:hint="eastAsia"/>
        </w:rPr>
        <w:t>：</w:t>
      </w:r>
    </w:p>
    <w:p w14:paraId="53E4EE8C"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6"/>
        <w:gridCol w:w="2074"/>
        <w:gridCol w:w="2074"/>
        <w:gridCol w:w="2072"/>
      </w:tblGrid>
      <w:tr w:rsidR="00DE1B44" w14:paraId="55E8DAB3" w14:textId="77777777">
        <w:trPr>
          <w:trHeight w:val="397"/>
          <w:tblHeader/>
          <w:jc w:val="center"/>
        </w:trPr>
        <w:tc>
          <w:tcPr>
            <w:tcW w:w="2796" w:type="dxa"/>
            <w:shd w:val="clear" w:color="auto" w:fill="auto"/>
            <w:vAlign w:val="center"/>
          </w:tcPr>
          <w:p w14:paraId="10A050FF" w14:textId="77777777" w:rsidR="00DE1B44" w:rsidRDefault="00D40582">
            <w:pPr>
              <w:spacing w:beforeLines="0" w:before="0" w:line="240" w:lineRule="auto"/>
              <w:ind w:firstLineChars="0" w:firstLin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项目</w:t>
            </w:r>
          </w:p>
        </w:tc>
        <w:tc>
          <w:tcPr>
            <w:tcW w:w="2074" w:type="dxa"/>
            <w:vAlign w:val="center"/>
          </w:tcPr>
          <w:p w14:paraId="714FFBD5" w14:textId="77777777" w:rsidR="00DE1B44" w:rsidRDefault="00D40582">
            <w:pPr>
              <w:spacing w:beforeLines="0" w:before="0" w:line="240" w:lineRule="auto"/>
              <w:ind w:firstLineChars="0" w:firstLine="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2</w:t>
            </w:r>
            <w:r>
              <w:rPr>
                <w:rFonts w:ascii="Times New Roman" w:hAnsi="Times New Roman" w:cs="Times New Roman"/>
                <w:b/>
                <w:color w:val="000000"/>
                <w:sz w:val="21"/>
                <w:szCs w:val="21"/>
              </w:rPr>
              <w:t>021</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1</w:t>
            </w:r>
            <w:r>
              <w:rPr>
                <w:rFonts w:ascii="Times New Roman" w:hAnsi="Times New Roman" w:cs="Times New Roman"/>
                <w:b/>
                <w:color w:val="000000"/>
                <w:sz w:val="21"/>
                <w:szCs w:val="21"/>
              </w:rPr>
              <w:t>-6</w:t>
            </w:r>
            <w:r>
              <w:rPr>
                <w:rFonts w:ascii="Times New Roman" w:hAnsi="Times New Roman" w:cs="Times New Roman" w:hint="eastAsia"/>
                <w:b/>
                <w:color w:val="000000"/>
                <w:sz w:val="21"/>
                <w:szCs w:val="21"/>
              </w:rPr>
              <w:t>月</w:t>
            </w:r>
          </w:p>
        </w:tc>
        <w:tc>
          <w:tcPr>
            <w:tcW w:w="2074" w:type="dxa"/>
            <w:shd w:val="clear" w:color="auto" w:fill="auto"/>
            <w:vAlign w:val="center"/>
          </w:tcPr>
          <w:p w14:paraId="247D193C" w14:textId="77777777" w:rsidR="00DE1B44" w:rsidRDefault="00D40582">
            <w:pPr>
              <w:spacing w:beforeLines="0" w:before="0" w:line="240" w:lineRule="auto"/>
              <w:ind w:firstLineChars="0" w:firstLin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2020</w:t>
            </w:r>
            <w:r>
              <w:rPr>
                <w:rFonts w:ascii="Times New Roman" w:hAnsi="Times New Roman" w:cs="Times New Roman"/>
                <w:b/>
                <w:color w:val="000000"/>
                <w:sz w:val="21"/>
                <w:szCs w:val="21"/>
              </w:rPr>
              <w:t>年度</w:t>
            </w:r>
          </w:p>
        </w:tc>
        <w:tc>
          <w:tcPr>
            <w:tcW w:w="2072" w:type="dxa"/>
            <w:shd w:val="clear" w:color="auto" w:fill="auto"/>
            <w:vAlign w:val="center"/>
          </w:tcPr>
          <w:p w14:paraId="6E3DDA33" w14:textId="77777777" w:rsidR="00DE1B44" w:rsidRDefault="00D40582">
            <w:pPr>
              <w:spacing w:beforeLines="0" w:before="0" w:line="240" w:lineRule="auto"/>
              <w:ind w:firstLineChars="0" w:firstLin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2019</w:t>
            </w:r>
            <w:r>
              <w:rPr>
                <w:rFonts w:ascii="Times New Roman" w:hAnsi="Times New Roman" w:cs="Times New Roman"/>
                <w:b/>
                <w:color w:val="000000"/>
                <w:sz w:val="21"/>
                <w:szCs w:val="21"/>
              </w:rPr>
              <w:t>年度</w:t>
            </w:r>
          </w:p>
        </w:tc>
      </w:tr>
      <w:tr w:rsidR="00DE1B44" w14:paraId="4EE1EE2B" w14:textId="77777777">
        <w:trPr>
          <w:trHeight w:val="397"/>
          <w:jc w:val="center"/>
        </w:trPr>
        <w:tc>
          <w:tcPr>
            <w:tcW w:w="2796" w:type="dxa"/>
            <w:shd w:val="clear" w:color="auto" w:fill="auto"/>
            <w:vAlign w:val="center"/>
          </w:tcPr>
          <w:p w14:paraId="611AEEC0" w14:textId="77777777" w:rsidR="00DE1B44" w:rsidRDefault="00D40582">
            <w:pPr>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sz w:val="21"/>
                <w:szCs w:val="21"/>
              </w:rPr>
              <w:t>利息收入</w:t>
            </w:r>
          </w:p>
        </w:tc>
        <w:tc>
          <w:tcPr>
            <w:tcW w:w="2074" w:type="dxa"/>
            <w:vAlign w:val="center"/>
          </w:tcPr>
          <w:p w14:paraId="614620E7"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63,850</w:t>
            </w:r>
          </w:p>
        </w:tc>
        <w:tc>
          <w:tcPr>
            <w:tcW w:w="2074" w:type="dxa"/>
            <w:shd w:val="clear" w:color="auto" w:fill="auto"/>
            <w:vAlign w:val="center"/>
          </w:tcPr>
          <w:p w14:paraId="5A691FFF"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127,842</w:t>
            </w:r>
          </w:p>
        </w:tc>
        <w:tc>
          <w:tcPr>
            <w:tcW w:w="2072" w:type="dxa"/>
            <w:shd w:val="clear" w:color="auto" w:fill="auto"/>
            <w:vAlign w:val="center"/>
          </w:tcPr>
          <w:p w14:paraId="0DFD70ED"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120,181</w:t>
            </w:r>
          </w:p>
        </w:tc>
      </w:tr>
      <w:tr w:rsidR="00DE1B44" w14:paraId="66A04BDC" w14:textId="77777777">
        <w:trPr>
          <w:trHeight w:val="397"/>
          <w:jc w:val="center"/>
        </w:trPr>
        <w:tc>
          <w:tcPr>
            <w:tcW w:w="2796" w:type="dxa"/>
            <w:shd w:val="clear" w:color="auto" w:fill="auto"/>
            <w:vAlign w:val="center"/>
          </w:tcPr>
          <w:p w14:paraId="4C7AB8B1" w14:textId="77777777" w:rsidR="00DE1B44" w:rsidRDefault="00D40582">
            <w:pPr>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sz w:val="21"/>
                <w:szCs w:val="21"/>
              </w:rPr>
              <w:t>利息支出</w:t>
            </w:r>
          </w:p>
        </w:tc>
        <w:tc>
          <w:tcPr>
            <w:tcW w:w="2074" w:type="dxa"/>
            <w:vAlign w:val="center"/>
          </w:tcPr>
          <w:p w14:paraId="1B0C4CAC"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(35,693)</w:t>
            </w:r>
          </w:p>
        </w:tc>
        <w:tc>
          <w:tcPr>
            <w:tcW w:w="2074" w:type="dxa"/>
            <w:shd w:val="clear" w:color="auto" w:fill="auto"/>
            <w:vAlign w:val="center"/>
          </w:tcPr>
          <w:p w14:paraId="41E62B51"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(64,995)</w:t>
            </w:r>
          </w:p>
        </w:tc>
        <w:tc>
          <w:tcPr>
            <w:tcW w:w="2072" w:type="dxa"/>
            <w:shd w:val="clear" w:color="auto" w:fill="auto"/>
            <w:vAlign w:val="center"/>
          </w:tcPr>
          <w:p w14:paraId="36188B2F"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(60,602)</w:t>
            </w:r>
          </w:p>
        </w:tc>
      </w:tr>
      <w:tr w:rsidR="00DE1B44" w14:paraId="340A67AC" w14:textId="77777777">
        <w:trPr>
          <w:trHeight w:val="397"/>
          <w:jc w:val="center"/>
        </w:trPr>
        <w:tc>
          <w:tcPr>
            <w:tcW w:w="2796" w:type="dxa"/>
            <w:shd w:val="clear" w:color="auto" w:fill="auto"/>
            <w:vAlign w:val="center"/>
          </w:tcPr>
          <w:p w14:paraId="2E8B2332" w14:textId="77777777" w:rsidR="00DE1B44" w:rsidRDefault="00D40582">
            <w:pPr>
              <w:spacing w:beforeLines="0" w:before="0" w:line="240" w:lineRule="auto"/>
              <w:ind w:firstLineChars="0" w:firstLine="0"/>
              <w:rPr>
                <w:rFonts w:ascii="Times New Roman" w:hAnsi="Times New Roman" w:cs="Times New Roman"/>
                <w:b/>
                <w:bCs/>
                <w:color w:val="000000"/>
                <w:sz w:val="21"/>
                <w:szCs w:val="21"/>
              </w:rPr>
            </w:pPr>
            <w:r>
              <w:rPr>
                <w:rFonts w:ascii="Times New Roman" w:hAnsi="Times New Roman" w:cs="Times New Roman"/>
                <w:b/>
                <w:bCs/>
                <w:sz w:val="21"/>
                <w:szCs w:val="21"/>
              </w:rPr>
              <w:t>利息净收入</w:t>
            </w:r>
          </w:p>
        </w:tc>
        <w:tc>
          <w:tcPr>
            <w:tcW w:w="2074" w:type="dxa"/>
            <w:vAlign w:val="center"/>
          </w:tcPr>
          <w:p w14:paraId="2AD1FAB3"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28,157</w:t>
            </w:r>
          </w:p>
        </w:tc>
        <w:tc>
          <w:tcPr>
            <w:tcW w:w="2074" w:type="dxa"/>
            <w:shd w:val="clear" w:color="auto" w:fill="auto"/>
            <w:vAlign w:val="center"/>
          </w:tcPr>
          <w:p w14:paraId="548B6E15"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62,847</w:t>
            </w:r>
          </w:p>
        </w:tc>
        <w:tc>
          <w:tcPr>
            <w:tcW w:w="2072" w:type="dxa"/>
            <w:shd w:val="clear" w:color="auto" w:fill="auto"/>
            <w:vAlign w:val="center"/>
          </w:tcPr>
          <w:p w14:paraId="040AF94B"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59,579</w:t>
            </w:r>
          </w:p>
        </w:tc>
      </w:tr>
    </w:tbl>
    <w:p w14:paraId="0E37F885"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利息净收入是本行营业收入的主要组成部分。</w:t>
      </w: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，本行利息净收入分别为</w:t>
      </w:r>
      <w:r>
        <w:rPr>
          <w:rFonts w:ascii="Times New Roman" w:hAnsi="Times New Roman"/>
        </w:rPr>
        <w:t>595.79</w:t>
      </w:r>
      <w:r>
        <w:rPr>
          <w:rFonts w:ascii="Times New Roman" w:hAnsi="Times New Roman"/>
        </w:rPr>
        <w:t>亿元</w:t>
      </w:r>
      <w:r>
        <w:rPr>
          <w:rFonts w:ascii="Times New Roman" w:hAnsi="Times New Roman" w:hint="eastAsia"/>
        </w:rPr>
        <w:t>、</w:t>
      </w:r>
      <w:r>
        <w:rPr>
          <w:rFonts w:ascii="Times New Roman" w:hAnsi="Times New Roman"/>
        </w:rPr>
        <w:t>628.47</w:t>
      </w:r>
      <w:r>
        <w:rPr>
          <w:rFonts w:ascii="Times New Roman" w:hAnsi="Times New Roman"/>
        </w:rPr>
        <w:t>亿元</w:t>
      </w:r>
      <w:r>
        <w:rPr>
          <w:rFonts w:ascii="Times New Roman" w:hAnsi="Times New Roman" w:hint="eastAsia"/>
        </w:rPr>
        <w:t>和</w:t>
      </w:r>
      <w:r>
        <w:rPr>
          <w:rFonts w:ascii="Times New Roman" w:hAnsi="Times New Roman" w:hint="eastAsia"/>
        </w:rPr>
        <w:t>2</w:t>
      </w:r>
      <w:r>
        <w:rPr>
          <w:rFonts w:ascii="Times New Roman" w:hAnsi="Times New Roman"/>
        </w:rPr>
        <w:t>81.57</w:t>
      </w:r>
      <w:r>
        <w:rPr>
          <w:rFonts w:ascii="Times New Roman" w:hAnsi="Times New Roman" w:hint="eastAsia"/>
        </w:rPr>
        <w:t>亿元</w:t>
      </w:r>
      <w:r>
        <w:rPr>
          <w:rFonts w:ascii="Times New Roman" w:hAnsi="Times New Roman"/>
        </w:rPr>
        <w:t>，占同期营业收入的比例分别为</w:t>
      </w:r>
      <w:r>
        <w:rPr>
          <w:rFonts w:ascii="Times New Roman" w:hAnsi="Times New Roman"/>
        </w:rPr>
        <w:t>78.07%</w:t>
      </w:r>
      <w:r>
        <w:rPr>
          <w:rFonts w:ascii="Times New Roman" w:hAnsi="Times New Roman" w:hint="eastAsia"/>
        </w:rPr>
        <w:t>、</w:t>
      </w:r>
      <w:r>
        <w:rPr>
          <w:rFonts w:ascii="Times New Roman" w:hAnsi="Times New Roman"/>
        </w:rPr>
        <w:t>78.05%</w:t>
      </w:r>
      <w:r>
        <w:rPr>
          <w:rFonts w:ascii="Times New Roman" w:hAnsi="Times New Roman" w:hint="eastAsia"/>
        </w:rPr>
        <w:t>和</w:t>
      </w:r>
      <w:r>
        <w:rPr>
          <w:rFonts w:ascii="Times New Roman" w:hAnsi="Times New Roman" w:hint="eastAsia"/>
        </w:rPr>
        <w:t>7</w:t>
      </w:r>
      <w:r>
        <w:rPr>
          <w:rFonts w:ascii="Times New Roman" w:hAnsi="Times New Roman"/>
        </w:rPr>
        <w:t>6.08</w:t>
      </w:r>
      <w:r>
        <w:rPr>
          <w:rFonts w:ascii="Times New Roman" w:hAnsi="Times New Roman" w:hint="eastAsia"/>
        </w:rPr>
        <w:t>%</w:t>
      </w:r>
      <w:r>
        <w:rPr>
          <w:rFonts w:ascii="Times New Roman" w:hAnsi="Times New Roman"/>
        </w:rPr>
        <w:t>。</w:t>
      </w:r>
    </w:p>
    <w:p w14:paraId="1445C14A"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报告期内，本行利息收入及利息支出的明细如下表所示</w:t>
      </w:r>
      <w:r>
        <w:rPr>
          <w:rFonts w:ascii="Times New Roman" w:hAnsi="Times New Roman" w:hint="eastAsia"/>
        </w:rPr>
        <w:t>：</w:t>
      </w:r>
    </w:p>
    <w:p w14:paraId="5314E57C"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6"/>
        <w:gridCol w:w="2074"/>
        <w:gridCol w:w="2074"/>
        <w:gridCol w:w="2072"/>
      </w:tblGrid>
      <w:tr w:rsidR="00DE1B44" w14:paraId="2C292CAB" w14:textId="77777777">
        <w:trPr>
          <w:trHeight w:val="397"/>
          <w:tblHeader/>
          <w:jc w:val="center"/>
        </w:trPr>
        <w:tc>
          <w:tcPr>
            <w:tcW w:w="2796" w:type="dxa"/>
            <w:shd w:val="clear" w:color="auto" w:fill="auto"/>
            <w:vAlign w:val="center"/>
          </w:tcPr>
          <w:p w14:paraId="63B4A953" w14:textId="77777777" w:rsidR="00DE1B44" w:rsidRDefault="00D40582">
            <w:pPr>
              <w:spacing w:beforeLines="0" w:before="0" w:line="240" w:lineRule="auto"/>
              <w:ind w:firstLineChars="0" w:firstLin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项目</w:t>
            </w:r>
          </w:p>
        </w:tc>
        <w:tc>
          <w:tcPr>
            <w:tcW w:w="2074" w:type="dxa"/>
            <w:vAlign w:val="center"/>
          </w:tcPr>
          <w:p w14:paraId="24D0C8D8" w14:textId="77777777" w:rsidR="00DE1B44" w:rsidRDefault="00D40582">
            <w:pPr>
              <w:spacing w:beforeLines="0" w:before="0" w:line="240" w:lineRule="auto"/>
              <w:ind w:firstLineChars="0" w:firstLine="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2</w:t>
            </w:r>
            <w:r>
              <w:rPr>
                <w:rFonts w:ascii="Times New Roman" w:hAnsi="Times New Roman" w:cs="Times New Roman"/>
                <w:b/>
                <w:color w:val="000000"/>
                <w:sz w:val="21"/>
                <w:szCs w:val="21"/>
              </w:rPr>
              <w:t>021</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1</w:t>
            </w:r>
            <w:r>
              <w:rPr>
                <w:rFonts w:ascii="Times New Roman" w:hAnsi="Times New Roman" w:cs="Times New Roman"/>
                <w:b/>
                <w:color w:val="000000"/>
                <w:sz w:val="21"/>
                <w:szCs w:val="21"/>
              </w:rPr>
              <w:t>-6</w:t>
            </w:r>
            <w:r>
              <w:rPr>
                <w:rFonts w:ascii="Times New Roman" w:hAnsi="Times New Roman" w:cs="Times New Roman" w:hint="eastAsia"/>
                <w:b/>
                <w:color w:val="000000"/>
                <w:sz w:val="21"/>
                <w:szCs w:val="21"/>
              </w:rPr>
              <w:t>月</w:t>
            </w:r>
          </w:p>
        </w:tc>
        <w:tc>
          <w:tcPr>
            <w:tcW w:w="2074" w:type="dxa"/>
            <w:shd w:val="clear" w:color="auto" w:fill="auto"/>
            <w:vAlign w:val="center"/>
          </w:tcPr>
          <w:p w14:paraId="78B5CB53" w14:textId="77777777" w:rsidR="00DE1B44" w:rsidRDefault="00D40582">
            <w:pPr>
              <w:spacing w:beforeLines="0" w:before="0" w:line="240" w:lineRule="auto"/>
              <w:ind w:firstLineChars="0" w:firstLin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2020</w:t>
            </w:r>
            <w:r>
              <w:rPr>
                <w:rFonts w:ascii="Times New Roman" w:hAnsi="Times New Roman" w:cs="Times New Roman"/>
                <w:b/>
                <w:color w:val="000000"/>
                <w:sz w:val="21"/>
                <w:szCs w:val="21"/>
              </w:rPr>
              <w:t>年度</w:t>
            </w:r>
          </w:p>
        </w:tc>
        <w:tc>
          <w:tcPr>
            <w:tcW w:w="2072" w:type="dxa"/>
            <w:shd w:val="clear" w:color="auto" w:fill="auto"/>
            <w:vAlign w:val="center"/>
          </w:tcPr>
          <w:p w14:paraId="71462C94" w14:textId="77777777" w:rsidR="00DE1B44" w:rsidRDefault="00D40582">
            <w:pPr>
              <w:spacing w:beforeLines="0" w:before="0" w:line="240" w:lineRule="auto"/>
              <w:ind w:firstLineChars="0" w:firstLine="0"/>
              <w:jc w:val="center"/>
              <w:rPr>
                <w:rFonts w:ascii="Times New Roman" w:hAnsi="Times New Roman" w:cs="Times New Roman"/>
                <w:b/>
                <w:color w:val="000000"/>
                <w:sz w:val="21"/>
                <w:szCs w:val="21"/>
              </w:rPr>
            </w:pPr>
            <w:r>
              <w:rPr>
                <w:rFonts w:ascii="Times New Roman" w:hAnsi="Times New Roman" w:cs="Times New Roman"/>
                <w:b/>
                <w:color w:val="000000"/>
                <w:sz w:val="21"/>
                <w:szCs w:val="21"/>
              </w:rPr>
              <w:t>2019</w:t>
            </w:r>
            <w:r>
              <w:rPr>
                <w:rFonts w:ascii="Times New Roman" w:hAnsi="Times New Roman" w:cs="Times New Roman"/>
                <w:b/>
                <w:color w:val="000000"/>
                <w:sz w:val="21"/>
                <w:szCs w:val="21"/>
              </w:rPr>
              <w:t>年度</w:t>
            </w:r>
          </w:p>
        </w:tc>
      </w:tr>
      <w:tr w:rsidR="00DE1B44" w14:paraId="2DDC2F9A" w14:textId="77777777">
        <w:trPr>
          <w:trHeight w:val="397"/>
          <w:jc w:val="center"/>
        </w:trPr>
        <w:tc>
          <w:tcPr>
            <w:tcW w:w="2796" w:type="dxa"/>
            <w:shd w:val="clear" w:color="auto" w:fill="auto"/>
            <w:vAlign w:val="center"/>
          </w:tcPr>
          <w:p w14:paraId="42A35C2F" w14:textId="77777777" w:rsidR="00DE1B44" w:rsidRDefault="00D40582">
            <w:pPr>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sz w:val="21"/>
                <w:szCs w:val="21"/>
              </w:rPr>
              <w:t>贷款利息收入</w:t>
            </w:r>
          </w:p>
        </w:tc>
        <w:tc>
          <w:tcPr>
            <w:tcW w:w="2074" w:type="dxa"/>
            <w:shd w:val="clear" w:color="auto" w:fill="auto"/>
            <w:vAlign w:val="center"/>
          </w:tcPr>
          <w:p w14:paraId="10145C88"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49,536</w:t>
            </w:r>
          </w:p>
        </w:tc>
        <w:tc>
          <w:tcPr>
            <w:tcW w:w="2074" w:type="dxa"/>
            <w:shd w:val="clear" w:color="auto" w:fill="auto"/>
            <w:vAlign w:val="center"/>
          </w:tcPr>
          <w:p w14:paraId="782E7EA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98,791</w:t>
            </w:r>
          </w:p>
        </w:tc>
        <w:tc>
          <w:tcPr>
            <w:tcW w:w="2072" w:type="dxa"/>
            <w:shd w:val="clear" w:color="auto" w:fill="auto"/>
            <w:vAlign w:val="center"/>
          </w:tcPr>
          <w:p w14:paraId="2ABCF3A8"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94,786</w:t>
            </w:r>
          </w:p>
        </w:tc>
      </w:tr>
      <w:tr w:rsidR="00DE1B44" w14:paraId="54F6A424" w14:textId="77777777">
        <w:trPr>
          <w:trHeight w:val="397"/>
          <w:jc w:val="center"/>
        </w:trPr>
        <w:tc>
          <w:tcPr>
            <w:tcW w:w="2796" w:type="dxa"/>
            <w:shd w:val="clear" w:color="auto" w:fill="auto"/>
            <w:vAlign w:val="center"/>
          </w:tcPr>
          <w:p w14:paraId="731AE9EE" w14:textId="77777777" w:rsidR="00DE1B44" w:rsidRDefault="00D40582">
            <w:pPr>
              <w:spacing w:beforeLines="0" w:before="0" w:line="240" w:lineRule="auto"/>
              <w:ind w:firstLineChars="0" w:firstLine="0"/>
              <w:rPr>
                <w:rFonts w:ascii="Times New Roman" w:hAnsi="Times New Roman" w:cs="Times New Roman"/>
                <w:color w:val="000000"/>
                <w:sz w:val="21"/>
                <w:szCs w:val="21"/>
              </w:rPr>
            </w:pPr>
            <w:r>
              <w:rPr>
                <w:rFonts w:ascii="Times New Roman" w:hAnsi="Times New Roman" w:cs="Times New Roman"/>
                <w:sz w:val="21"/>
                <w:szCs w:val="21"/>
              </w:rPr>
              <w:t>其中：公司类贷款利息收入</w:t>
            </w:r>
          </w:p>
        </w:tc>
        <w:tc>
          <w:tcPr>
            <w:tcW w:w="2074" w:type="dxa"/>
            <w:shd w:val="clear" w:color="auto" w:fill="auto"/>
            <w:vAlign w:val="center"/>
          </w:tcPr>
          <w:p w14:paraId="6A8D382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19,682</w:t>
            </w:r>
          </w:p>
        </w:tc>
        <w:tc>
          <w:tcPr>
            <w:tcW w:w="2074" w:type="dxa"/>
            <w:shd w:val="clear" w:color="auto" w:fill="auto"/>
            <w:vAlign w:val="center"/>
          </w:tcPr>
          <w:p w14:paraId="46AF671D"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35,935</w:t>
            </w:r>
          </w:p>
        </w:tc>
        <w:tc>
          <w:tcPr>
            <w:tcW w:w="2072" w:type="dxa"/>
            <w:shd w:val="clear" w:color="auto" w:fill="auto"/>
            <w:vAlign w:val="center"/>
          </w:tcPr>
          <w:p w14:paraId="5213998D"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30,113</w:t>
            </w:r>
          </w:p>
        </w:tc>
      </w:tr>
      <w:tr w:rsidR="00DE1B44" w14:paraId="5D591EBE" w14:textId="77777777">
        <w:trPr>
          <w:trHeight w:val="397"/>
          <w:jc w:val="center"/>
        </w:trPr>
        <w:tc>
          <w:tcPr>
            <w:tcW w:w="2796" w:type="dxa"/>
            <w:shd w:val="clear" w:color="auto" w:fill="auto"/>
            <w:vAlign w:val="center"/>
          </w:tcPr>
          <w:p w14:paraId="1503E4D4" w14:textId="77777777" w:rsidR="00DE1B44" w:rsidRDefault="00D40582" w:rsidP="00F677C4">
            <w:pPr>
              <w:spacing w:beforeLines="0" w:before="0" w:line="240" w:lineRule="auto"/>
              <w:ind w:leftChars="250" w:left="600" w:firstLineChars="0" w:firstLine="0"/>
              <w:rPr>
                <w:rFonts w:ascii="Times New Roman" w:hAnsi="Times New Roman" w:cs="Times New Roman"/>
                <w:b/>
                <w:bCs/>
                <w:color w:val="000000"/>
                <w:sz w:val="21"/>
                <w:szCs w:val="21"/>
              </w:rPr>
            </w:pPr>
            <w:r>
              <w:rPr>
                <w:rFonts w:ascii="Times New Roman" w:hAnsi="Times New Roman" w:cs="Times New Roman"/>
                <w:sz w:val="21"/>
                <w:szCs w:val="21"/>
              </w:rPr>
              <w:t>个人贷款利息收入</w:t>
            </w:r>
          </w:p>
        </w:tc>
        <w:tc>
          <w:tcPr>
            <w:tcW w:w="2074" w:type="dxa"/>
            <w:shd w:val="clear" w:color="auto" w:fill="auto"/>
            <w:vAlign w:val="center"/>
          </w:tcPr>
          <w:p w14:paraId="516E542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26,990</w:t>
            </w:r>
          </w:p>
        </w:tc>
        <w:tc>
          <w:tcPr>
            <w:tcW w:w="2074" w:type="dxa"/>
            <w:shd w:val="clear" w:color="auto" w:fill="auto"/>
            <w:vAlign w:val="center"/>
          </w:tcPr>
          <w:p w14:paraId="109E824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57,587</w:t>
            </w:r>
          </w:p>
        </w:tc>
        <w:tc>
          <w:tcPr>
            <w:tcW w:w="2072" w:type="dxa"/>
            <w:shd w:val="clear" w:color="auto" w:fill="auto"/>
            <w:vAlign w:val="center"/>
          </w:tcPr>
          <w:p w14:paraId="2BF7D2A7"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color w:val="000000"/>
                <w:sz w:val="21"/>
                <w:szCs w:val="21"/>
              </w:rPr>
              <w:t>60,628</w:t>
            </w:r>
          </w:p>
        </w:tc>
      </w:tr>
      <w:tr w:rsidR="00DE1B44" w14:paraId="43C4BF32" w14:textId="77777777">
        <w:trPr>
          <w:trHeight w:val="397"/>
          <w:jc w:val="center"/>
        </w:trPr>
        <w:tc>
          <w:tcPr>
            <w:tcW w:w="2796" w:type="dxa"/>
            <w:shd w:val="clear" w:color="auto" w:fill="auto"/>
            <w:vAlign w:val="center"/>
          </w:tcPr>
          <w:p w14:paraId="3EFD4334" w14:textId="77777777" w:rsidR="00DE1B44" w:rsidRDefault="00D40582" w:rsidP="00F677C4">
            <w:pPr>
              <w:spacing w:beforeLines="0" w:before="0" w:line="240" w:lineRule="auto"/>
              <w:ind w:leftChars="250" w:left="600" w:firstLineChars="0" w:firstLine="0"/>
              <w:rPr>
                <w:rFonts w:ascii="Times New Roman" w:hAnsi="Times New Roman" w:cs="Times New Roman"/>
                <w:sz w:val="21"/>
                <w:szCs w:val="21"/>
              </w:rPr>
            </w:pPr>
            <w:r>
              <w:rPr>
                <w:rFonts w:ascii="Times New Roman" w:hAnsi="Times New Roman" w:cs="Times New Roman"/>
                <w:sz w:val="21"/>
                <w:szCs w:val="21"/>
              </w:rPr>
              <w:t>贴现利息收入</w:t>
            </w:r>
          </w:p>
        </w:tc>
        <w:tc>
          <w:tcPr>
            <w:tcW w:w="2074" w:type="dxa"/>
            <w:shd w:val="clear" w:color="auto" w:fill="auto"/>
            <w:vAlign w:val="center"/>
          </w:tcPr>
          <w:p w14:paraId="1507F61D"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2,864</w:t>
            </w:r>
          </w:p>
        </w:tc>
        <w:tc>
          <w:tcPr>
            <w:tcW w:w="2074" w:type="dxa"/>
            <w:shd w:val="clear" w:color="auto" w:fill="auto"/>
            <w:vAlign w:val="center"/>
          </w:tcPr>
          <w:p w14:paraId="6D79704D"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5,269</w:t>
            </w:r>
          </w:p>
        </w:tc>
        <w:tc>
          <w:tcPr>
            <w:tcW w:w="2072" w:type="dxa"/>
            <w:shd w:val="clear" w:color="auto" w:fill="auto"/>
            <w:vAlign w:val="center"/>
          </w:tcPr>
          <w:p w14:paraId="66D63BE5"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4,044</w:t>
            </w:r>
          </w:p>
        </w:tc>
      </w:tr>
      <w:tr w:rsidR="00DE1B44" w14:paraId="695759D7" w14:textId="77777777">
        <w:trPr>
          <w:trHeight w:val="397"/>
          <w:jc w:val="center"/>
        </w:trPr>
        <w:tc>
          <w:tcPr>
            <w:tcW w:w="2796" w:type="dxa"/>
            <w:shd w:val="clear" w:color="auto" w:fill="auto"/>
            <w:vAlign w:val="center"/>
          </w:tcPr>
          <w:p w14:paraId="6DE7B66E"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金融资产投资利息收入</w:t>
            </w:r>
            <w:r>
              <w:rPr>
                <w:rFonts w:ascii="Times New Roman" w:hAnsi="Times New Roman" w:cs="Times New Roman"/>
                <w:sz w:val="21"/>
                <w:szCs w:val="21"/>
                <w:vertAlign w:val="superscript"/>
              </w:rPr>
              <w:t>1</w:t>
            </w:r>
          </w:p>
        </w:tc>
        <w:tc>
          <w:tcPr>
            <w:tcW w:w="2074" w:type="dxa"/>
            <w:shd w:val="clear" w:color="auto" w:fill="auto"/>
            <w:vAlign w:val="center"/>
          </w:tcPr>
          <w:p w14:paraId="6D4E8EEC"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9,886</w:t>
            </w:r>
          </w:p>
        </w:tc>
        <w:tc>
          <w:tcPr>
            <w:tcW w:w="2074" w:type="dxa"/>
            <w:shd w:val="clear" w:color="auto" w:fill="auto"/>
            <w:vAlign w:val="center"/>
          </w:tcPr>
          <w:p w14:paraId="79CDE266"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20,785</w:t>
            </w:r>
          </w:p>
        </w:tc>
        <w:tc>
          <w:tcPr>
            <w:tcW w:w="2072" w:type="dxa"/>
            <w:shd w:val="clear" w:color="auto" w:fill="auto"/>
            <w:vAlign w:val="center"/>
          </w:tcPr>
          <w:p w14:paraId="6A736E3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17,886</w:t>
            </w:r>
          </w:p>
        </w:tc>
      </w:tr>
      <w:tr w:rsidR="00DE1B44" w14:paraId="75433338" w14:textId="77777777">
        <w:trPr>
          <w:trHeight w:val="397"/>
          <w:jc w:val="center"/>
        </w:trPr>
        <w:tc>
          <w:tcPr>
            <w:tcW w:w="2796" w:type="dxa"/>
            <w:shd w:val="clear" w:color="auto" w:fill="auto"/>
            <w:vAlign w:val="center"/>
          </w:tcPr>
          <w:p w14:paraId="571E799A"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存放央行利息收入</w:t>
            </w:r>
          </w:p>
        </w:tc>
        <w:tc>
          <w:tcPr>
            <w:tcW w:w="2074" w:type="dxa"/>
            <w:shd w:val="clear" w:color="auto" w:fill="auto"/>
            <w:vAlign w:val="center"/>
          </w:tcPr>
          <w:p w14:paraId="472BE36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1,447</w:t>
            </w:r>
          </w:p>
        </w:tc>
        <w:tc>
          <w:tcPr>
            <w:tcW w:w="2074" w:type="dxa"/>
            <w:shd w:val="clear" w:color="auto" w:fill="auto"/>
            <w:vAlign w:val="center"/>
          </w:tcPr>
          <w:p w14:paraId="79BF09A7"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2,722</w:t>
            </w:r>
          </w:p>
        </w:tc>
        <w:tc>
          <w:tcPr>
            <w:tcW w:w="2072" w:type="dxa"/>
            <w:shd w:val="clear" w:color="auto" w:fill="auto"/>
            <w:vAlign w:val="center"/>
          </w:tcPr>
          <w:p w14:paraId="30E250D1"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2,664</w:t>
            </w:r>
          </w:p>
        </w:tc>
      </w:tr>
      <w:tr w:rsidR="00DE1B44" w14:paraId="722C6E1F" w14:textId="77777777">
        <w:trPr>
          <w:trHeight w:val="397"/>
          <w:jc w:val="center"/>
        </w:trPr>
        <w:tc>
          <w:tcPr>
            <w:tcW w:w="2796" w:type="dxa"/>
            <w:shd w:val="clear" w:color="auto" w:fill="auto"/>
            <w:vAlign w:val="center"/>
          </w:tcPr>
          <w:p w14:paraId="2E10EE9F"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拆放同业利息收入</w:t>
            </w:r>
          </w:p>
        </w:tc>
        <w:tc>
          <w:tcPr>
            <w:tcW w:w="2074" w:type="dxa"/>
            <w:shd w:val="clear" w:color="auto" w:fill="auto"/>
            <w:vAlign w:val="center"/>
          </w:tcPr>
          <w:p w14:paraId="5A9F063A"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1,697</w:t>
            </w:r>
          </w:p>
        </w:tc>
        <w:tc>
          <w:tcPr>
            <w:tcW w:w="2074" w:type="dxa"/>
            <w:shd w:val="clear" w:color="auto" w:fill="auto"/>
            <w:vAlign w:val="center"/>
          </w:tcPr>
          <w:p w14:paraId="21BECF51"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3,256</w:t>
            </w:r>
          </w:p>
        </w:tc>
        <w:tc>
          <w:tcPr>
            <w:tcW w:w="2072" w:type="dxa"/>
            <w:shd w:val="clear" w:color="auto" w:fill="auto"/>
            <w:vAlign w:val="center"/>
          </w:tcPr>
          <w:p w14:paraId="30240DA6"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2,716</w:t>
            </w:r>
          </w:p>
        </w:tc>
      </w:tr>
      <w:tr w:rsidR="00DE1B44" w14:paraId="6DC087BA" w14:textId="77777777">
        <w:trPr>
          <w:trHeight w:val="397"/>
          <w:jc w:val="center"/>
        </w:trPr>
        <w:tc>
          <w:tcPr>
            <w:tcW w:w="2796" w:type="dxa"/>
            <w:shd w:val="clear" w:color="auto" w:fill="auto"/>
            <w:vAlign w:val="center"/>
          </w:tcPr>
          <w:p w14:paraId="2D898CC8"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lastRenderedPageBreak/>
              <w:t>买入返售利息收入</w:t>
            </w:r>
          </w:p>
        </w:tc>
        <w:tc>
          <w:tcPr>
            <w:tcW w:w="2074" w:type="dxa"/>
            <w:shd w:val="clear" w:color="auto" w:fill="auto"/>
            <w:vAlign w:val="center"/>
          </w:tcPr>
          <w:p w14:paraId="10EA8F54"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1,267</w:t>
            </w:r>
          </w:p>
        </w:tc>
        <w:tc>
          <w:tcPr>
            <w:tcW w:w="2074" w:type="dxa"/>
            <w:shd w:val="clear" w:color="auto" w:fill="auto"/>
            <w:vAlign w:val="center"/>
          </w:tcPr>
          <w:p w14:paraId="1189459C"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2,232</w:t>
            </w:r>
          </w:p>
        </w:tc>
        <w:tc>
          <w:tcPr>
            <w:tcW w:w="2072" w:type="dxa"/>
            <w:shd w:val="clear" w:color="auto" w:fill="auto"/>
            <w:vAlign w:val="center"/>
          </w:tcPr>
          <w:p w14:paraId="5A403F12"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1,983</w:t>
            </w:r>
          </w:p>
        </w:tc>
      </w:tr>
      <w:tr w:rsidR="00DE1B44" w14:paraId="0C5B8E9B" w14:textId="77777777">
        <w:trPr>
          <w:trHeight w:val="397"/>
          <w:jc w:val="center"/>
        </w:trPr>
        <w:tc>
          <w:tcPr>
            <w:tcW w:w="2796" w:type="dxa"/>
            <w:shd w:val="clear" w:color="auto" w:fill="auto"/>
            <w:vAlign w:val="center"/>
          </w:tcPr>
          <w:p w14:paraId="0E23E3E2"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存放同业利息收入</w:t>
            </w:r>
          </w:p>
        </w:tc>
        <w:tc>
          <w:tcPr>
            <w:tcW w:w="2074" w:type="dxa"/>
            <w:shd w:val="clear" w:color="auto" w:fill="auto"/>
            <w:vAlign w:val="center"/>
          </w:tcPr>
          <w:p w14:paraId="11EA0B94"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18</w:t>
            </w:r>
          </w:p>
        </w:tc>
        <w:tc>
          <w:tcPr>
            <w:tcW w:w="2074" w:type="dxa"/>
            <w:shd w:val="clear" w:color="auto" w:fill="auto"/>
            <w:vAlign w:val="center"/>
          </w:tcPr>
          <w:p w14:paraId="5ACAE243"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56</w:t>
            </w:r>
          </w:p>
        </w:tc>
        <w:tc>
          <w:tcPr>
            <w:tcW w:w="2072" w:type="dxa"/>
            <w:shd w:val="clear" w:color="auto" w:fill="auto"/>
            <w:vAlign w:val="center"/>
          </w:tcPr>
          <w:p w14:paraId="345718B4"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147</w:t>
            </w:r>
          </w:p>
        </w:tc>
      </w:tr>
      <w:tr w:rsidR="00DE1B44" w14:paraId="5F6EF16A" w14:textId="77777777">
        <w:trPr>
          <w:trHeight w:val="397"/>
          <w:jc w:val="center"/>
        </w:trPr>
        <w:tc>
          <w:tcPr>
            <w:tcW w:w="2796" w:type="dxa"/>
            <w:shd w:val="clear" w:color="auto" w:fill="auto"/>
            <w:vAlign w:val="center"/>
          </w:tcPr>
          <w:p w14:paraId="2F7A8249" w14:textId="77777777" w:rsidR="00DE1B44" w:rsidRDefault="00D40582">
            <w:pPr>
              <w:spacing w:beforeLines="0" w:before="0" w:line="240" w:lineRule="auto"/>
              <w:ind w:firstLineChars="0" w:firstLine="0"/>
              <w:rPr>
                <w:rFonts w:ascii="Times New Roman" w:hAnsi="Times New Roman" w:cs="Times New Roman"/>
                <w:b/>
                <w:bCs/>
                <w:sz w:val="21"/>
                <w:szCs w:val="21"/>
              </w:rPr>
            </w:pPr>
            <w:r>
              <w:rPr>
                <w:rFonts w:ascii="Times New Roman" w:hAnsi="Times New Roman" w:cs="Times New Roman"/>
                <w:b/>
                <w:bCs/>
                <w:sz w:val="21"/>
                <w:szCs w:val="21"/>
              </w:rPr>
              <w:t>利息收入</w:t>
            </w:r>
          </w:p>
        </w:tc>
        <w:tc>
          <w:tcPr>
            <w:tcW w:w="2074" w:type="dxa"/>
            <w:shd w:val="clear" w:color="auto" w:fill="auto"/>
            <w:vAlign w:val="center"/>
          </w:tcPr>
          <w:p w14:paraId="09E50A48"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63,850</w:t>
            </w:r>
          </w:p>
        </w:tc>
        <w:tc>
          <w:tcPr>
            <w:tcW w:w="2074" w:type="dxa"/>
            <w:shd w:val="clear" w:color="auto" w:fill="auto"/>
            <w:vAlign w:val="center"/>
          </w:tcPr>
          <w:p w14:paraId="32C824E1"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127,842</w:t>
            </w:r>
          </w:p>
        </w:tc>
        <w:tc>
          <w:tcPr>
            <w:tcW w:w="2072" w:type="dxa"/>
            <w:shd w:val="clear" w:color="auto" w:fill="auto"/>
            <w:vAlign w:val="center"/>
          </w:tcPr>
          <w:p w14:paraId="433B9279"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120,181</w:t>
            </w:r>
          </w:p>
        </w:tc>
      </w:tr>
      <w:tr w:rsidR="00DE1B44" w14:paraId="0F670C51" w14:textId="77777777">
        <w:trPr>
          <w:trHeight w:val="397"/>
          <w:jc w:val="center"/>
        </w:trPr>
        <w:tc>
          <w:tcPr>
            <w:tcW w:w="2796" w:type="dxa"/>
            <w:shd w:val="clear" w:color="auto" w:fill="auto"/>
            <w:vAlign w:val="center"/>
          </w:tcPr>
          <w:p w14:paraId="3E3057F5"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存款利息支出</w:t>
            </w:r>
          </w:p>
        </w:tc>
        <w:tc>
          <w:tcPr>
            <w:tcW w:w="2074" w:type="dxa"/>
            <w:shd w:val="clear" w:color="auto" w:fill="auto"/>
            <w:vAlign w:val="center"/>
          </w:tcPr>
          <w:p w14:paraId="5FAB33C9"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(23,821)</w:t>
            </w:r>
          </w:p>
        </w:tc>
        <w:tc>
          <w:tcPr>
            <w:tcW w:w="2074" w:type="dxa"/>
            <w:shd w:val="clear" w:color="auto" w:fill="auto"/>
            <w:vAlign w:val="center"/>
          </w:tcPr>
          <w:p w14:paraId="45EE816F"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(45,098)</w:t>
            </w:r>
          </w:p>
        </w:tc>
        <w:tc>
          <w:tcPr>
            <w:tcW w:w="2072" w:type="dxa"/>
            <w:shd w:val="clear" w:color="auto" w:fill="auto"/>
            <w:vAlign w:val="center"/>
          </w:tcPr>
          <w:p w14:paraId="69E849E0"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(38,389)</w:t>
            </w:r>
          </w:p>
        </w:tc>
      </w:tr>
      <w:tr w:rsidR="00DE1B44" w14:paraId="023EBDFE" w14:textId="77777777">
        <w:trPr>
          <w:trHeight w:val="397"/>
          <w:jc w:val="center"/>
        </w:trPr>
        <w:tc>
          <w:tcPr>
            <w:tcW w:w="2796" w:type="dxa"/>
            <w:shd w:val="clear" w:color="auto" w:fill="auto"/>
            <w:vAlign w:val="center"/>
          </w:tcPr>
          <w:p w14:paraId="7F502F27"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向中央银行借款利息支出</w:t>
            </w:r>
          </w:p>
        </w:tc>
        <w:tc>
          <w:tcPr>
            <w:tcW w:w="2074" w:type="dxa"/>
            <w:shd w:val="clear" w:color="auto" w:fill="auto"/>
            <w:vAlign w:val="center"/>
          </w:tcPr>
          <w:p w14:paraId="422DE00E"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(1,312)</w:t>
            </w:r>
          </w:p>
        </w:tc>
        <w:tc>
          <w:tcPr>
            <w:tcW w:w="2074" w:type="dxa"/>
            <w:shd w:val="clear" w:color="auto" w:fill="auto"/>
            <w:vAlign w:val="center"/>
          </w:tcPr>
          <w:p w14:paraId="74F960B5"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(2,226)</w:t>
            </w:r>
          </w:p>
        </w:tc>
        <w:tc>
          <w:tcPr>
            <w:tcW w:w="2072" w:type="dxa"/>
            <w:shd w:val="clear" w:color="auto" w:fill="auto"/>
            <w:vAlign w:val="center"/>
          </w:tcPr>
          <w:p w14:paraId="1E0007FA"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(1,634)</w:t>
            </w:r>
          </w:p>
        </w:tc>
      </w:tr>
      <w:tr w:rsidR="00DE1B44" w14:paraId="10FCE9F3" w14:textId="77777777">
        <w:trPr>
          <w:trHeight w:val="397"/>
          <w:jc w:val="center"/>
        </w:trPr>
        <w:tc>
          <w:tcPr>
            <w:tcW w:w="2796" w:type="dxa"/>
            <w:shd w:val="clear" w:color="auto" w:fill="auto"/>
            <w:vAlign w:val="center"/>
          </w:tcPr>
          <w:p w14:paraId="3C0B6748"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债券利息支出</w:t>
            </w:r>
          </w:p>
        </w:tc>
        <w:tc>
          <w:tcPr>
            <w:tcW w:w="2074" w:type="dxa"/>
            <w:shd w:val="clear" w:color="auto" w:fill="auto"/>
            <w:vAlign w:val="center"/>
          </w:tcPr>
          <w:p w14:paraId="1C85FCDE"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(4,099)</w:t>
            </w:r>
          </w:p>
        </w:tc>
        <w:tc>
          <w:tcPr>
            <w:tcW w:w="2074" w:type="dxa"/>
            <w:shd w:val="clear" w:color="auto" w:fill="auto"/>
            <w:vAlign w:val="center"/>
          </w:tcPr>
          <w:p w14:paraId="5B42949B"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(5,199)</w:t>
            </w:r>
          </w:p>
        </w:tc>
        <w:tc>
          <w:tcPr>
            <w:tcW w:w="2072" w:type="dxa"/>
            <w:shd w:val="clear" w:color="auto" w:fill="auto"/>
            <w:vAlign w:val="center"/>
          </w:tcPr>
          <w:p w14:paraId="244BF4D9"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(4,897)</w:t>
            </w:r>
          </w:p>
        </w:tc>
      </w:tr>
      <w:tr w:rsidR="00DE1B44" w14:paraId="0EA37F1E" w14:textId="77777777">
        <w:trPr>
          <w:trHeight w:val="397"/>
          <w:jc w:val="center"/>
        </w:trPr>
        <w:tc>
          <w:tcPr>
            <w:tcW w:w="2796" w:type="dxa"/>
            <w:shd w:val="clear" w:color="auto" w:fill="auto"/>
            <w:vAlign w:val="center"/>
          </w:tcPr>
          <w:p w14:paraId="51A7BCD5"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同业存放利息支出</w:t>
            </w:r>
          </w:p>
        </w:tc>
        <w:tc>
          <w:tcPr>
            <w:tcW w:w="2074" w:type="dxa"/>
            <w:shd w:val="clear" w:color="auto" w:fill="auto"/>
            <w:vAlign w:val="center"/>
          </w:tcPr>
          <w:p w14:paraId="2B042201"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(6,089)</w:t>
            </w:r>
          </w:p>
        </w:tc>
        <w:tc>
          <w:tcPr>
            <w:tcW w:w="2074" w:type="dxa"/>
            <w:shd w:val="clear" w:color="auto" w:fill="auto"/>
            <w:vAlign w:val="center"/>
          </w:tcPr>
          <w:p w14:paraId="5899460C"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(11,025)</w:t>
            </w:r>
          </w:p>
        </w:tc>
        <w:tc>
          <w:tcPr>
            <w:tcW w:w="2072" w:type="dxa"/>
            <w:shd w:val="clear" w:color="auto" w:fill="auto"/>
            <w:vAlign w:val="center"/>
          </w:tcPr>
          <w:p w14:paraId="0B21115B"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(12,860)</w:t>
            </w:r>
          </w:p>
        </w:tc>
      </w:tr>
      <w:tr w:rsidR="00DE1B44" w14:paraId="7FE4CB4C" w14:textId="77777777">
        <w:trPr>
          <w:trHeight w:val="397"/>
          <w:jc w:val="center"/>
        </w:trPr>
        <w:tc>
          <w:tcPr>
            <w:tcW w:w="2796" w:type="dxa"/>
            <w:shd w:val="clear" w:color="auto" w:fill="auto"/>
            <w:vAlign w:val="center"/>
          </w:tcPr>
          <w:p w14:paraId="31505813"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同业拆入利息支出</w:t>
            </w:r>
          </w:p>
        </w:tc>
        <w:tc>
          <w:tcPr>
            <w:tcW w:w="2074" w:type="dxa"/>
            <w:shd w:val="clear" w:color="auto" w:fill="auto"/>
            <w:vAlign w:val="center"/>
          </w:tcPr>
          <w:p w14:paraId="724F90E3"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(113)</w:t>
            </w:r>
          </w:p>
        </w:tc>
        <w:tc>
          <w:tcPr>
            <w:tcW w:w="2074" w:type="dxa"/>
            <w:shd w:val="clear" w:color="auto" w:fill="auto"/>
            <w:vAlign w:val="center"/>
          </w:tcPr>
          <w:p w14:paraId="7176594F"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(537)</w:t>
            </w:r>
          </w:p>
        </w:tc>
        <w:tc>
          <w:tcPr>
            <w:tcW w:w="2072" w:type="dxa"/>
            <w:shd w:val="clear" w:color="auto" w:fill="auto"/>
            <w:vAlign w:val="center"/>
          </w:tcPr>
          <w:p w14:paraId="644D2DD9"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(1,460)</w:t>
            </w:r>
          </w:p>
        </w:tc>
      </w:tr>
      <w:tr w:rsidR="00DE1B44" w14:paraId="568CC8BA" w14:textId="77777777">
        <w:trPr>
          <w:trHeight w:val="397"/>
          <w:jc w:val="center"/>
        </w:trPr>
        <w:tc>
          <w:tcPr>
            <w:tcW w:w="2796" w:type="dxa"/>
            <w:shd w:val="clear" w:color="auto" w:fill="auto"/>
            <w:vAlign w:val="center"/>
          </w:tcPr>
          <w:p w14:paraId="07583147"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卖出回购利息支出</w:t>
            </w:r>
          </w:p>
        </w:tc>
        <w:tc>
          <w:tcPr>
            <w:tcW w:w="2074" w:type="dxa"/>
            <w:shd w:val="clear" w:color="auto" w:fill="auto"/>
            <w:vAlign w:val="center"/>
          </w:tcPr>
          <w:p w14:paraId="5D671E46"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(260)</w:t>
            </w:r>
          </w:p>
        </w:tc>
        <w:tc>
          <w:tcPr>
            <w:tcW w:w="2074" w:type="dxa"/>
            <w:shd w:val="clear" w:color="auto" w:fill="auto"/>
            <w:vAlign w:val="center"/>
          </w:tcPr>
          <w:p w14:paraId="58014715"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(910)</w:t>
            </w:r>
          </w:p>
        </w:tc>
        <w:tc>
          <w:tcPr>
            <w:tcW w:w="2072" w:type="dxa"/>
            <w:shd w:val="clear" w:color="auto" w:fill="auto"/>
            <w:vAlign w:val="center"/>
          </w:tcPr>
          <w:p w14:paraId="4410E0CC" w14:textId="77777777" w:rsidR="00DE1B44" w:rsidRDefault="00D40582">
            <w:pPr>
              <w:spacing w:beforeLines="0" w:before="0" w:line="240" w:lineRule="auto"/>
              <w:ind w:firstLineChars="0" w:firstLine="0"/>
              <w:jc w:val="right"/>
              <w:rPr>
                <w:rFonts w:ascii="Times New Roman" w:hAnsi="Times New Roman" w:cs="Times New Roman"/>
                <w:color w:val="000000"/>
                <w:sz w:val="21"/>
                <w:szCs w:val="21"/>
              </w:rPr>
            </w:pPr>
            <w:r>
              <w:rPr>
                <w:rFonts w:ascii="Times New Roman" w:hAnsi="Times New Roman" w:cs="Times New Roman"/>
                <w:color w:val="000000"/>
                <w:sz w:val="21"/>
                <w:szCs w:val="21"/>
              </w:rPr>
              <w:t>(1,362)</w:t>
            </w:r>
          </w:p>
        </w:tc>
      </w:tr>
      <w:tr w:rsidR="00DE1B44" w14:paraId="6904CFEC" w14:textId="77777777">
        <w:trPr>
          <w:trHeight w:val="397"/>
          <w:jc w:val="center"/>
        </w:trPr>
        <w:tc>
          <w:tcPr>
            <w:tcW w:w="2796" w:type="dxa"/>
            <w:shd w:val="clear" w:color="auto" w:fill="auto"/>
            <w:vAlign w:val="center"/>
          </w:tcPr>
          <w:p w14:paraId="71FD6082" w14:textId="77777777" w:rsidR="00DE1B44" w:rsidRDefault="00D40582">
            <w:pPr>
              <w:spacing w:beforeLines="0" w:before="0" w:line="240" w:lineRule="auto"/>
              <w:ind w:firstLineChars="0" w:firstLine="0"/>
              <w:rPr>
                <w:rFonts w:ascii="Times New Roman" w:hAnsi="Times New Roman" w:cs="Times New Roman"/>
                <w:b/>
                <w:bCs/>
                <w:sz w:val="21"/>
                <w:szCs w:val="21"/>
              </w:rPr>
            </w:pPr>
            <w:r>
              <w:rPr>
                <w:rFonts w:ascii="Times New Roman" w:hAnsi="Times New Roman" w:cs="Times New Roman"/>
                <w:b/>
                <w:bCs/>
                <w:sz w:val="21"/>
                <w:szCs w:val="21"/>
              </w:rPr>
              <w:t>利息支出</w:t>
            </w:r>
          </w:p>
        </w:tc>
        <w:tc>
          <w:tcPr>
            <w:tcW w:w="2074" w:type="dxa"/>
            <w:shd w:val="clear" w:color="auto" w:fill="auto"/>
            <w:vAlign w:val="center"/>
          </w:tcPr>
          <w:p w14:paraId="206C4C5F"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(35,693)</w:t>
            </w:r>
          </w:p>
        </w:tc>
        <w:tc>
          <w:tcPr>
            <w:tcW w:w="2074" w:type="dxa"/>
            <w:shd w:val="clear" w:color="auto" w:fill="auto"/>
            <w:vAlign w:val="center"/>
          </w:tcPr>
          <w:p w14:paraId="75BA96C6"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(64,995)</w:t>
            </w:r>
          </w:p>
        </w:tc>
        <w:tc>
          <w:tcPr>
            <w:tcW w:w="2072" w:type="dxa"/>
            <w:shd w:val="clear" w:color="auto" w:fill="auto"/>
            <w:vAlign w:val="center"/>
          </w:tcPr>
          <w:p w14:paraId="123727F6"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(60,602)</w:t>
            </w:r>
          </w:p>
        </w:tc>
      </w:tr>
      <w:tr w:rsidR="00DE1B44" w14:paraId="4ED4F0CA" w14:textId="77777777">
        <w:trPr>
          <w:trHeight w:val="397"/>
          <w:jc w:val="center"/>
        </w:trPr>
        <w:tc>
          <w:tcPr>
            <w:tcW w:w="2796" w:type="dxa"/>
            <w:shd w:val="clear" w:color="auto" w:fill="auto"/>
            <w:vAlign w:val="center"/>
          </w:tcPr>
          <w:p w14:paraId="78A97C7A" w14:textId="77777777" w:rsidR="00DE1B44" w:rsidRDefault="00D40582">
            <w:pPr>
              <w:spacing w:beforeLines="0" w:before="0" w:line="240" w:lineRule="auto"/>
              <w:ind w:firstLineChars="0" w:firstLine="0"/>
              <w:rPr>
                <w:rFonts w:ascii="Times New Roman" w:hAnsi="Times New Roman" w:cs="Times New Roman"/>
                <w:b/>
                <w:bCs/>
                <w:sz w:val="21"/>
                <w:szCs w:val="21"/>
              </w:rPr>
            </w:pPr>
            <w:r>
              <w:rPr>
                <w:rFonts w:ascii="Times New Roman" w:hAnsi="Times New Roman" w:cs="Times New Roman"/>
                <w:b/>
                <w:bCs/>
                <w:sz w:val="21"/>
                <w:szCs w:val="21"/>
              </w:rPr>
              <w:t>利息净收入</w:t>
            </w:r>
          </w:p>
        </w:tc>
        <w:tc>
          <w:tcPr>
            <w:tcW w:w="2074" w:type="dxa"/>
            <w:shd w:val="clear" w:color="auto" w:fill="auto"/>
            <w:vAlign w:val="center"/>
          </w:tcPr>
          <w:p w14:paraId="19195C2B"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28,157</w:t>
            </w:r>
          </w:p>
        </w:tc>
        <w:tc>
          <w:tcPr>
            <w:tcW w:w="2074" w:type="dxa"/>
            <w:shd w:val="clear" w:color="auto" w:fill="auto"/>
            <w:vAlign w:val="center"/>
          </w:tcPr>
          <w:p w14:paraId="7CF19D3B"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62,847</w:t>
            </w:r>
          </w:p>
        </w:tc>
        <w:tc>
          <w:tcPr>
            <w:tcW w:w="2072" w:type="dxa"/>
            <w:shd w:val="clear" w:color="auto" w:fill="auto"/>
            <w:vAlign w:val="center"/>
          </w:tcPr>
          <w:p w14:paraId="5C29E8CD" w14:textId="77777777" w:rsidR="00DE1B44" w:rsidRDefault="00D40582">
            <w:pPr>
              <w:spacing w:beforeLines="0" w:before="0" w:line="240" w:lineRule="auto"/>
              <w:ind w:firstLineChars="0" w:firstLine="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59,579</w:t>
            </w:r>
          </w:p>
        </w:tc>
      </w:tr>
    </w:tbl>
    <w:p w14:paraId="5A2659EF" w14:textId="77777777" w:rsidR="00DE1B44" w:rsidRDefault="00D40582">
      <w:pPr>
        <w:spacing w:beforeLines="0" w:before="0" w:line="240" w:lineRule="auto"/>
        <w:ind w:firstLineChars="0" w:firstLine="0"/>
        <w:jc w:val="left"/>
        <w:rPr>
          <w:rFonts w:cs="Times New Roman"/>
          <w:sz w:val="21"/>
          <w:szCs w:val="21"/>
        </w:rPr>
      </w:pPr>
      <w:r>
        <w:rPr>
          <w:rFonts w:cs="Times New Roman" w:hint="eastAsia"/>
          <w:sz w:val="21"/>
          <w:szCs w:val="21"/>
        </w:rPr>
        <w:t>注：金融资产投资包括按新金融工具准则列示的债权投资和其他债权投资。</w:t>
      </w:r>
    </w:p>
    <w:p w14:paraId="0C551CE4"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本行利息收入包括发放贷款和垫款利息收入、金融资产投资利息收入、存放中央银行款项利息收入、拆放同业利息收入、买入返售金融资产利息收入、存放同业利息收入。</w:t>
      </w: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，本行利息收入分别为</w:t>
      </w:r>
      <w:r>
        <w:rPr>
          <w:rFonts w:ascii="Times New Roman" w:hAnsi="Times New Roman"/>
        </w:rPr>
        <w:t>1,201.81</w:t>
      </w:r>
      <w:r>
        <w:rPr>
          <w:rFonts w:ascii="Times New Roman" w:hAnsi="Times New Roman"/>
        </w:rPr>
        <w:t>亿元</w:t>
      </w:r>
      <w:r>
        <w:rPr>
          <w:rFonts w:ascii="Times New Roman" w:hAnsi="Times New Roman" w:hint="eastAsia"/>
        </w:rPr>
        <w:t>、</w:t>
      </w:r>
      <w:r>
        <w:rPr>
          <w:rFonts w:ascii="Times New Roman" w:hAnsi="Times New Roman"/>
        </w:rPr>
        <w:t>1,278.42</w:t>
      </w:r>
      <w:r>
        <w:rPr>
          <w:rFonts w:ascii="Times New Roman" w:hAnsi="Times New Roman"/>
        </w:rPr>
        <w:t>亿元</w:t>
      </w:r>
      <w:r>
        <w:rPr>
          <w:rFonts w:ascii="Times New Roman" w:hAnsi="Times New Roman" w:hint="eastAsia"/>
        </w:rPr>
        <w:t>和</w:t>
      </w:r>
      <w:r>
        <w:rPr>
          <w:rFonts w:ascii="Times New Roman" w:hAnsi="Times New Roman" w:hint="eastAsia"/>
        </w:rPr>
        <w:t>6</w:t>
      </w:r>
      <w:r>
        <w:rPr>
          <w:rFonts w:ascii="Times New Roman" w:hAnsi="Times New Roman"/>
        </w:rPr>
        <w:t>38.50</w:t>
      </w:r>
      <w:r>
        <w:rPr>
          <w:rFonts w:ascii="Times New Roman" w:hAnsi="Times New Roman" w:hint="eastAsia"/>
        </w:rPr>
        <w:t>亿元</w:t>
      </w:r>
      <w:r>
        <w:rPr>
          <w:rFonts w:ascii="Times New Roman" w:hAnsi="Times New Roman"/>
        </w:rPr>
        <w:t>，</w:t>
      </w:r>
      <w:r>
        <w:rPr>
          <w:rFonts w:ascii="Times New Roman" w:hAnsi="Times New Roman"/>
        </w:rPr>
        <w:t>2020</w:t>
      </w:r>
      <w:r>
        <w:rPr>
          <w:rFonts w:ascii="Times New Roman" w:hAnsi="Times New Roman"/>
        </w:rPr>
        <w:t>年本行利息收入较上年同期增长</w:t>
      </w:r>
      <w:r>
        <w:rPr>
          <w:rFonts w:ascii="Times New Roman" w:hAnsi="Times New Roman"/>
        </w:rPr>
        <w:t>6.37%</w:t>
      </w:r>
      <w:r>
        <w:rPr>
          <w:rFonts w:ascii="Times New Roman" w:hAnsi="Times New Roman"/>
        </w:rPr>
        <w:t>，主要是一方面本行加大信贷资源投放，贷款规模稳步增长，另一方面高收益贷款效益释放，贷款业务利息收入增长较快。</w:t>
      </w:r>
    </w:p>
    <w:p w14:paraId="3841FBFE"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本行利息支出包括吸收存款利息支出、向中央银行借款利息支出、应付债券利息支出、同业存放利息支出、同业拆入利息支出、卖出回购金融资产款利息支出。</w:t>
      </w: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，本行利息支出分别为</w:t>
      </w:r>
      <w:r>
        <w:rPr>
          <w:rFonts w:ascii="Times New Roman" w:hAnsi="Times New Roman"/>
        </w:rPr>
        <w:t>606.02</w:t>
      </w:r>
      <w:r>
        <w:rPr>
          <w:rFonts w:ascii="Times New Roman" w:hAnsi="Times New Roman"/>
        </w:rPr>
        <w:t>亿元</w:t>
      </w:r>
      <w:r>
        <w:rPr>
          <w:rFonts w:ascii="Times New Roman" w:hAnsi="Times New Roman" w:hint="eastAsia"/>
        </w:rPr>
        <w:t>、</w:t>
      </w:r>
      <w:r>
        <w:rPr>
          <w:rFonts w:ascii="Times New Roman" w:hAnsi="Times New Roman"/>
        </w:rPr>
        <w:t>649.95</w:t>
      </w:r>
      <w:r>
        <w:rPr>
          <w:rFonts w:ascii="Times New Roman" w:hAnsi="Times New Roman"/>
        </w:rPr>
        <w:t>亿元</w:t>
      </w:r>
      <w:r>
        <w:rPr>
          <w:rFonts w:ascii="Times New Roman" w:hAnsi="Times New Roman" w:hint="eastAsia"/>
        </w:rPr>
        <w:t>和</w:t>
      </w:r>
      <w:r>
        <w:rPr>
          <w:rFonts w:ascii="Times New Roman" w:hAnsi="Times New Roman" w:hint="eastAsia"/>
        </w:rPr>
        <w:t>3</w:t>
      </w:r>
      <w:r>
        <w:rPr>
          <w:rFonts w:ascii="Times New Roman" w:hAnsi="Times New Roman"/>
        </w:rPr>
        <w:t>56.93</w:t>
      </w:r>
      <w:r>
        <w:rPr>
          <w:rFonts w:ascii="Times New Roman" w:hAnsi="Times New Roman" w:hint="eastAsia"/>
        </w:rPr>
        <w:t>亿元</w:t>
      </w:r>
      <w:r>
        <w:rPr>
          <w:rFonts w:ascii="Times New Roman" w:hAnsi="Times New Roman"/>
        </w:rPr>
        <w:t>，</w:t>
      </w:r>
      <w:r>
        <w:rPr>
          <w:rFonts w:ascii="Times New Roman" w:hAnsi="Times New Roman"/>
        </w:rPr>
        <w:t>2020</w:t>
      </w:r>
      <w:r>
        <w:rPr>
          <w:rFonts w:ascii="Times New Roman" w:hAnsi="Times New Roman"/>
        </w:rPr>
        <w:t>年本行利息支出较上年同期增长</w:t>
      </w:r>
      <w:r>
        <w:rPr>
          <w:rFonts w:ascii="Times New Roman" w:hAnsi="Times New Roman"/>
        </w:rPr>
        <w:t>7.25%</w:t>
      </w:r>
      <w:r>
        <w:rPr>
          <w:rFonts w:ascii="Times New Roman" w:hAnsi="Times New Roman"/>
        </w:rPr>
        <w:t>，主要是一方面本行存款增长加快，存款利息支出相应增加，另一方面，受</w:t>
      </w:r>
      <w:proofErr w:type="gramStart"/>
      <w:r>
        <w:rPr>
          <w:rFonts w:ascii="Times New Roman" w:hAnsi="Times New Roman"/>
        </w:rPr>
        <w:t>多次降准</w:t>
      </w:r>
      <w:proofErr w:type="gramEnd"/>
      <w:r>
        <w:rPr>
          <w:rFonts w:ascii="Times New Roman" w:hAnsi="Times New Roman"/>
        </w:rPr>
        <w:t>影响，同业业务利率下行，利息支出相应减少。</w:t>
      </w:r>
    </w:p>
    <w:p w14:paraId="566D1CB5" w14:textId="77777777" w:rsidR="00DE1B44" w:rsidRDefault="00D40582">
      <w:pPr>
        <w:pStyle w:val="58"/>
        <w:spacing w:before="120"/>
        <w:ind w:firstLine="482"/>
        <w:rPr>
          <w:rFonts w:ascii="Times New Roman" w:hAnsi="Times New Roman"/>
        </w:rPr>
      </w:pPr>
      <w:r>
        <w:rPr>
          <w:rFonts w:ascii="Times New Roman" w:hAnsi="Times New Roman" w:hint="eastAsia"/>
        </w:rPr>
        <w:t>2</w:t>
      </w:r>
      <w:r>
        <w:rPr>
          <w:rFonts w:ascii="Times New Roman" w:hAnsi="Times New Roman" w:hint="eastAsia"/>
        </w:rPr>
        <w:t>、</w:t>
      </w:r>
      <w:r>
        <w:rPr>
          <w:rFonts w:ascii="Times New Roman" w:hAnsi="Times New Roman"/>
        </w:rPr>
        <w:t>手续费及佣金净收入</w:t>
      </w:r>
    </w:p>
    <w:p w14:paraId="32F33900"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报告期内，本行的手续费及佣金收入、手续费及佣金支出和手续费及佣金净收入如下表所示</w:t>
      </w:r>
      <w:r>
        <w:rPr>
          <w:rFonts w:ascii="Times New Roman" w:hAnsi="Times New Roman" w:hint="eastAsia"/>
        </w:rPr>
        <w:t>：</w:t>
      </w:r>
    </w:p>
    <w:p w14:paraId="37DE8865"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6"/>
        <w:gridCol w:w="2074"/>
        <w:gridCol w:w="2074"/>
        <w:gridCol w:w="2072"/>
      </w:tblGrid>
      <w:tr w:rsidR="00DE1B44" w14:paraId="505A05FC" w14:textId="77777777">
        <w:trPr>
          <w:trHeight w:val="397"/>
          <w:tblHeader/>
          <w:jc w:val="center"/>
        </w:trPr>
        <w:tc>
          <w:tcPr>
            <w:tcW w:w="2796" w:type="dxa"/>
            <w:shd w:val="clear" w:color="auto" w:fill="auto"/>
            <w:vAlign w:val="center"/>
          </w:tcPr>
          <w:p w14:paraId="6F236AE6"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项目</w:t>
            </w:r>
          </w:p>
        </w:tc>
        <w:tc>
          <w:tcPr>
            <w:tcW w:w="2074" w:type="dxa"/>
            <w:vAlign w:val="center"/>
          </w:tcPr>
          <w:p w14:paraId="3CC8DC16"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2</w:t>
            </w:r>
            <w:r>
              <w:rPr>
                <w:rFonts w:ascii="Times New Roman" w:hAnsi="Times New Roman" w:cs="Times New Roman"/>
                <w:b/>
                <w:bCs/>
                <w:sz w:val="21"/>
                <w:szCs w:val="21"/>
              </w:rPr>
              <w:t>021</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w:t>
            </w:r>
            <w:r>
              <w:rPr>
                <w:rFonts w:ascii="Times New Roman" w:hAnsi="Times New Roman" w:cs="Times New Roman"/>
                <w:b/>
                <w:bCs/>
                <w:sz w:val="21"/>
                <w:szCs w:val="21"/>
              </w:rPr>
              <w:t>-6</w:t>
            </w:r>
            <w:r>
              <w:rPr>
                <w:rFonts w:ascii="Times New Roman" w:hAnsi="Times New Roman" w:cs="Times New Roman" w:hint="eastAsia"/>
                <w:b/>
                <w:bCs/>
                <w:sz w:val="21"/>
                <w:szCs w:val="21"/>
              </w:rPr>
              <w:t>月</w:t>
            </w:r>
          </w:p>
        </w:tc>
        <w:tc>
          <w:tcPr>
            <w:tcW w:w="2074" w:type="dxa"/>
            <w:shd w:val="clear" w:color="auto" w:fill="auto"/>
            <w:vAlign w:val="center"/>
          </w:tcPr>
          <w:p w14:paraId="00B00C71"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2020</w:t>
            </w:r>
            <w:r>
              <w:rPr>
                <w:rFonts w:ascii="Times New Roman" w:hAnsi="Times New Roman" w:cs="Times New Roman"/>
                <w:b/>
                <w:bCs/>
                <w:sz w:val="21"/>
                <w:szCs w:val="21"/>
              </w:rPr>
              <w:t>年度</w:t>
            </w:r>
          </w:p>
        </w:tc>
        <w:tc>
          <w:tcPr>
            <w:tcW w:w="2072" w:type="dxa"/>
            <w:shd w:val="clear" w:color="auto" w:fill="auto"/>
            <w:vAlign w:val="center"/>
          </w:tcPr>
          <w:p w14:paraId="7CD9F35C"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2019</w:t>
            </w:r>
            <w:r>
              <w:rPr>
                <w:rFonts w:ascii="Times New Roman" w:hAnsi="Times New Roman" w:cs="Times New Roman"/>
                <w:b/>
                <w:bCs/>
                <w:sz w:val="21"/>
                <w:szCs w:val="21"/>
              </w:rPr>
              <w:t>年度</w:t>
            </w:r>
          </w:p>
        </w:tc>
      </w:tr>
      <w:tr w:rsidR="00DE1B44" w14:paraId="2C5C229C" w14:textId="77777777">
        <w:trPr>
          <w:trHeight w:val="397"/>
          <w:jc w:val="center"/>
        </w:trPr>
        <w:tc>
          <w:tcPr>
            <w:tcW w:w="2796" w:type="dxa"/>
            <w:shd w:val="clear" w:color="auto" w:fill="auto"/>
            <w:vAlign w:val="center"/>
          </w:tcPr>
          <w:p w14:paraId="28A479C7" w14:textId="77777777" w:rsidR="00DE1B44" w:rsidRDefault="00D40582">
            <w:pPr>
              <w:widowControl w:val="0"/>
              <w:spacing w:beforeLines="0" w:before="0" w:line="240" w:lineRule="auto"/>
              <w:ind w:firstLineChars="0" w:firstLine="0"/>
              <w:rPr>
                <w:rFonts w:ascii="Times New Roman" w:hAnsi="Times New Roman" w:cs="Times New Roman"/>
                <w:kern w:val="2"/>
                <w:sz w:val="21"/>
              </w:rPr>
            </w:pPr>
            <w:r>
              <w:rPr>
                <w:rFonts w:ascii="Times New Roman" w:hAnsi="Times New Roman" w:cs="Times New Roman"/>
                <w:kern w:val="2"/>
                <w:sz w:val="21"/>
              </w:rPr>
              <w:lastRenderedPageBreak/>
              <w:t>银行卡手续费收入</w:t>
            </w:r>
          </w:p>
        </w:tc>
        <w:tc>
          <w:tcPr>
            <w:tcW w:w="2074" w:type="dxa"/>
            <w:shd w:val="clear" w:color="auto" w:fill="auto"/>
            <w:vAlign w:val="center"/>
          </w:tcPr>
          <w:p w14:paraId="48E089FB"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eastAsia="等线" w:hAnsi="Times New Roman" w:cs="Times New Roman"/>
                <w:color w:val="000000"/>
                <w:sz w:val="21"/>
                <w:szCs w:val="21"/>
              </w:rPr>
              <w:t>5,761</w:t>
            </w:r>
          </w:p>
        </w:tc>
        <w:tc>
          <w:tcPr>
            <w:tcW w:w="2074" w:type="dxa"/>
            <w:shd w:val="clear" w:color="auto" w:fill="auto"/>
            <w:vAlign w:val="center"/>
          </w:tcPr>
          <w:p w14:paraId="691A2EFC"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11,624</w:t>
            </w:r>
          </w:p>
        </w:tc>
        <w:tc>
          <w:tcPr>
            <w:tcW w:w="2072" w:type="dxa"/>
            <w:shd w:val="clear" w:color="auto" w:fill="auto"/>
            <w:vAlign w:val="center"/>
          </w:tcPr>
          <w:p w14:paraId="2C895A5B"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10,428</w:t>
            </w:r>
          </w:p>
        </w:tc>
      </w:tr>
      <w:tr w:rsidR="00DE1B44" w14:paraId="05F56B48" w14:textId="77777777">
        <w:trPr>
          <w:trHeight w:val="397"/>
          <w:jc w:val="center"/>
        </w:trPr>
        <w:tc>
          <w:tcPr>
            <w:tcW w:w="2796" w:type="dxa"/>
            <w:shd w:val="clear" w:color="auto" w:fill="auto"/>
            <w:vAlign w:val="center"/>
          </w:tcPr>
          <w:p w14:paraId="65A8946F" w14:textId="77777777" w:rsidR="00DE1B44" w:rsidRDefault="00D40582">
            <w:pPr>
              <w:widowControl w:val="0"/>
              <w:spacing w:beforeLines="0" w:before="0" w:line="240" w:lineRule="auto"/>
              <w:ind w:firstLineChars="0" w:firstLine="0"/>
              <w:rPr>
                <w:rFonts w:ascii="Times New Roman" w:hAnsi="Times New Roman" w:cs="Times New Roman"/>
                <w:kern w:val="2"/>
                <w:sz w:val="21"/>
              </w:rPr>
            </w:pPr>
            <w:r>
              <w:rPr>
                <w:rFonts w:ascii="Times New Roman" w:hAnsi="Times New Roman" w:cs="Times New Roman"/>
                <w:kern w:val="2"/>
                <w:sz w:val="21"/>
              </w:rPr>
              <w:t>代理业务手续费收入</w:t>
            </w:r>
          </w:p>
        </w:tc>
        <w:tc>
          <w:tcPr>
            <w:tcW w:w="2074" w:type="dxa"/>
            <w:shd w:val="clear" w:color="auto" w:fill="auto"/>
            <w:vAlign w:val="center"/>
          </w:tcPr>
          <w:p w14:paraId="0F535765"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eastAsia="等线" w:hAnsi="Times New Roman" w:cs="Times New Roman"/>
                <w:color w:val="000000"/>
                <w:sz w:val="21"/>
                <w:szCs w:val="21"/>
              </w:rPr>
              <w:t>624</w:t>
            </w:r>
          </w:p>
        </w:tc>
        <w:tc>
          <w:tcPr>
            <w:tcW w:w="2074" w:type="dxa"/>
            <w:shd w:val="clear" w:color="auto" w:fill="auto"/>
            <w:vAlign w:val="center"/>
          </w:tcPr>
          <w:p w14:paraId="0B4C74D8"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1,455</w:t>
            </w:r>
          </w:p>
        </w:tc>
        <w:tc>
          <w:tcPr>
            <w:tcW w:w="2072" w:type="dxa"/>
            <w:shd w:val="clear" w:color="auto" w:fill="auto"/>
            <w:vAlign w:val="center"/>
          </w:tcPr>
          <w:p w14:paraId="0F2B29F6"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1,115</w:t>
            </w:r>
          </w:p>
        </w:tc>
      </w:tr>
      <w:tr w:rsidR="00DE1B44" w14:paraId="34A1D42B" w14:textId="77777777">
        <w:trPr>
          <w:trHeight w:val="397"/>
          <w:jc w:val="center"/>
        </w:trPr>
        <w:tc>
          <w:tcPr>
            <w:tcW w:w="2796" w:type="dxa"/>
            <w:shd w:val="clear" w:color="auto" w:fill="auto"/>
            <w:vAlign w:val="center"/>
          </w:tcPr>
          <w:p w14:paraId="33216360" w14:textId="77777777" w:rsidR="00DE1B44" w:rsidRDefault="00D40582">
            <w:pPr>
              <w:widowControl w:val="0"/>
              <w:spacing w:beforeLines="0" w:before="0" w:line="240" w:lineRule="auto"/>
              <w:ind w:firstLineChars="0" w:firstLine="0"/>
              <w:rPr>
                <w:rFonts w:ascii="Times New Roman" w:hAnsi="Times New Roman" w:cs="Times New Roman"/>
                <w:kern w:val="2"/>
                <w:sz w:val="21"/>
              </w:rPr>
            </w:pPr>
            <w:r>
              <w:rPr>
                <w:rFonts w:ascii="Times New Roman" w:hAnsi="Times New Roman" w:cs="Times New Roman"/>
                <w:kern w:val="2"/>
                <w:sz w:val="21"/>
              </w:rPr>
              <w:t>托管业务手续费收入</w:t>
            </w:r>
          </w:p>
        </w:tc>
        <w:tc>
          <w:tcPr>
            <w:tcW w:w="2074" w:type="dxa"/>
            <w:shd w:val="clear" w:color="auto" w:fill="auto"/>
            <w:vAlign w:val="center"/>
          </w:tcPr>
          <w:p w14:paraId="22EE38E3"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eastAsia="等线" w:hAnsi="Times New Roman" w:cs="Times New Roman"/>
                <w:color w:val="000000"/>
                <w:sz w:val="21"/>
                <w:szCs w:val="21"/>
              </w:rPr>
              <w:t>325</w:t>
            </w:r>
          </w:p>
        </w:tc>
        <w:tc>
          <w:tcPr>
            <w:tcW w:w="2074" w:type="dxa"/>
            <w:shd w:val="clear" w:color="auto" w:fill="auto"/>
            <w:vAlign w:val="center"/>
          </w:tcPr>
          <w:p w14:paraId="28091C3B"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638</w:t>
            </w:r>
          </w:p>
        </w:tc>
        <w:tc>
          <w:tcPr>
            <w:tcW w:w="2072" w:type="dxa"/>
            <w:shd w:val="clear" w:color="auto" w:fill="auto"/>
            <w:vAlign w:val="center"/>
          </w:tcPr>
          <w:p w14:paraId="008CCD04"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596</w:t>
            </w:r>
          </w:p>
        </w:tc>
      </w:tr>
      <w:tr w:rsidR="00DE1B44" w14:paraId="0789EEB7" w14:textId="77777777">
        <w:trPr>
          <w:trHeight w:val="397"/>
          <w:jc w:val="center"/>
        </w:trPr>
        <w:tc>
          <w:tcPr>
            <w:tcW w:w="2796" w:type="dxa"/>
            <w:shd w:val="clear" w:color="auto" w:fill="auto"/>
            <w:vAlign w:val="center"/>
          </w:tcPr>
          <w:p w14:paraId="3F553490" w14:textId="77777777" w:rsidR="00DE1B44" w:rsidRDefault="00D40582">
            <w:pPr>
              <w:widowControl w:val="0"/>
              <w:spacing w:beforeLines="0" w:before="0" w:line="240" w:lineRule="auto"/>
              <w:ind w:firstLineChars="0" w:firstLine="0"/>
              <w:rPr>
                <w:rFonts w:ascii="Times New Roman" w:hAnsi="Times New Roman" w:cs="Times New Roman"/>
                <w:kern w:val="2"/>
                <w:sz w:val="21"/>
              </w:rPr>
            </w:pPr>
            <w:r>
              <w:rPr>
                <w:rFonts w:ascii="Times New Roman" w:hAnsi="Times New Roman" w:cs="Times New Roman"/>
                <w:kern w:val="2"/>
                <w:sz w:val="21"/>
              </w:rPr>
              <w:t>承销债券手续费收入</w:t>
            </w:r>
          </w:p>
        </w:tc>
        <w:tc>
          <w:tcPr>
            <w:tcW w:w="2074" w:type="dxa"/>
            <w:shd w:val="clear" w:color="auto" w:fill="auto"/>
            <w:vAlign w:val="center"/>
          </w:tcPr>
          <w:p w14:paraId="42CE4D78"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eastAsia="等线" w:hAnsi="Times New Roman" w:cs="Times New Roman"/>
                <w:color w:val="000000"/>
                <w:sz w:val="21"/>
                <w:szCs w:val="21"/>
              </w:rPr>
              <w:t>293</w:t>
            </w:r>
          </w:p>
        </w:tc>
        <w:tc>
          <w:tcPr>
            <w:tcW w:w="2074" w:type="dxa"/>
            <w:shd w:val="clear" w:color="auto" w:fill="auto"/>
            <w:vAlign w:val="center"/>
          </w:tcPr>
          <w:p w14:paraId="7F7ECBF5"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624</w:t>
            </w:r>
          </w:p>
        </w:tc>
        <w:tc>
          <w:tcPr>
            <w:tcW w:w="2072" w:type="dxa"/>
            <w:shd w:val="clear" w:color="auto" w:fill="auto"/>
            <w:vAlign w:val="center"/>
          </w:tcPr>
          <w:p w14:paraId="3E636E44"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435</w:t>
            </w:r>
          </w:p>
        </w:tc>
      </w:tr>
      <w:tr w:rsidR="00DE1B44" w14:paraId="0AEC55F5" w14:textId="77777777">
        <w:trPr>
          <w:trHeight w:val="397"/>
          <w:jc w:val="center"/>
        </w:trPr>
        <w:tc>
          <w:tcPr>
            <w:tcW w:w="2796" w:type="dxa"/>
            <w:shd w:val="clear" w:color="auto" w:fill="auto"/>
            <w:vAlign w:val="center"/>
          </w:tcPr>
          <w:p w14:paraId="519784F2" w14:textId="77777777" w:rsidR="00DE1B44" w:rsidRDefault="00D40582">
            <w:pPr>
              <w:widowControl w:val="0"/>
              <w:spacing w:beforeLines="0" w:before="0" w:line="240" w:lineRule="auto"/>
              <w:ind w:firstLineChars="0" w:firstLine="0"/>
              <w:rPr>
                <w:rFonts w:ascii="Times New Roman" w:hAnsi="Times New Roman" w:cs="Times New Roman"/>
                <w:kern w:val="2"/>
                <w:sz w:val="21"/>
              </w:rPr>
            </w:pPr>
            <w:r>
              <w:rPr>
                <w:rFonts w:ascii="Times New Roman" w:hAnsi="Times New Roman" w:cs="Times New Roman"/>
                <w:kern w:val="2"/>
                <w:sz w:val="21"/>
              </w:rPr>
              <w:t>理财产品业务收入</w:t>
            </w:r>
          </w:p>
        </w:tc>
        <w:tc>
          <w:tcPr>
            <w:tcW w:w="2074" w:type="dxa"/>
            <w:shd w:val="clear" w:color="auto" w:fill="auto"/>
            <w:vAlign w:val="center"/>
          </w:tcPr>
          <w:p w14:paraId="3CD42709"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eastAsia="等线" w:hAnsi="Times New Roman" w:cs="Times New Roman"/>
                <w:color w:val="000000"/>
                <w:sz w:val="21"/>
                <w:szCs w:val="21"/>
              </w:rPr>
              <w:t>132</w:t>
            </w:r>
          </w:p>
        </w:tc>
        <w:tc>
          <w:tcPr>
            <w:tcW w:w="2074" w:type="dxa"/>
            <w:shd w:val="clear" w:color="auto" w:fill="auto"/>
            <w:vAlign w:val="center"/>
          </w:tcPr>
          <w:p w14:paraId="31EA460F"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504</w:t>
            </w:r>
          </w:p>
        </w:tc>
        <w:tc>
          <w:tcPr>
            <w:tcW w:w="2072" w:type="dxa"/>
            <w:shd w:val="clear" w:color="auto" w:fill="auto"/>
            <w:vAlign w:val="center"/>
          </w:tcPr>
          <w:p w14:paraId="038E735D"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434</w:t>
            </w:r>
          </w:p>
        </w:tc>
      </w:tr>
      <w:tr w:rsidR="00DE1B44" w14:paraId="308CB563" w14:textId="77777777">
        <w:trPr>
          <w:trHeight w:val="397"/>
          <w:jc w:val="center"/>
        </w:trPr>
        <w:tc>
          <w:tcPr>
            <w:tcW w:w="2796" w:type="dxa"/>
            <w:shd w:val="clear" w:color="auto" w:fill="auto"/>
            <w:vAlign w:val="center"/>
          </w:tcPr>
          <w:p w14:paraId="27AA6110" w14:textId="77777777" w:rsidR="00DE1B44" w:rsidRDefault="00D40582">
            <w:pPr>
              <w:widowControl w:val="0"/>
              <w:spacing w:beforeLines="0" w:before="0" w:line="240" w:lineRule="auto"/>
              <w:ind w:firstLineChars="0" w:firstLine="0"/>
              <w:rPr>
                <w:rFonts w:ascii="Times New Roman" w:hAnsi="Times New Roman" w:cs="Times New Roman"/>
                <w:kern w:val="2"/>
                <w:sz w:val="21"/>
              </w:rPr>
            </w:pPr>
            <w:r>
              <w:rPr>
                <w:rFonts w:ascii="Times New Roman" w:hAnsi="Times New Roman" w:cs="Times New Roman"/>
                <w:kern w:val="2"/>
                <w:sz w:val="21"/>
              </w:rPr>
              <w:t>担保与承诺手续费收入</w:t>
            </w:r>
          </w:p>
        </w:tc>
        <w:tc>
          <w:tcPr>
            <w:tcW w:w="2074" w:type="dxa"/>
            <w:shd w:val="clear" w:color="auto" w:fill="auto"/>
            <w:vAlign w:val="center"/>
          </w:tcPr>
          <w:p w14:paraId="4E5A5A1C"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eastAsia="等线" w:hAnsi="Times New Roman" w:cs="Times New Roman"/>
                <w:color w:val="000000"/>
                <w:sz w:val="21"/>
                <w:szCs w:val="21"/>
              </w:rPr>
              <w:t>250</w:t>
            </w:r>
          </w:p>
        </w:tc>
        <w:tc>
          <w:tcPr>
            <w:tcW w:w="2074" w:type="dxa"/>
            <w:shd w:val="clear" w:color="auto" w:fill="auto"/>
            <w:vAlign w:val="center"/>
          </w:tcPr>
          <w:p w14:paraId="7B3FBFF5"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414</w:t>
            </w:r>
          </w:p>
        </w:tc>
        <w:tc>
          <w:tcPr>
            <w:tcW w:w="2072" w:type="dxa"/>
            <w:shd w:val="clear" w:color="auto" w:fill="auto"/>
            <w:vAlign w:val="center"/>
          </w:tcPr>
          <w:p w14:paraId="57B40766"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325</w:t>
            </w:r>
          </w:p>
        </w:tc>
      </w:tr>
      <w:tr w:rsidR="00DE1B44" w14:paraId="3DE540A7" w14:textId="77777777">
        <w:trPr>
          <w:trHeight w:val="397"/>
          <w:jc w:val="center"/>
        </w:trPr>
        <w:tc>
          <w:tcPr>
            <w:tcW w:w="2796" w:type="dxa"/>
            <w:shd w:val="clear" w:color="auto" w:fill="auto"/>
            <w:vAlign w:val="center"/>
          </w:tcPr>
          <w:p w14:paraId="21176EEF" w14:textId="77777777" w:rsidR="00DE1B44" w:rsidRDefault="00D40582">
            <w:pPr>
              <w:widowControl w:val="0"/>
              <w:spacing w:beforeLines="0" w:before="0" w:line="240" w:lineRule="auto"/>
              <w:ind w:firstLineChars="0" w:firstLine="0"/>
              <w:rPr>
                <w:rFonts w:ascii="Times New Roman" w:hAnsi="Times New Roman" w:cs="Times New Roman"/>
                <w:kern w:val="2"/>
                <w:sz w:val="21"/>
              </w:rPr>
            </w:pPr>
            <w:r>
              <w:rPr>
                <w:rFonts w:ascii="Times New Roman" w:hAnsi="Times New Roman" w:cs="Times New Roman"/>
                <w:kern w:val="2"/>
                <w:sz w:val="21"/>
              </w:rPr>
              <w:t>结算与清算手续费收入</w:t>
            </w:r>
          </w:p>
        </w:tc>
        <w:tc>
          <w:tcPr>
            <w:tcW w:w="2074" w:type="dxa"/>
            <w:shd w:val="clear" w:color="auto" w:fill="auto"/>
            <w:vAlign w:val="center"/>
          </w:tcPr>
          <w:p w14:paraId="1B0783BE"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eastAsia="等线" w:hAnsi="Times New Roman" w:cs="Times New Roman"/>
                <w:color w:val="000000"/>
                <w:sz w:val="21"/>
                <w:szCs w:val="21"/>
              </w:rPr>
              <w:t>280</w:t>
            </w:r>
          </w:p>
        </w:tc>
        <w:tc>
          <w:tcPr>
            <w:tcW w:w="2074" w:type="dxa"/>
            <w:shd w:val="clear" w:color="auto" w:fill="auto"/>
            <w:vAlign w:val="center"/>
          </w:tcPr>
          <w:p w14:paraId="0A55DD5A"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324</w:t>
            </w:r>
          </w:p>
        </w:tc>
        <w:tc>
          <w:tcPr>
            <w:tcW w:w="2072" w:type="dxa"/>
            <w:shd w:val="clear" w:color="auto" w:fill="auto"/>
            <w:vAlign w:val="center"/>
          </w:tcPr>
          <w:p w14:paraId="1B198A8F"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364</w:t>
            </w:r>
          </w:p>
        </w:tc>
      </w:tr>
      <w:tr w:rsidR="00DE1B44" w14:paraId="126DC161" w14:textId="77777777">
        <w:trPr>
          <w:trHeight w:val="397"/>
          <w:jc w:val="center"/>
        </w:trPr>
        <w:tc>
          <w:tcPr>
            <w:tcW w:w="2796" w:type="dxa"/>
            <w:shd w:val="clear" w:color="auto" w:fill="auto"/>
            <w:vAlign w:val="center"/>
          </w:tcPr>
          <w:p w14:paraId="1EEE230F" w14:textId="77777777" w:rsidR="00DE1B44" w:rsidRDefault="00D40582">
            <w:pPr>
              <w:widowControl w:val="0"/>
              <w:spacing w:beforeLines="0" w:before="0" w:line="240" w:lineRule="auto"/>
              <w:ind w:firstLineChars="0" w:firstLine="0"/>
              <w:rPr>
                <w:rFonts w:ascii="Times New Roman" w:hAnsi="Times New Roman" w:cs="Times New Roman"/>
                <w:kern w:val="2"/>
                <w:sz w:val="21"/>
              </w:rPr>
            </w:pPr>
            <w:r>
              <w:rPr>
                <w:rFonts w:ascii="Times New Roman" w:hAnsi="Times New Roman" w:cs="Times New Roman"/>
                <w:kern w:val="2"/>
                <w:sz w:val="21"/>
              </w:rPr>
              <w:t>顾问与咨询费收入</w:t>
            </w:r>
          </w:p>
        </w:tc>
        <w:tc>
          <w:tcPr>
            <w:tcW w:w="2074" w:type="dxa"/>
            <w:shd w:val="clear" w:color="auto" w:fill="auto"/>
            <w:vAlign w:val="center"/>
          </w:tcPr>
          <w:p w14:paraId="30C3A881"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eastAsia="等线" w:hAnsi="Times New Roman" w:cs="Times New Roman"/>
                <w:color w:val="000000"/>
                <w:sz w:val="21"/>
                <w:szCs w:val="21"/>
              </w:rPr>
              <w:t>113</w:t>
            </w:r>
          </w:p>
        </w:tc>
        <w:tc>
          <w:tcPr>
            <w:tcW w:w="2074" w:type="dxa"/>
            <w:shd w:val="clear" w:color="auto" w:fill="auto"/>
            <w:vAlign w:val="center"/>
          </w:tcPr>
          <w:p w14:paraId="5D241D3A"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148</w:t>
            </w:r>
          </w:p>
        </w:tc>
        <w:tc>
          <w:tcPr>
            <w:tcW w:w="2072" w:type="dxa"/>
            <w:shd w:val="clear" w:color="auto" w:fill="auto"/>
            <w:vAlign w:val="center"/>
          </w:tcPr>
          <w:p w14:paraId="4D821508"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142</w:t>
            </w:r>
          </w:p>
        </w:tc>
      </w:tr>
      <w:tr w:rsidR="00DE1B44" w14:paraId="27FE4C0F" w14:textId="77777777">
        <w:trPr>
          <w:trHeight w:val="397"/>
          <w:jc w:val="center"/>
        </w:trPr>
        <w:tc>
          <w:tcPr>
            <w:tcW w:w="2796" w:type="dxa"/>
            <w:shd w:val="clear" w:color="auto" w:fill="auto"/>
            <w:vAlign w:val="center"/>
          </w:tcPr>
          <w:p w14:paraId="17A0682E" w14:textId="77777777" w:rsidR="00DE1B44" w:rsidRDefault="00D40582">
            <w:pPr>
              <w:widowControl w:val="0"/>
              <w:spacing w:beforeLines="0" w:before="0" w:line="240" w:lineRule="auto"/>
              <w:ind w:firstLineChars="0" w:firstLine="0"/>
              <w:rPr>
                <w:rFonts w:ascii="Times New Roman" w:hAnsi="Times New Roman" w:cs="Times New Roman"/>
                <w:kern w:val="2"/>
                <w:sz w:val="21"/>
              </w:rPr>
            </w:pPr>
            <w:r>
              <w:rPr>
                <w:rFonts w:ascii="Times New Roman" w:hAnsi="Times New Roman" w:cs="Times New Roman"/>
                <w:kern w:val="2"/>
                <w:sz w:val="21"/>
              </w:rPr>
              <w:t>其他</w:t>
            </w:r>
          </w:p>
        </w:tc>
        <w:tc>
          <w:tcPr>
            <w:tcW w:w="2074" w:type="dxa"/>
            <w:shd w:val="clear" w:color="auto" w:fill="auto"/>
            <w:vAlign w:val="center"/>
          </w:tcPr>
          <w:p w14:paraId="7FC95A30"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eastAsia="等线" w:hAnsi="Times New Roman" w:cs="Times New Roman"/>
                <w:color w:val="000000"/>
                <w:sz w:val="21"/>
                <w:szCs w:val="21"/>
              </w:rPr>
              <w:t>41</w:t>
            </w:r>
          </w:p>
        </w:tc>
        <w:tc>
          <w:tcPr>
            <w:tcW w:w="2074" w:type="dxa"/>
            <w:shd w:val="clear" w:color="auto" w:fill="auto"/>
            <w:vAlign w:val="center"/>
          </w:tcPr>
          <w:p w14:paraId="6A95ED74"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86</w:t>
            </w:r>
          </w:p>
        </w:tc>
        <w:tc>
          <w:tcPr>
            <w:tcW w:w="2072" w:type="dxa"/>
            <w:shd w:val="clear" w:color="auto" w:fill="auto"/>
            <w:vAlign w:val="center"/>
          </w:tcPr>
          <w:p w14:paraId="14C36B76"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rPr>
            </w:pPr>
            <w:r>
              <w:rPr>
                <w:rFonts w:ascii="Times New Roman" w:hAnsi="Times New Roman" w:cs="Times New Roman"/>
                <w:kern w:val="2"/>
                <w:sz w:val="21"/>
              </w:rPr>
              <w:t>99</w:t>
            </w:r>
          </w:p>
        </w:tc>
      </w:tr>
      <w:tr w:rsidR="00DE1B44" w14:paraId="4EAA7318" w14:textId="77777777">
        <w:trPr>
          <w:trHeight w:val="397"/>
          <w:jc w:val="center"/>
        </w:trPr>
        <w:tc>
          <w:tcPr>
            <w:tcW w:w="2796" w:type="dxa"/>
            <w:shd w:val="clear" w:color="auto" w:fill="auto"/>
            <w:vAlign w:val="center"/>
          </w:tcPr>
          <w:p w14:paraId="61B8AC25" w14:textId="77777777" w:rsidR="00DE1B44" w:rsidRDefault="00D40582">
            <w:pPr>
              <w:widowControl w:val="0"/>
              <w:spacing w:beforeLines="0" w:before="0" w:line="240" w:lineRule="auto"/>
              <w:ind w:firstLineChars="0" w:firstLine="0"/>
              <w:rPr>
                <w:rFonts w:ascii="Times New Roman" w:hAnsi="Times New Roman" w:cs="Times New Roman"/>
                <w:b/>
                <w:bCs/>
                <w:kern w:val="2"/>
                <w:sz w:val="21"/>
              </w:rPr>
            </w:pPr>
            <w:r>
              <w:rPr>
                <w:rFonts w:ascii="Times New Roman" w:hAnsi="Times New Roman" w:cs="Times New Roman"/>
                <w:b/>
                <w:bCs/>
                <w:kern w:val="2"/>
                <w:sz w:val="21"/>
              </w:rPr>
              <w:t>手续费及佣金收入</w:t>
            </w:r>
          </w:p>
        </w:tc>
        <w:tc>
          <w:tcPr>
            <w:tcW w:w="2074" w:type="dxa"/>
            <w:shd w:val="clear" w:color="auto" w:fill="auto"/>
            <w:vAlign w:val="center"/>
          </w:tcPr>
          <w:p w14:paraId="04B0F956" w14:textId="77777777" w:rsidR="00DE1B44" w:rsidRDefault="00D40582">
            <w:pPr>
              <w:widowControl w:val="0"/>
              <w:spacing w:beforeLines="0" w:before="0" w:line="240" w:lineRule="auto"/>
              <w:ind w:firstLineChars="0" w:firstLine="0"/>
              <w:jc w:val="right"/>
              <w:rPr>
                <w:rFonts w:ascii="Times New Roman" w:hAnsi="Times New Roman" w:cs="Times New Roman"/>
                <w:b/>
                <w:bCs/>
                <w:color w:val="000000"/>
                <w:kern w:val="2"/>
                <w:sz w:val="21"/>
                <w:szCs w:val="21"/>
              </w:rPr>
            </w:pPr>
            <w:r>
              <w:rPr>
                <w:rFonts w:ascii="Times New Roman" w:eastAsia="等线" w:hAnsi="Times New Roman" w:cs="Times New Roman"/>
                <w:b/>
                <w:bCs/>
                <w:color w:val="000000"/>
                <w:sz w:val="21"/>
                <w:szCs w:val="21"/>
              </w:rPr>
              <w:t>7,819</w:t>
            </w:r>
          </w:p>
        </w:tc>
        <w:tc>
          <w:tcPr>
            <w:tcW w:w="2074" w:type="dxa"/>
            <w:shd w:val="clear" w:color="auto" w:fill="auto"/>
            <w:vAlign w:val="center"/>
          </w:tcPr>
          <w:p w14:paraId="145A0F51" w14:textId="77777777" w:rsidR="00DE1B44" w:rsidRDefault="00D40582">
            <w:pPr>
              <w:widowControl w:val="0"/>
              <w:spacing w:beforeLines="0" w:before="0" w:line="240"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15,818</w:t>
            </w:r>
          </w:p>
        </w:tc>
        <w:tc>
          <w:tcPr>
            <w:tcW w:w="2072" w:type="dxa"/>
            <w:shd w:val="clear" w:color="auto" w:fill="auto"/>
            <w:vAlign w:val="center"/>
          </w:tcPr>
          <w:p w14:paraId="5E0A5D4E" w14:textId="77777777" w:rsidR="00DE1B44" w:rsidRDefault="00D40582">
            <w:pPr>
              <w:widowControl w:val="0"/>
              <w:spacing w:beforeLines="0" w:before="0" w:line="240"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13,938</w:t>
            </w:r>
          </w:p>
        </w:tc>
      </w:tr>
      <w:tr w:rsidR="00DE1B44" w14:paraId="2427C1B4" w14:textId="77777777">
        <w:trPr>
          <w:trHeight w:val="397"/>
          <w:jc w:val="center"/>
        </w:trPr>
        <w:tc>
          <w:tcPr>
            <w:tcW w:w="2796" w:type="dxa"/>
            <w:shd w:val="clear" w:color="auto" w:fill="auto"/>
            <w:vAlign w:val="center"/>
          </w:tcPr>
          <w:p w14:paraId="7C0E3FEC" w14:textId="77777777" w:rsidR="00DE1B44" w:rsidRDefault="00D40582">
            <w:pPr>
              <w:widowControl w:val="0"/>
              <w:spacing w:beforeLines="0" w:before="0" w:line="240" w:lineRule="auto"/>
              <w:ind w:firstLineChars="0" w:firstLine="0"/>
              <w:rPr>
                <w:rFonts w:ascii="Times New Roman" w:hAnsi="Times New Roman" w:cs="Times New Roman"/>
                <w:kern w:val="2"/>
                <w:sz w:val="21"/>
              </w:rPr>
            </w:pPr>
            <w:r>
              <w:rPr>
                <w:rFonts w:ascii="Times New Roman" w:hAnsi="Times New Roman" w:cs="Times New Roman"/>
                <w:kern w:val="2"/>
                <w:sz w:val="21"/>
              </w:rPr>
              <w:t>银行卡手续费支出</w:t>
            </w:r>
          </w:p>
        </w:tc>
        <w:tc>
          <w:tcPr>
            <w:tcW w:w="2074" w:type="dxa"/>
            <w:shd w:val="clear" w:color="auto" w:fill="auto"/>
            <w:vAlign w:val="center"/>
          </w:tcPr>
          <w:p w14:paraId="49B749A1" w14:textId="77777777" w:rsidR="00DE1B44" w:rsidRDefault="00D40582">
            <w:pPr>
              <w:widowControl w:val="0"/>
              <w:spacing w:beforeLines="0" w:before="0" w:line="240"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(1,902)</w:t>
            </w:r>
          </w:p>
        </w:tc>
        <w:tc>
          <w:tcPr>
            <w:tcW w:w="2074" w:type="dxa"/>
            <w:shd w:val="clear" w:color="auto" w:fill="auto"/>
            <w:vAlign w:val="center"/>
          </w:tcPr>
          <w:p w14:paraId="179079EF" w14:textId="77777777" w:rsidR="00DE1B44" w:rsidRDefault="00D40582">
            <w:pPr>
              <w:widowControl w:val="0"/>
              <w:spacing w:beforeLines="0" w:before="0" w:line="240"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(3,725)</w:t>
            </w:r>
          </w:p>
        </w:tc>
        <w:tc>
          <w:tcPr>
            <w:tcW w:w="2072" w:type="dxa"/>
            <w:shd w:val="clear" w:color="auto" w:fill="auto"/>
            <w:vAlign w:val="center"/>
          </w:tcPr>
          <w:p w14:paraId="1CA29480" w14:textId="77777777" w:rsidR="00DE1B44" w:rsidRDefault="00D40582">
            <w:pPr>
              <w:widowControl w:val="0"/>
              <w:spacing w:beforeLines="0" w:before="0" w:line="240"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(3,915)</w:t>
            </w:r>
          </w:p>
        </w:tc>
      </w:tr>
      <w:tr w:rsidR="00DE1B44" w14:paraId="61ACE8D5" w14:textId="77777777">
        <w:trPr>
          <w:trHeight w:val="397"/>
          <w:jc w:val="center"/>
        </w:trPr>
        <w:tc>
          <w:tcPr>
            <w:tcW w:w="2796" w:type="dxa"/>
            <w:shd w:val="clear" w:color="auto" w:fill="auto"/>
            <w:vAlign w:val="center"/>
          </w:tcPr>
          <w:p w14:paraId="243EC9A5" w14:textId="77777777" w:rsidR="00DE1B44" w:rsidRDefault="00D40582">
            <w:pPr>
              <w:widowControl w:val="0"/>
              <w:spacing w:beforeLines="0" w:before="0" w:line="240" w:lineRule="auto"/>
              <w:ind w:firstLineChars="0" w:firstLine="0"/>
              <w:rPr>
                <w:rFonts w:ascii="Times New Roman" w:hAnsi="Times New Roman" w:cs="Times New Roman"/>
                <w:kern w:val="2"/>
                <w:sz w:val="21"/>
              </w:rPr>
            </w:pPr>
            <w:r>
              <w:rPr>
                <w:rFonts w:ascii="Times New Roman" w:hAnsi="Times New Roman" w:cs="Times New Roman"/>
                <w:kern w:val="2"/>
                <w:sz w:val="21"/>
              </w:rPr>
              <w:t>结算手续费支出</w:t>
            </w:r>
          </w:p>
        </w:tc>
        <w:tc>
          <w:tcPr>
            <w:tcW w:w="2074" w:type="dxa"/>
            <w:shd w:val="clear" w:color="auto" w:fill="auto"/>
            <w:vAlign w:val="center"/>
          </w:tcPr>
          <w:p w14:paraId="17CA7BB6" w14:textId="77777777" w:rsidR="00DE1B44" w:rsidRDefault="00D40582">
            <w:pPr>
              <w:widowControl w:val="0"/>
              <w:spacing w:beforeLines="0" w:before="0" w:line="240"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(120)</w:t>
            </w:r>
          </w:p>
        </w:tc>
        <w:tc>
          <w:tcPr>
            <w:tcW w:w="2074" w:type="dxa"/>
            <w:shd w:val="clear" w:color="auto" w:fill="auto"/>
            <w:vAlign w:val="center"/>
          </w:tcPr>
          <w:p w14:paraId="4DF8B482" w14:textId="77777777" w:rsidR="00DE1B44" w:rsidRDefault="00D40582">
            <w:pPr>
              <w:widowControl w:val="0"/>
              <w:spacing w:beforeLines="0" w:before="0" w:line="240"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(220)</w:t>
            </w:r>
          </w:p>
        </w:tc>
        <w:tc>
          <w:tcPr>
            <w:tcW w:w="2072" w:type="dxa"/>
            <w:shd w:val="clear" w:color="auto" w:fill="auto"/>
            <w:vAlign w:val="center"/>
          </w:tcPr>
          <w:p w14:paraId="5931AC54" w14:textId="77777777" w:rsidR="00DE1B44" w:rsidRDefault="00D40582">
            <w:pPr>
              <w:widowControl w:val="0"/>
              <w:spacing w:beforeLines="0" w:before="0" w:line="240"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(250)</w:t>
            </w:r>
          </w:p>
        </w:tc>
      </w:tr>
      <w:tr w:rsidR="00DE1B44" w14:paraId="3E1950A6" w14:textId="77777777">
        <w:trPr>
          <w:trHeight w:val="397"/>
          <w:jc w:val="center"/>
        </w:trPr>
        <w:tc>
          <w:tcPr>
            <w:tcW w:w="2796" w:type="dxa"/>
            <w:shd w:val="clear" w:color="auto" w:fill="auto"/>
            <w:vAlign w:val="center"/>
          </w:tcPr>
          <w:p w14:paraId="416D16CF" w14:textId="77777777" w:rsidR="00DE1B44" w:rsidRDefault="00D40582">
            <w:pPr>
              <w:widowControl w:val="0"/>
              <w:spacing w:beforeLines="0" w:before="0" w:line="240" w:lineRule="auto"/>
              <w:ind w:firstLineChars="0" w:firstLine="0"/>
              <w:rPr>
                <w:rFonts w:ascii="Times New Roman" w:hAnsi="Times New Roman" w:cs="Times New Roman"/>
                <w:kern w:val="2"/>
                <w:sz w:val="21"/>
              </w:rPr>
            </w:pPr>
            <w:r>
              <w:rPr>
                <w:rFonts w:ascii="Times New Roman" w:hAnsi="Times New Roman" w:cs="Times New Roman"/>
                <w:kern w:val="2"/>
                <w:sz w:val="21"/>
              </w:rPr>
              <w:t>委托代办手续费支出</w:t>
            </w:r>
          </w:p>
        </w:tc>
        <w:tc>
          <w:tcPr>
            <w:tcW w:w="2074" w:type="dxa"/>
            <w:shd w:val="clear" w:color="auto" w:fill="auto"/>
            <w:vAlign w:val="center"/>
          </w:tcPr>
          <w:p w14:paraId="1110DE77" w14:textId="77777777" w:rsidR="00DE1B44" w:rsidRDefault="00D40582">
            <w:pPr>
              <w:widowControl w:val="0"/>
              <w:spacing w:beforeLines="0" w:before="0" w:line="240"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(95)</w:t>
            </w:r>
          </w:p>
        </w:tc>
        <w:tc>
          <w:tcPr>
            <w:tcW w:w="2074" w:type="dxa"/>
            <w:shd w:val="clear" w:color="auto" w:fill="auto"/>
            <w:vAlign w:val="center"/>
          </w:tcPr>
          <w:p w14:paraId="4F3337D9" w14:textId="77777777" w:rsidR="00DE1B44" w:rsidRDefault="00D40582">
            <w:pPr>
              <w:widowControl w:val="0"/>
              <w:spacing w:beforeLines="0" w:before="0" w:line="240"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(153)</w:t>
            </w:r>
          </w:p>
        </w:tc>
        <w:tc>
          <w:tcPr>
            <w:tcW w:w="2072" w:type="dxa"/>
            <w:shd w:val="clear" w:color="auto" w:fill="auto"/>
            <w:vAlign w:val="center"/>
          </w:tcPr>
          <w:p w14:paraId="7AF257A5" w14:textId="77777777" w:rsidR="00DE1B44" w:rsidRDefault="00D40582">
            <w:pPr>
              <w:widowControl w:val="0"/>
              <w:spacing w:beforeLines="0" w:before="0" w:line="240"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(179)</w:t>
            </w:r>
          </w:p>
        </w:tc>
      </w:tr>
      <w:tr w:rsidR="00DE1B44" w14:paraId="24B2F106" w14:textId="77777777">
        <w:trPr>
          <w:trHeight w:val="397"/>
          <w:jc w:val="center"/>
        </w:trPr>
        <w:tc>
          <w:tcPr>
            <w:tcW w:w="2796" w:type="dxa"/>
            <w:shd w:val="clear" w:color="auto" w:fill="auto"/>
            <w:vAlign w:val="center"/>
          </w:tcPr>
          <w:p w14:paraId="6C37C5F2" w14:textId="77777777" w:rsidR="00DE1B44" w:rsidRDefault="00D40582">
            <w:pPr>
              <w:widowControl w:val="0"/>
              <w:spacing w:beforeLines="0" w:before="0" w:line="240" w:lineRule="auto"/>
              <w:ind w:firstLineChars="0" w:firstLine="0"/>
              <w:rPr>
                <w:rFonts w:ascii="Times New Roman" w:hAnsi="Times New Roman" w:cs="Times New Roman"/>
                <w:kern w:val="2"/>
                <w:sz w:val="21"/>
              </w:rPr>
            </w:pPr>
            <w:r>
              <w:rPr>
                <w:rFonts w:ascii="Times New Roman" w:hAnsi="Times New Roman" w:cs="Times New Roman"/>
                <w:kern w:val="2"/>
                <w:sz w:val="21"/>
              </w:rPr>
              <w:t>其他</w:t>
            </w:r>
          </w:p>
        </w:tc>
        <w:tc>
          <w:tcPr>
            <w:tcW w:w="2074" w:type="dxa"/>
            <w:shd w:val="clear" w:color="auto" w:fill="auto"/>
            <w:vAlign w:val="center"/>
          </w:tcPr>
          <w:p w14:paraId="32B1C65B" w14:textId="77777777" w:rsidR="00DE1B44" w:rsidRDefault="00D40582">
            <w:pPr>
              <w:widowControl w:val="0"/>
              <w:spacing w:beforeLines="0" w:before="0" w:line="240"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(226)</w:t>
            </w:r>
          </w:p>
        </w:tc>
        <w:tc>
          <w:tcPr>
            <w:tcW w:w="2074" w:type="dxa"/>
            <w:shd w:val="clear" w:color="auto" w:fill="auto"/>
            <w:vAlign w:val="center"/>
          </w:tcPr>
          <w:p w14:paraId="69136B32" w14:textId="77777777" w:rsidR="00DE1B44" w:rsidRDefault="00D40582">
            <w:pPr>
              <w:widowControl w:val="0"/>
              <w:spacing w:beforeLines="0" w:before="0" w:line="240"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(419)</w:t>
            </w:r>
          </w:p>
        </w:tc>
        <w:tc>
          <w:tcPr>
            <w:tcW w:w="2072" w:type="dxa"/>
            <w:shd w:val="clear" w:color="auto" w:fill="auto"/>
            <w:vAlign w:val="center"/>
          </w:tcPr>
          <w:p w14:paraId="29044AB6" w14:textId="77777777" w:rsidR="00DE1B44" w:rsidRDefault="00D40582">
            <w:pPr>
              <w:widowControl w:val="0"/>
              <w:spacing w:beforeLines="0" w:before="0" w:line="240"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(417)</w:t>
            </w:r>
          </w:p>
        </w:tc>
      </w:tr>
      <w:tr w:rsidR="00DE1B44" w14:paraId="5A0A09DB" w14:textId="77777777">
        <w:trPr>
          <w:trHeight w:val="397"/>
          <w:jc w:val="center"/>
        </w:trPr>
        <w:tc>
          <w:tcPr>
            <w:tcW w:w="2796" w:type="dxa"/>
            <w:shd w:val="clear" w:color="auto" w:fill="auto"/>
            <w:vAlign w:val="center"/>
          </w:tcPr>
          <w:p w14:paraId="7FD542E6" w14:textId="77777777" w:rsidR="00DE1B44" w:rsidRDefault="00D40582">
            <w:pPr>
              <w:widowControl w:val="0"/>
              <w:spacing w:beforeLines="0" w:before="0" w:line="240" w:lineRule="auto"/>
              <w:ind w:firstLineChars="0" w:firstLine="0"/>
              <w:rPr>
                <w:rFonts w:ascii="Times New Roman" w:hAnsi="Times New Roman" w:cs="Times New Roman"/>
                <w:b/>
                <w:bCs/>
                <w:kern w:val="2"/>
                <w:sz w:val="21"/>
              </w:rPr>
            </w:pPr>
            <w:r>
              <w:rPr>
                <w:rFonts w:ascii="Times New Roman" w:hAnsi="Times New Roman" w:cs="Times New Roman"/>
                <w:b/>
                <w:bCs/>
                <w:kern w:val="2"/>
                <w:sz w:val="21"/>
              </w:rPr>
              <w:t>手续费及佣金支出</w:t>
            </w:r>
          </w:p>
        </w:tc>
        <w:tc>
          <w:tcPr>
            <w:tcW w:w="2074" w:type="dxa"/>
            <w:shd w:val="clear" w:color="auto" w:fill="auto"/>
            <w:vAlign w:val="center"/>
          </w:tcPr>
          <w:p w14:paraId="33747BF3" w14:textId="77777777" w:rsidR="00DE1B44" w:rsidRDefault="00D40582">
            <w:pPr>
              <w:widowControl w:val="0"/>
              <w:spacing w:beforeLines="0" w:before="0" w:line="240" w:lineRule="auto"/>
              <w:ind w:firstLineChars="0" w:firstLine="0"/>
              <w:jc w:val="right"/>
              <w:rPr>
                <w:rFonts w:ascii="Times New Roman" w:hAnsi="Times New Roman" w:cs="Times New Roman"/>
                <w:b/>
                <w:bCs/>
                <w:color w:val="000000"/>
                <w:kern w:val="2"/>
                <w:sz w:val="21"/>
                <w:szCs w:val="21"/>
              </w:rPr>
            </w:pPr>
            <w:r>
              <w:rPr>
                <w:rFonts w:ascii="Times New Roman" w:eastAsia="等线" w:hAnsi="Times New Roman" w:cs="Times New Roman"/>
                <w:b/>
                <w:bCs/>
                <w:color w:val="000000"/>
                <w:sz w:val="21"/>
                <w:szCs w:val="21"/>
              </w:rPr>
              <w:t>(2,343)</w:t>
            </w:r>
          </w:p>
        </w:tc>
        <w:tc>
          <w:tcPr>
            <w:tcW w:w="2074" w:type="dxa"/>
            <w:shd w:val="clear" w:color="auto" w:fill="auto"/>
            <w:vAlign w:val="center"/>
          </w:tcPr>
          <w:p w14:paraId="16C3DFA3" w14:textId="77777777" w:rsidR="00DE1B44" w:rsidRDefault="00D40582">
            <w:pPr>
              <w:widowControl w:val="0"/>
              <w:spacing w:beforeLines="0" w:before="0" w:line="240"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(4,516)</w:t>
            </w:r>
          </w:p>
        </w:tc>
        <w:tc>
          <w:tcPr>
            <w:tcW w:w="2072" w:type="dxa"/>
            <w:shd w:val="clear" w:color="auto" w:fill="auto"/>
            <w:vAlign w:val="center"/>
          </w:tcPr>
          <w:p w14:paraId="73673931" w14:textId="77777777" w:rsidR="00DE1B44" w:rsidRDefault="00D40582">
            <w:pPr>
              <w:widowControl w:val="0"/>
              <w:spacing w:beforeLines="0" w:before="0" w:line="240"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(4,761)</w:t>
            </w:r>
          </w:p>
        </w:tc>
      </w:tr>
      <w:tr w:rsidR="00DE1B44" w14:paraId="57BE983A" w14:textId="77777777">
        <w:trPr>
          <w:trHeight w:val="397"/>
          <w:jc w:val="center"/>
        </w:trPr>
        <w:tc>
          <w:tcPr>
            <w:tcW w:w="2796" w:type="dxa"/>
            <w:shd w:val="clear" w:color="auto" w:fill="auto"/>
            <w:vAlign w:val="center"/>
          </w:tcPr>
          <w:p w14:paraId="4E28F68B" w14:textId="77777777" w:rsidR="00DE1B44" w:rsidRDefault="00D40582">
            <w:pPr>
              <w:widowControl w:val="0"/>
              <w:spacing w:beforeLines="0" w:before="0" w:line="240" w:lineRule="auto"/>
              <w:ind w:firstLineChars="0" w:firstLine="0"/>
              <w:rPr>
                <w:rFonts w:ascii="Times New Roman" w:hAnsi="Times New Roman" w:cs="Times New Roman"/>
                <w:b/>
                <w:bCs/>
                <w:kern w:val="2"/>
                <w:sz w:val="21"/>
              </w:rPr>
            </w:pPr>
            <w:r>
              <w:rPr>
                <w:rFonts w:ascii="Times New Roman" w:hAnsi="Times New Roman" w:cs="Times New Roman"/>
                <w:b/>
                <w:bCs/>
                <w:kern w:val="2"/>
                <w:sz w:val="21"/>
              </w:rPr>
              <w:t>手续费及佣金净收入</w:t>
            </w:r>
          </w:p>
        </w:tc>
        <w:tc>
          <w:tcPr>
            <w:tcW w:w="2074" w:type="dxa"/>
            <w:shd w:val="clear" w:color="auto" w:fill="auto"/>
            <w:vAlign w:val="center"/>
          </w:tcPr>
          <w:p w14:paraId="14870020" w14:textId="77777777" w:rsidR="00DE1B44" w:rsidRDefault="00D40582">
            <w:pPr>
              <w:widowControl w:val="0"/>
              <w:spacing w:beforeLines="0" w:before="0" w:line="240" w:lineRule="auto"/>
              <w:ind w:firstLineChars="0" w:firstLine="0"/>
              <w:jc w:val="right"/>
              <w:rPr>
                <w:rFonts w:ascii="Times New Roman" w:hAnsi="Times New Roman" w:cs="Times New Roman"/>
                <w:b/>
                <w:bCs/>
                <w:color w:val="000000"/>
                <w:kern w:val="2"/>
                <w:sz w:val="21"/>
                <w:szCs w:val="21"/>
              </w:rPr>
            </w:pPr>
            <w:r>
              <w:rPr>
                <w:rFonts w:ascii="Times New Roman" w:eastAsia="等线" w:hAnsi="Times New Roman" w:cs="Times New Roman"/>
                <w:b/>
                <w:bCs/>
                <w:color w:val="000000"/>
                <w:sz w:val="21"/>
                <w:szCs w:val="21"/>
              </w:rPr>
              <w:t>5,476</w:t>
            </w:r>
          </w:p>
        </w:tc>
        <w:tc>
          <w:tcPr>
            <w:tcW w:w="2074" w:type="dxa"/>
            <w:shd w:val="clear" w:color="auto" w:fill="auto"/>
            <w:vAlign w:val="center"/>
          </w:tcPr>
          <w:p w14:paraId="1A1C85FF" w14:textId="77777777" w:rsidR="00DE1B44" w:rsidRDefault="00D40582">
            <w:pPr>
              <w:widowControl w:val="0"/>
              <w:spacing w:beforeLines="0" w:before="0" w:line="240"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11,302</w:t>
            </w:r>
          </w:p>
        </w:tc>
        <w:tc>
          <w:tcPr>
            <w:tcW w:w="2072" w:type="dxa"/>
            <w:shd w:val="clear" w:color="auto" w:fill="auto"/>
            <w:vAlign w:val="center"/>
          </w:tcPr>
          <w:p w14:paraId="534D4E38" w14:textId="77777777" w:rsidR="00DE1B44" w:rsidRDefault="00D40582">
            <w:pPr>
              <w:widowControl w:val="0"/>
              <w:spacing w:beforeLines="0" w:before="0" w:line="240"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9,178</w:t>
            </w:r>
          </w:p>
        </w:tc>
      </w:tr>
    </w:tbl>
    <w:p w14:paraId="45E2D9C3"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，本行手续费及佣金净收入分别为</w:t>
      </w:r>
      <w:r>
        <w:rPr>
          <w:rFonts w:ascii="Times New Roman" w:hAnsi="Times New Roman"/>
        </w:rPr>
        <w:t>91.78</w:t>
      </w:r>
      <w:r>
        <w:rPr>
          <w:rFonts w:ascii="Times New Roman" w:hAnsi="Times New Roman"/>
        </w:rPr>
        <w:t>亿元</w:t>
      </w:r>
      <w:r>
        <w:rPr>
          <w:rFonts w:ascii="Times New Roman" w:hAnsi="Times New Roman" w:hint="eastAsia"/>
        </w:rPr>
        <w:t>、</w:t>
      </w:r>
      <w:r>
        <w:rPr>
          <w:rFonts w:ascii="Times New Roman" w:hAnsi="Times New Roman"/>
        </w:rPr>
        <w:t>113.02</w:t>
      </w:r>
      <w:r>
        <w:rPr>
          <w:rFonts w:ascii="Times New Roman" w:hAnsi="Times New Roman"/>
        </w:rPr>
        <w:t>亿元</w:t>
      </w:r>
      <w:r>
        <w:rPr>
          <w:rFonts w:ascii="Times New Roman" w:hAnsi="Times New Roman" w:hint="eastAsia"/>
        </w:rPr>
        <w:t>和</w:t>
      </w:r>
      <w:r>
        <w:rPr>
          <w:rFonts w:ascii="Times New Roman" w:hAnsi="Times New Roman" w:hint="eastAsia"/>
        </w:rPr>
        <w:t>5</w:t>
      </w:r>
      <w:r>
        <w:rPr>
          <w:rFonts w:ascii="Times New Roman" w:hAnsi="Times New Roman"/>
        </w:rPr>
        <w:t>4.76</w:t>
      </w:r>
      <w:r>
        <w:rPr>
          <w:rFonts w:ascii="Times New Roman" w:hAnsi="Times New Roman" w:hint="eastAsia"/>
        </w:rPr>
        <w:t>亿元</w:t>
      </w:r>
      <w:r>
        <w:rPr>
          <w:rFonts w:ascii="Times New Roman" w:hAnsi="Times New Roman"/>
        </w:rPr>
        <w:t>，占同期营业收入的比例分别为</w:t>
      </w:r>
      <w:r>
        <w:rPr>
          <w:rFonts w:ascii="Times New Roman" w:hAnsi="Times New Roman"/>
        </w:rPr>
        <w:t>12.03%</w:t>
      </w:r>
      <w:r>
        <w:rPr>
          <w:rFonts w:ascii="Times New Roman" w:hAnsi="Times New Roman" w:hint="eastAsia"/>
        </w:rPr>
        <w:t>、</w:t>
      </w:r>
      <w:r>
        <w:rPr>
          <w:rFonts w:ascii="Times New Roman" w:hAnsi="Times New Roman"/>
        </w:rPr>
        <w:t>14.04%</w:t>
      </w:r>
      <w:r>
        <w:rPr>
          <w:rFonts w:ascii="Times New Roman" w:hAnsi="Times New Roman" w:hint="eastAsia"/>
        </w:rPr>
        <w:t>和</w:t>
      </w:r>
      <w:r>
        <w:rPr>
          <w:rFonts w:ascii="Times New Roman" w:hAnsi="Times New Roman" w:hint="eastAsia"/>
        </w:rPr>
        <w:t>1</w:t>
      </w:r>
      <w:r>
        <w:rPr>
          <w:rFonts w:ascii="Times New Roman" w:hAnsi="Times New Roman"/>
        </w:rPr>
        <w:t>4.80%</w:t>
      </w:r>
      <w:r>
        <w:rPr>
          <w:rFonts w:ascii="Times New Roman" w:hAnsi="Times New Roman"/>
        </w:rPr>
        <w:t>。</w:t>
      </w:r>
    </w:p>
    <w:p w14:paraId="2AC8EEE0" w14:textId="77777777" w:rsidR="00DE1B44" w:rsidRDefault="00D40582">
      <w:pPr>
        <w:pStyle w:val="58"/>
        <w:spacing w:before="120"/>
        <w:ind w:firstLine="482"/>
        <w:rPr>
          <w:rFonts w:ascii="Times New Roman" w:hAnsi="Times New Roman"/>
        </w:rPr>
      </w:pPr>
      <w:r>
        <w:rPr>
          <w:rFonts w:ascii="Times New Roman" w:hAnsi="Times New Roman" w:hint="eastAsia"/>
        </w:rPr>
        <w:t>3</w:t>
      </w:r>
      <w:r>
        <w:rPr>
          <w:rFonts w:ascii="Times New Roman" w:hAnsi="Times New Roman" w:hint="eastAsia"/>
        </w:rPr>
        <w:t>、资产减值损失</w:t>
      </w:r>
    </w:p>
    <w:p w14:paraId="7980C377"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报告期内，本行资产减值损失的明细如下</w:t>
      </w:r>
      <w:r>
        <w:rPr>
          <w:rFonts w:ascii="Times New Roman" w:hAnsi="Times New Roman" w:hint="eastAsia"/>
        </w:rPr>
        <w:t>：</w:t>
      </w:r>
    </w:p>
    <w:p w14:paraId="5BD79FFE"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6"/>
        <w:gridCol w:w="2074"/>
        <w:gridCol w:w="2074"/>
        <w:gridCol w:w="2072"/>
      </w:tblGrid>
      <w:tr w:rsidR="00DE1B44" w14:paraId="3D6E708A" w14:textId="77777777">
        <w:trPr>
          <w:trHeight w:val="397"/>
          <w:tblHeader/>
          <w:jc w:val="center"/>
        </w:trPr>
        <w:tc>
          <w:tcPr>
            <w:tcW w:w="2796" w:type="dxa"/>
            <w:shd w:val="clear" w:color="auto" w:fill="auto"/>
            <w:vAlign w:val="center"/>
          </w:tcPr>
          <w:p w14:paraId="7A21C589"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项目</w:t>
            </w:r>
          </w:p>
        </w:tc>
        <w:tc>
          <w:tcPr>
            <w:tcW w:w="2074" w:type="dxa"/>
            <w:vAlign w:val="center"/>
          </w:tcPr>
          <w:p w14:paraId="7CA4190B"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2</w:t>
            </w:r>
            <w:r>
              <w:rPr>
                <w:rFonts w:ascii="Times New Roman" w:hAnsi="Times New Roman" w:cs="Times New Roman"/>
                <w:b/>
                <w:bCs/>
                <w:sz w:val="21"/>
                <w:szCs w:val="21"/>
              </w:rPr>
              <w:t>021</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w:t>
            </w:r>
            <w:r>
              <w:rPr>
                <w:rFonts w:ascii="Times New Roman" w:hAnsi="Times New Roman" w:cs="Times New Roman"/>
                <w:b/>
                <w:bCs/>
                <w:sz w:val="21"/>
                <w:szCs w:val="21"/>
              </w:rPr>
              <w:t>-6</w:t>
            </w:r>
            <w:r>
              <w:rPr>
                <w:rFonts w:ascii="Times New Roman" w:hAnsi="Times New Roman" w:cs="Times New Roman" w:hint="eastAsia"/>
                <w:b/>
                <w:bCs/>
                <w:sz w:val="21"/>
                <w:szCs w:val="21"/>
              </w:rPr>
              <w:t>月</w:t>
            </w:r>
          </w:p>
        </w:tc>
        <w:tc>
          <w:tcPr>
            <w:tcW w:w="2074" w:type="dxa"/>
            <w:shd w:val="clear" w:color="auto" w:fill="auto"/>
            <w:vAlign w:val="center"/>
          </w:tcPr>
          <w:p w14:paraId="3E61BA00"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2020</w:t>
            </w:r>
            <w:r>
              <w:rPr>
                <w:rFonts w:ascii="Times New Roman" w:hAnsi="Times New Roman" w:cs="Times New Roman"/>
                <w:b/>
                <w:bCs/>
                <w:sz w:val="21"/>
                <w:szCs w:val="21"/>
              </w:rPr>
              <w:t>年度</w:t>
            </w:r>
          </w:p>
        </w:tc>
        <w:tc>
          <w:tcPr>
            <w:tcW w:w="2072" w:type="dxa"/>
            <w:shd w:val="clear" w:color="auto" w:fill="auto"/>
            <w:vAlign w:val="center"/>
          </w:tcPr>
          <w:p w14:paraId="46296758"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2019</w:t>
            </w:r>
            <w:r>
              <w:rPr>
                <w:rFonts w:ascii="Times New Roman" w:hAnsi="Times New Roman" w:cs="Times New Roman"/>
                <w:b/>
                <w:bCs/>
                <w:sz w:val="21"/>
                <w:szCs w:val="21"/>
              </w:rPr>
              <w:t>年度</w:t>
            </w:r>
          </w:p>
        </w:tc>
      </w:tr>
      <w:tr w:rsidR="00DE1B44" w14:paraId="2F5336FA" w14:textId="77777777">
        <w:trPr>
          <w:trHeight w:val="397"/>
          <w:jc w:val="center"/>
        </w:trPr>
        <w:tc>
          <w:tcPr>
            <w:tcW w:w="2796" w:type="dxa"/>
            <w:shd w:val="clear" w:color="auto" w:fill="auto"/>
            <w:vAlign w:val="center"/>
          </w:tcPr>
          <w:p w14:paraId="50E0223E"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贷款和垫款减值损失</w:t>
            </w:r>
          </w:p>
        </w:tc>
        <w:tc>
          <w:tcPr>
            <w:tcW w:w="2074" w:type="dxa"/>
            <w:shd w:val="clear" w:color="auto" w:fill="auto"/>
            <w:vAlign w:val="center"/>
          </w:tcPr>
          <w:p w14:paraId="418E82A2"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eastAsia="等线" w:hAnsi="Times New Roman" w:cs="Times New Roman"/>
                <w:color w:val="000000"/>
                <w:sz w:val="21"/>
                <w:szCs w:val="21"/>
              </w:rPr>
              <w:t>11,333</w:t>
            </w:r>
          </w:p>
        </w:tc>
        <w:tc>
          <w:tcPr>
            <w:tcW w:w="2074" w:type="dxa"/>
            <w:shd w:val="clear" w:color="auto" w:fill="auto"/>
            <w:vAlign w:val="center"/>
          </w:tcPr>
          <w:p w14:paraId="13366017"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hAnsi="Times New Roman" w:cs="Times New Roman"/>
                <w:kern w:val="2"/>
                <w:sz w:val="21"/>
                <w:szCs w:val="21"/>
              </w:rPr>
              <w:t>34,836</w:t>
            </w:r>
          </w:p>
        </w:tc>
        <w:tc>
          <w:tcPr>
            <w:tcW w:w="2072" w:type="dxa"/>
            <w:shd w:val="clear" w:color="auto" w:fill="auto"/>
            <w:vAlign w:val="center"/>
          </w:tcPr>
          <w:p w14:paraId="281100AA"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hAnsi="Times New Roman" w:cs="Times New Roman"/>
                <w:kern w:val="2"/>
                <w:sz w:val="21"/>
                <w:szCs w:val="21"/>
              </w:rPr>
              <w:t>34,514</w:t>
            </w:r>
          </w:p>
        </w:tc>
      </w:tr>
      <w:tr w:rsidR="00DE1B44" w14:paraId="014ADF65" w14:textId="77777777">
        <w:trPr>
          <w:trHeight w:val="397"/>
          <w:jc w:val="center"/>
        </w:trPr>
        <w:tc>
          <w:tcPr>
            <w:tcW w:w="2796" w:type="dxa"/>
            <w:shd w:val="clear" w:color="auto" w:fill="auto"/>
            <w:vAlign w:val="center"/>
          </w:tcPr>
          <w:p w14:paraId="2670D7A9" w14:textId="77777777" w:rsidR="00DE1B44" w:rsidRDefault="00D40582">
            <w:pPr>
              <w:widowControl w:val="0"/>
              <w:spacing w:beforeLines="0" w:before="0" w:line="240" w:lineRule="auto"/>
              <w:ind w:firstLineChars="0" w:firstLine="0"/>
              <w:rPr>
                <w:rFonts w:ascii="Times New Roman" w:hAnsi="Times New Roman" w:cs="Times New Roman"/>
                <w:kern w:val="2"/>
                <w:sz w:val="21"/>
                <w:szCs w:val="21"/>
              </w:rPr>
            </w:pPr>
            <w:r>
              <w:rPr>
                <w:rFonts w:ascii="Times New Roman" w:hAnsi="Times New Roman" w:cs="Times New Roman"/>
                <w:kern w:val="2"/>
                <w:sz w:val="21"/>
                <w:szCs w:val="21"/>
              </w:rPr>
              <w:t>金融资产投资减值损失</w:t>
            </w:r>
          </w:p>
        </w:tc>
        <w:tc>
          <w:tcPr>
            <w:tcW w:w="2074" w:type="dxa"/>
            <w:shd w:val="clear" w:color="auto" w:fill="auto"/>
            <w:vAlign w:val="center"/>
          </w:tcPr>
          <w:p w14:paraId="520E22C5"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eastAsia="等线" w:hAnsi="Times New Roman" w:cs="Times New Roman"/>
                <w:color w:val="000000"/>
                <w:sz w:val="21"/>
                <w:szCs w:val="21"/>
              </w:rPr>
              <w:t>871</w:t>
            </w:r>
          </w:p>
        </w:tc>
        <w:tc>
          <w:tcPr>
            <w:tcW w:w="2074" w:type="dxa"/>
            <w:shd w:val="clear" w:color="auto" w:fill="auto"/>
            <w:vAlign w:val="center"/>
          </w:tcPr>
          <w:p w14:paraId="0358B823"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hAnsi="Times New Roman" w:cs="Times New Roman"/>
                <w:kern w:val="2"/>
                <w:sz w:val="21"/>
                <w:szCs w:val="21"/>
              </w:rPr>
              <w:t>3,448</w:t>
            </w:r>
          </w:p>
        </w:tc>
        <w:tc>
          <w:tcPr>
            <w:tcW w:w="2072" w:type="dxa"/>
            <w:shd w:val="clear" w:color="auto" w:fill="auto"/>
            <w:vAlign w:val="center"/>
          </w:tcPr>
          <w:p w14:paraId="7D9CBEA6"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hAnsi="Times New Roman" w:cs="Times New Roman"/>
                <w:kern w:val="2"/>
                <w:sz w:val="21"/>
                <w:szCs w:val="21"/>
              </w:rPr>
              <w:t>718</w:t>
            </w:r>
          </w:p>
        </w:tc>
      </w:tr>
      <w:tr w:rsidR="00DE1B44" w14:paraId="009DED67" w14:textId="77777777">
        <w:trPr>
          <w:trHeight w:val="397"/>
          <w:jc w:val="center"/>
        </w:trPr>
        <w:tc>
          <w:tcPr>
            <w:tcW w:w="2796" w:type="dxa"/>
            <w:shd w:val="clear" w:color="auto" w:fill="auto"/>
            <w:vAlign w:val="center"/>
          </w:tcPr>
          <w:p w14:paraId="3068C730" w14:textId="77777777" w:rsidR="00DE1B44" w:rsidRDefault="00D40582">
            <w:pPr>
              <w:widowControl w:val="0"/>
              <w:spacing w:beforeLines="0" w:before="0" w:line="240" w:lineRule="auto"/>
              <w:ind w:firstLineChars="0" w:firstLine="0"/>
              <w:rPr>
                <w:rFonts w:ascii="Times New Roman" w:hAnsi="Times New Roman" w:cs="Times New Roman"/>
                <w:kern w:val="2"/>
                <w:sz w:val="21"/>
                <w:szCs w:val="21"/>
              </w:rPr>
            </w:pPr>
            <w:r>
              <w:rPr>
                <w:rFonts w:ascii="Times New Roman" w:hAnsi="Times New Roman" w:cs="Times New Roman" w:hint="eastAsia"/>
                <w:kern w:val="2"/>
                <w:sz w:val="21"/>
                <w:szCs w:val="21"/>
              </w:rPr>
              <w:t>拆出资金</w:t>
            </w:r>
            <w:r>
              <w:rPr>
                <w:rFonts w:ascii="Times New Roman" w:hAnsi="Times New Roman" w:cs="Times New Roman"/>
                <w:kern w:val="2"/>
                <w:sz w:val="21"/>
                <w:szCs w:val="21"/>
              </w:rPr>
              <w:t>减值损失</w:t>
            </w:r>
          </w:p>
        </w:tc>
        <w:tc>
          <w:tcPr>
            <w:tcW w:w="2074" w:type="dxa"/>
            <w:shd w:val="clear" w:color="auto" w:fill="auto"/>
            <w:vAlign w:val="center"/>
          </w:tcPr>
          <w:p w14:paraId="3EAE3755"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eastAsia="等线" w:hAnsi="Times New Roman" w:cs="Times New Roman"/>
                <w:color w:val="000000"/>
                <w:sz w:val="21"/>
                <w:szCs w:val="21"/>
              </w:rPr>
              <w:t>173</w:t>
            </w:r>
          </w:p>
        </w:tc>
        <w:tc>
          <w:tcPr>
            <w:tcW w:w="2074" w:type="dxa"/>
            <w:shd w:val="clear" w:color="auto" w:fill="auto"/>
            <w:vAlign w:val="center"/>
          </w:tcPr>
          <w:p w14:paraId="3C8D9461"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hAnsi="Times New Roman" w:cs="Times New Roman"/>
                <w:kern w:val="2"/>
                <w:sz w:val="21"/>
                <w:szCs w:val="21"/>
              </w:rPr>
              <w:t>(51)</w:t>
            </w:r>
          </w:p>
        </w:tc>
        <w:tc>
          <w:tcPr>
            <w:tcW w:w="2072" w:type="dxa"/>
            <w:shd w:val="clear" w:color="auto" w:fill="auto"/>
            <w:vAlign w:val="center"/>
          </w:tcPr>
          <w:p w14:paraId="1E821CF7"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hAnsi="Times New Roman" w:cs="Times New Roman"/>
                <w:kern w:val="2"/>
                <w:sz w:val="21"/>
                <w:szCs w:val="21"/>
              </w:rPr>
              <w:t>105</w:t>
            </w:r>
          </w:p>
        </w:tc>
      </w:tr>
      <w:tr w:rsidR="00DE1B44" w14:paraId="23D10D9F" w14:textId="77777777">
        <w:trPr>
          <w:trHeight w:val="397"/>
          <w:jc w:val="center"/>
        </w:trPr>
        <w:tc>
          <w:tcPr>
            <w:tcW w:w="2796" w:type="dxa"/>
            <w:shd w:val="clear" w:color="auto" w:fill="auto"/>
            <w:vAlign w:val="center"/>
          </w:tcPr>
          <w:p w14:paraId="45A92856" w14:textId="77777777" w:rsidR="00DE1B44" w:rsidRDefault="00D40582">
            <w:pPr>
              <w:widowControl w:val="0"/>
              <w:spacing w:beforeLines="0" w:before="0" w:line="240" w:lineRule="auto"/>
              <w:ind w:firstLineChars="0" w:firstLine="0"/>
              <w:rPr>
                <w:rFonts w:ascii="Times New Roman" w:hAnsi="Times New Roman" w:cs="Times New Roman"/>
                <w:kern w:val="2"/>
                <w:sz w:val="21"/>
                <w:szCs w:val="21"/>
              </w:rPr>
            </w:pPr>
            <w:r>
              <w:rPr>
                <w:rFonts w:ascii="Times New Roman" w:hAnsi="Times New Roman" w:cs="Times New Roman" w:hint="eastAsia"/>
                <w:kern w:val="2"/>
                <w:sz w:val="21"/>
                <w:szCs w:val="21"/>
              </w:rPr>
              <w:t>信用承诺</w:t>
            </w:r>
            <w:r>
              <w:rPr>
                <w:rFonts w:ascii="Times New Roman" w:hAnsi="Times New Roman" w:cs="Times New Roman"/>
                <w:kern w:val="2"/>
                <w:sz w:val="21"/>
                <w:szCs w:val="21"/>
              </w:rPr>
              <w:t>减值损失</w:t>
            </w:r>
          </w:p>
        </w:tc>
        <w:tc>
          <w:tcPr>
            <w:tcW w:w="2074" w:type="dxa"/>
            <w:shd w:val="clear" w:color="auto" w:fill="auto"/>
            <w:vAlign w:val="center"/>
          </w:tcPr>
          <w:p w14:paraId="057D539F"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eastAsia="等线" w:hAnsi="Times New Roman" w:cs="Times New Roman"/>
                <w:color w:val="000000"/>
                <w:sz w:val="21"/>
                <w:szCs w:val="21"/>
              </w:rPr>
              <w:t>(209)</w:t>
            </w:r>
          </w:p>
        </w:tc>
        <w:tc>
          <w:tcPr>
            <w:tcW w:w="2074" w:type="dxa"/>
            <w:shd w:val="clear" w:color="auto" w:fill="auto"/>
            <w:vAlign w:val="center"/>
          </w:tcPr>
          <w:p w14:paraId="33FDBAAD"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hAnsi="Times New Roman" w:cs="Times New Roman"/>
                <w:kern w:val="2"/>
                <w:sz w:val="21"/>
                <w:szCs w:val="21"/>
              </w:rPr>
              <w:t>1,013</w:t>
            </w:r>
          </w:p>
        </w:tc>
        <w:tc>
          <w:tcPr>
            <w:tcW w:w="2072" w:type="dxa"/>
            <w:shd w:val="clear" w:color="auto" w:fill="auto"/>
            <w:vAlign w:val="center"/>
          </w:tcPr>
          <w:p w14:paraId="27EF565E"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hAnsi="Times New Roman" w:cs="Times New Roman"/>
                <w:kern w:val="2"/>
                <w:sz w:val="21"/>
                <w:szCs w:val="21"/>
              </w:rPr>
              <w:t>649</w:t>
            </w:r>
          </w:p>
        </w:tc>
      </w:tr>
      <w:tr w:rsidR="00DE1B44" w14:paraId="762E6CA4" w14:textId="77777777">
        <w:trPr>
          <w:trHeight w:val="397"/>
          <w:jc w:val="center"/>
        </w:trPr>
        <w:tc>
          <w:tcPr>
            <w:tcW w:w="2796" w:type="dxa"/>
            <w:shd w:val="clear" w:color="auto" w:fill="auto"/>
            <w:vAlign w:val="center"/>
          </w:tcPr>
          <w:p w14:paraId="26044C74" w14:textId="77777777" w:rsidR="00DE1B44" w:rsidRDefault="00D40582">
            <w:pPr>
              <w:widowControl w:val="0"/>
              <w:spacing w:beforeLines="0" w:before="0" w:line="240" w:lineRule="auto"/>
              <w:ind w:firstLineChars="0" w:firstLine="0"/>
              <w:rPr>
                <w:rFonts w:ascii="Times New Roman" w:hAnsi="Times New Roman" w:cs="Times New Roman"/>
                <w:kern w:val="2"/>
                <w:sz w:val="21"/>
                <w:szCs w:val="21"/>
              </w:rPr>
            </w:pPr>
            <w:r>
              <w:rPr>
                <w:rFonts w:ascii="Times New Roman" w:hAnsi="Times New Roman" w:cs="Times New Roman" w:hint="eastAsia"/>
                <w:kern w:val="2"/>
                <w:sz w:val="21"/>
                <w:szCs w:val="21"/>
              </w:rPr>
              <w:t>其他</w:t>
            </w:r>
          </w:p>
        </w:tc>
        <w:tc>
          <w:tcPr>
            <w:tcW w:w="2074" w:type="dxa"/>
            <w:shd w:val="clear" w:color="auto" w:fill="auto"/>
            <w:vAlign w:val="center"/>
          </w:tcPr>
          <w:p w14:paraId="0DF5C0C1"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eastAsia="等线" w:hAnsi="Times New Roman" w:cs="Times New Roman"/>
                <w:color w:val="000000"/>
                <w:sz w:val="21"/>
                <w:szCs w:val="21"/>
              </w:rPr>
              <w:t>29</w:t>
            </w:r>
          </w:p>
        </w:tc>
        <w:tc>
          <w:tcPr>
            <w:tcW w:w="2074" w:type="dxa"/>
            <w:shd w:val="clear" w:color="auto" w:fill="auto"/>
            <w:vAlign w:val="center"/>
          </w:tcPr>
          <w:p w14:paraId="27F071F3"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eastAsia="等线" w:hAnsi="Times New Roman" w:cs="Times New Roman"/>
                <w:color w:val="000000"/>
                <w:sz w:val="21"/>
                <w:szCs w:val="21"/>
              </w:rPr>
              <w:t>(371)</w:t>
            </w:r>
          </w:p>
        </w:tc>
        <w:tc>
          <w:tcPr>
            <w:tcW w:w="2072" w:type="dxa"/>
            <w:shd w:val="clear" w:color="auto" w:fill="auto"/>
            <w:vAlign w:val="center"/>
          </w:tcPr>
          <w:p w14:paraId="4E5035D8"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eastAsia="等线" w:hAnsi="Times New Roman" w:cs="Times New Roman"/>
                <w:color w:val="000000"/>
                <w:sz w:val="21"/>
                <w:szCs w:val="21"/>
              </w:rPr>
              <w:t>349</w:t>
            </w:r>
          </w:p>
        </w:tc>
      </w:tr>
      <w:tr w:rsidR="00DE1B44" w14:paraId="103AD60D" w14:textId="77777777">
        <w:trPr>
          <w:trHeight w:val="397"/>
          <w:jc w:val="center"/>
        </w:trPr>
        <w:tc>
          <w:tcPr>
            <w:tcW w:w="2796" w:type="dxa"/>
            <w:shd w:val="clear" w:color="auto" w:fill="auto"/>
            <w:vAlign w:val="center"/>
          </w:tcPr>
          <w:p w14:paraId="6E0AD33A" w14:textId="77777777" w:rsidR="00DE1B44" w:rsidRDefault="00D40582">
            <w:pPr>
              <w:widowControl w:val="0"/>
              <w:spacing w:beforeLines="0" w:before="0" w:line="240" w:lineRule="auto"/>
              <w:ind w:firstLineChars="0" w:firstLine="0"/>
              <w:rPr>
                <w:rFonts w:ascii="Times New Roman" w:hAnsi="Times New Roman" w:cs="Times New Roman"/>
                <w:kern w:val="2"/>
                <w:sz w:val="21"/>
                <w:szCs w:val="21"/>
              </w:rPr>
            </w:pPr>
            <w:r>
              <w:rPr>
                <w:rFonts w:ascii="Times New Roman" w:hAnsi="Times New Roman" w:cs="Times New Roman" w:hint="eastAsia"/>
                <w:kern w:val="2"/>
                <w:sz w:val="21"/>
                <w:szCs w:val="21"/>
              </w:rPr>
              <w:t>信用减值损失小计</w:t>
            </w:r>
          </w:p>
        </w:tc>
        <w:tc>
          <w:tcPr>
            <w:tcW w:w="2074" w:type="dxa"/>
            <w:shd w:val="clear" w:color="auto" w:fill="auto"/>
            <w:vAlign w:val="center"/>
          </w:tcPr>
          <w:p w14:paraId="30563775"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eastAsia="等线" w:hAnsi="Times New Roman" w:cs="Times New Roman"/>
                <w:color w:val="000000"/>
                <w:sz w:val="21"/>
                <w:szCs w:val="21"/>
              </w:rPr>
              <w:t>12,198</w:t>
            </w:r>
          </w:p>
        </w:tc>
        <w:tc>
          <w:tcPr>
            <w:tcW w:w="2074" w:type="dxa"/>
            <w:shd w:val="clear" w:color="auto" w:fill="auto"/>
            <w:vAlign w:val="center"/>
          </w:tcPr>
          <w:p w14:paraId="769A3FD1"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eastAsia="等线" w:hAnsi="Times New Roman" w:cs="Times New Roman"/>
                <w:color w:val="000000"/>
                <w:sz w:val="21"/>
                <w:szCs w:val="21"/>
              </w:rPr>
              <w:t>38,876</w:t>
            </w:r>
          </w:p>
        </w:tc>
        <w:tc>
          <w:tcPr>
            <w:tcW w:w="2072" w:type="dxa"/>
            <w:shd w:val="clear" w:color="auto" w:fill="auto"/>
            <w:vAlign w:val="center"/>
          </w:tcPr>
          <w:p w14:paraId="168F3D99"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eastAsia="等线" w:hAnsi="Times New Roman" w:cs="Times New Roman"/>
                <w:color w:val="000000"/>
                <w:sz w:val="21"/>
                <w:szCs w:val="21"/>
              </w:rPr>
              <w:t>36,336</w:t>
            </w:r>
          </w:p>
        </w:tc>
      </w:tr>
      <w:tr w:rsidR="00DE1B44" w14:paraId="7547D9EB" w14:textId="77777777">
        <w:trPr>
          <w:trHeight w:val="397"/>
          <w:jc w:val="center"/>
        </w:trPr>
        <w:tc>
          <w:tcPr>
            <w:tcW w:w="2796" w:type="dxa"/>
            <w:shd w:val="clear" w:color="auto" w:fill="auto"/>
            <w:vAlign w:val="center"/>
          </w:tcPr>
          <w:p w14:paraId="3C325E6E" w14:textId="77777777" w:rsidR="00DE1B44" w:rsidRDefault="00D40582">
            <w:pPr>
              <w:widowControl w:val="0"/>
              <w:spacing w:beforeLines="0" w:before="0" w:line="240" w:lineRule="auto"/>
              <w:ind w:firstLineChars="0" w:firstLine="0"/>
              <w:rPr>
                <w:rFonts w:ascii="Times New Roman" w:hAnsi="Times New Roman" w:cs="Times New Roman"/>
                <w:kern w:val="2"/>
                <w:sz w:val="21"/>
                <w:szCs w:val="21"/>
              </w:rPr>
            </w:pPr>
            <w:r>
              <w:rPr>
                <w:rFonts w:ascii="Times New Roman" w:hAnsi="Times New Roman" w:cs="Times New Roman" w:hint="eastAsia"/>
                <w:kern w:val="2"/>
                <w:sz w:val="21"/>
                <w:szCs w:val="21"/>
              </w:rPr>
              <w:t>其他资产减值损失</w:t>
            </w:r>
          </w:p>
        </w:tc>
        <w:tc>
          <w:tcPr>
            <w:tcW w:w="2074" w:type="dxa"/>
            <w:shd w:val="clear" w:color="auto" w:fill="auto"/>
            <w:vAlign w:val="center"/>
          </w:tcPr>
          <w:p w14:paraId="735D7428"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eastAsia="等线" w:hAnsi="Times New Roman" w:cs="Times New Roman"/>
                <w:color w:val="000000"/>
                <w:sz w:val="21"/>
                <w:szCs w:val="21"/>
              </w:rPr>
              <w:t>0.181</w:t>
            </w:r>
          </w:p>
        </w:tc>
        <w:tc>
          <w:tcPr>
            <w:tcW w:w="2074" w:type="dxa"/>
            <w:shd w:val="clear" w:color="auto" w:fill="auto"/>
            <w:vAlign w:val="center"/>
          </w:tcPr>
          <w:p w14:paraId="633E0655"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eastAsia="等线" w:hAnsi="Times New Roman" w:cs="Times New Roman"/>
                <w:color w:val="000000"/>
                <w:sz w:val="21"/>
                <w:szCs w:val="21"/>
              </w:rPr>
              <w:t>45</w:t>
            </w:r>
          </w:p>
        </w:tc>
        <w:tc>
          <w:tcPr>
            <w:tcW w:w="2072" w:type="dxa"/>
            <w:shd w:val="clear" w:color="auto" w:fill="auto"/>
            <w:vAlign w:val="center"/>
          </w:tcPr>
          <w:p w14:paraId="5D85E8FB" w14:textId="77777777" w:rsidR="00DE1B44" w:rsidRDefault="00D40582">
            <w:pPr>
              <w:widowControl w:val="0"/>
              <w:spacing w:beforeLines="0" w:before="0" w:line="240" w:lineRule="auto"/>
              <w:ind w:firstLineChars="0" w:firstLine="0"/>
              <w:jc w:val="right"/>
              <w:rPr>
                <w:rFonts w:ascii="Times New Roman" w:hAnsi="Times New Roman" w:cs="Times New Roman"/>
                <w:kern w:val="2"/>
                <w:sz w:val="21"/>
                <w:szCs w:val="21"/>
              </w:rPr>
            </w:pPr>
            <w:r>
              <w:rPr>
                <w:rFonts w:ascii="Times New Roman" w:eastAsia="等线" w:hAnsi="Times New Roman" w:cs="Times New Roman"/>
                <w:color w:val="000000"/>
                <w:sz w:val="21"/>
                <w:szCs w:val="21"/>
              </w:rPr>
              <w:t>103</w:t>
            </w:r>
          </w:p>
        </w:tc>
      </w:tr>
      <w:tr w:rsidR="00DE1B44" w14:paraId="07D8592E" w14:textId="77777777">
        <w:trPr>
          <w:trHeight w:val="397"/>
          <w:jc w:val="center"/>
        </w:trPr>
        <w:tc>
          <w:tcPr>
            <w:tcW w:w="2796" w:type="dxa"/>
            <w:shd w:val="clear" w:color="auto" w:fill="auto"/>
            <w:vAlign w:val="center"/>
          </w:tcPr>
          <w:p w14:paraId="60800C6C" w14:textId="77777777" w:rsidR="00DE1B44" w:rsidRDefault="00D40582">
            <w:pPr>
              <w:spacing w:beforeLines="0" w:before="0" w:line="240" w:lineRule="auto"/>
              <w:ind w:firstLineChars="0" w:firstLine="0"/>
              <w:rPr>
                <w:rFonts w:ascii="Times New Roman" w:hAnsi="Times New Roman" w:cs="Times New Roman"/>
                <w:b/>
                <w:bCs/>
                <w:sz w:val="21"/>
                <w:szCs w:val="21"/>
              </w:rPr>
            </w:pPr>
            <w:r>
              <w:rPr>
                <w:rFonts w:ascii="Times New Roman" w:hAnsi="Times New Roman" w:cs="Times New Roman"/>
                <w:b/>
                <w:bCs/>
                <w:sz w:val="21"/>
                <w:szCs w:val="21"/>
              </w:rPr>
              <w:t>合计</w:t>
            </w:r>
          </w:p>
        </w:tc>
        <w:tc>
          <w:tcPr>
            <w:tcW w:w="2074" w:type="dxa"/>
            <w:shd w:val="clear" w:color="auto" w:fill="auto"/>
            <w:vAlign w:val="center"/>
          </w:tcPr>
          <w:p w14:paraId="2B697569" w14:textId="77777777" w:rsidR="00DE1B44" w:rsidRDefault="00D40582">
            <w:pPr>
              <w:widowControl w:val="0"/>
              <w:spacing w:beforeLines="0" w:before="0" w:line="240" w:lineRule="auto"/>
              <w:ind w:firstLineChars="0" w:firstLine="0"/>
              <w:jc w:val="right"/>
              <w:rPr>
                <w:rFonts w:ascii="Times New Roman" w:hAnsi="Times New Roman" w:cs="Times New Roman"/>
                <w:b/>
                <w:bCs/>
                <w:color w:val="000000"/>
                <w:kern w:val="2"/>
                <w:sz w:val="21"/>
                <w:szCs w:val="21"/>
              </w:rPr>
            </w:pPr>
            <w:r>
              <w:rPr>
                <w:rFonts w:ascii="Times New Roman" w:eastAsia="等线" w:hAnsi="Times New Roman" w:cs="Times New Roman"/>
                <w:b/>
                <w:bCs/>
                <w:color w:val="000000"/>
                <w:sz w:val="21"/>
                <w:szCs w:val="21"/>
              </w:rPr>
              <w:t>12,198</w:t>
            </w:r>
          </w:p>
        </w:tc>
        <w:tc>
          <w:tcPr>
            <w:tcW w:w="2074" w:type="dxa"/>
            <w:shd w:val="clear" w:color="auto" w:fill="auto"/>
            <w:vAlign w:val="center"/>
          </w:tcPr>
          <w:p w14:paraId="07C9FF63" w14:textId="77777777" w:rsidR="00DE1B44" w:rsidRDefault="00D40582">
            <w:pPr>
              <w:widowControl w:val="0"/>
              <w:spacing w:beforeLines="0" w:before="0" w:line="240"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38,921</w:t>
            </w:r>
          </w:p>
        </w:tc>
        <w:tc>
          <w:tcPr>
            <w:tcW w:w="2072" w:type="dxa"/>
            <w:shd w:val="clear" w:color="auto" w:fill="auto"/>
            <w:vAlign w:val="center"/>
          </w:tcPr>
          <w:p w14:paraId="6B571BF4" w14:textId="77777777" w:rsidR="00DE1B44" w:rsidRDefault="00D40582">
            <w:pPr>
              <w:widowControl w:val="0"/>
              <w:spacing w:beforeLines="0" w:before="0" w:line="240"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36,439</w:t>
            </w:r>
          </w:p>
        </w:tc>
      </w:tr>
    </w:tbl>
    <w:p w14:paraId="11E1DECE"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lastRenderedPageBreak/>
        <w:t>资产减值损失主要包括为贷款和其他资产计提的减值准备。</w:t>
      </w: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，本行</w:t>
      </w:r>
      <w:r>
        <w:rPr>
          <w:rFonts w:ascii="Times New Roman" w:hAnsi="Times New Roman" w:hint="eastAsia"/>
        </w:rPr>
        <w:t>分别计提</w:t>
      </w:r>
      <w:r>
        <w:rPr>
          <w:rFonts w:ascii="Times New Roman" w:hAnsi="Times New Roman"/>
        </w:rPr>
        <w:t>资产减值损失</w:t>
      </w:r>
      <w:r>
        <w:rPr>
          <w:rFonts w:ascii="Times New Roman" w:hAnsi="Times New Roman" w:hint="eastAsia"/>
        </w:rPr>
        <w:t>3</w:t>
      </w:r>
      <w:r>
        <w:rPr>
          <w:rFonts w:ascii="Times New Roman" w:hAnsi="Times New Roman"/>
        </w:rPr>
        <w:t>64.39</w:t>
      </w:r>
      <w:r>
        <w:rPr>
          <w:rFonts w:ascii="Times New Roman" w:hAnsi="Times New Roman" w:hint="eastAsia"/>
        </w:rPr>
        <w:t>亿元、</w:t>
      </w:r>
      <w:r>
        <w:rPr>
          <w:rFonts w:ascii="Times New Roman" w:hAnsi="Times New Roman" w:hint="eastAsia"/>
        </w:rPr>
        <w:t>3</w:t>
      </w:r>
      <w:r>
        <w:rPr>
          <w:rFonts w:ascii="Times New Roman" w:hAnsi="Times New Roman"/>
        </w:rPr>
        <w:t>89.21</w:t>
      </w:r>
      <w:r>
        <w:rPr>
          <w:rFonts w:ascii="Times New Roman" w:hAnsi="Times New Roman" w:hint="eastAsia"/>
        </w:rPr>
        <w:t>亿元和</w:t>
      </w:r>
      <w:r>
        <w:rPr>
          <w:rFonts w:ascii="Times New Roman" w:hAnsi="Times New Roman" w:hint="eastAsia"/>
        </w:rPr>
        <w:t>1</w:t>
      </w:r>
      <w:r>
        <w:rPr>
          <w:rFonts w:ascii="Times New Roman" w:hAnsi="Times New Roman"/>
        </w:rPr>
        <w:t>21.98</w:t>
      </w:r>
      <w:r>
        <w:rPr>
          <w:rFonts w:ascii="Times New Roman" w:hAnsi="Times New Roman" w:hint="eastAsia"/>
        </w:rPr>
        <w:t>亿元</w:t>
      </w:r>
      <w:r>
        <w:rPr>
          <w:rFonts w:ascii="Times New Roman" w:hAnsi="Times New Roman"/>
        </w:rPr>
        <w:t>，</w:t>
      </w:r>
      <w:r>
        <w:rPr>
          <w:rFonts w:ascii="Times New Roman" w:hAnsi="Times New Roman"/>
        </w:rPr>
        <w:t>2020</w:t>
      </w:r>
      <w:r>
        <w:rPr>
          <w:rFonts w:ascii="Times New Roman" w:hAnsi="Times New Roman"/>
        </w:rPr>
        <w:t>年本行计提资产减值损失较上年同期增长</w:t>
      </w:r>
      <w:r>
        <w:rPr>
          <w:rFonts w:ascii="Times New Roman" w:hAnsi="Times New Roman"/>
        </w:rPr>
        <w:t>6.81%</w:t>
      </w:r>
      <w:r>
        <w:rPr>
          <w:rFonts w:ascii="Times New Roman" w:hAnsi="Times New Roman" w:hint="eastAsia"/>
        </w:rPr>
        <w:t>。</w:t>
      </w:r>
      <w:r>
        <w:rPr>
          <w:rFonts w:ascii="Times New Roman" w:hAnsi="Times New Roman"/>
        </w:rPr>
        <w:t>主要是因为本行顺应监管导向，积极压降不良贷款偏离度，提高拨备覆盖率加强风险抵御能力，计</w:t>
      </w:r>
      <w:proofErr w:type="gramStart"/>
      <w:r>
        <w:rPr>
          <w:rFonts w:ascii="Times New Roman" w:hAnsi="Times New Roman"/>
        </w:rPr>
        <w:t>提贷</w:t>
      </w:r>
      <w:proofErr w:type="gramEnd"/>
      <w:r>
        <w:rPr>
          <w:rFonts w:ascii="Times New Roman" w:hAnsi="Times New Roman"/>
        </w:rPr>
        <w:t>款减值损失相应增加。另外，根据新金融工具准则要求，采用预期信用损失法对债券、受益权计划、同业业务等金融资产及表外贷款承诺相应计提预期信用减值损失。</w:t>
      </w:r>
    </w:p>
    <w:p w14:paraId="212D34F1" w14:textId="77777777" w:rsidR="00DE1B44" w:rsidRDefault="00D40582">
      <w:pPr>
        <w:pStyle w:val="4a"/>
        <w:spacing w:before="120"/>
        <w:rPr>
          <w:rFonts w:ascii="Times New Roman" w:hAnsi="Times New Roman"/>
        </w:rPr>
      </w:pPr>
      <w:r>
        <w:rPr>
          <w:rFonts w:ascii="Times New Roman" w:hAnsi="Times New Roman" w:hint="eastAsia"/>
        </w:rPr>
        <w:t>（三）合并现金流量分析</w:t>
      </w:r>
    </w:p>
    <w:p w14:paraId="5E54CC8D" w14:textId="77777777" w:rsidR="00DE1B44" w:rsidRDefault="00D40582">
      <w:pPr>
        <w:pStyle w:val="58"/>
        <w:spacing w:before="120"/>
        <w:ind w:firstLine="482"/>
        <w:rPr>
          <w:rFonts w:ascii="Times New Roman" w:hAnsi="Times New Roman"/>
        </w:rPr>
      </w:pPr>
      <w:r>
        <w:rPr>
          <w:rFonts w:ascii="Times New Roman" w:hAnsi="Times New Roman" w:hint="eastAsia"/>
        </w:rPr>
        <w:t>1</w:t>
      </w:r>
      <w:r>
        <w:rPr>
          <w:rFonts w:ascii="Times New Roman" w:hAnsi="Times New Roman" w:hint="eastAsia"/>
        </w:rPr>
        <w:t>、</w:t>
      </w:r>
      <w:r>
        <w:rPr>
          <w:rFonts w:ascii="Times New Roman" w:hAnsi="Times New Roman"/>
        </w:rPr>
        <w:t>经营活动产生的现金流量</w:t>
      </w:r>
    </w:p>
    <w:p w14:paraId="7638369A"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报告期内，本行经营活动产生的现金流量的明细如下</w:t>
      </w:r>
      <w:r>
        <w:rPr>
          <w:rFonts w:ascii="Times New Roman" w:hAnsi="Times New Roman" w:hint="eastAsia"/>
        </w:rPr>
        <w:t>：</w:t>
      </w:r>
    </w:p>
    <w:p w14:paraId="6593BC09"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1"/>
        <w:gridCol w:w="1592"/>
        <w:gridCol w:w="1592"/>
        <w:gridCol w:w="1621"/>
      </w:tblGrid>
      <w:tr w:rsidR="00DE1B44" w14:paraId="51A7F522" w14:textId="77777777">
        <w:trPr>
          <w:trHeight w:val="20"/>
          <w:tblHeader/>
        </w:trPr>
        <w:tc>
          <w:tcPr>
            <w:tcW w:w="4211" w:type="dxa"/>
            <w:shd w:val="clear" w:color="auto" w:fill="auto"/>
            <w:vAlign w:val="center"/>
          </w:tcPr>
          <w:p w14:paraId="6FA19C7A" w14:textId="77777777" w:rsidR="00DE1B44" w:rsidRDefault="00D40582">
            <w:pPr>
              <w:spacing w:before="120" w:line="276"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项目</w:t>
            </w:r>
          </w:p>
        </w:tc>
        <w:tc>
          <w:tcPr>
            <w:tcW w:w="1592" w:type="dxa"/>
            <w:vAlign w:val="center"/>
          </w:tcPr>
          <w:p w14:paraId="25FCF426" w14:textId="77777777" w:rsidR="00DE1B44" w:rsidRDefault="00D40582">
            <w:pPr>
              <w:spacing w:before="120" w:line="276" w:lineRule="auto"/>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2</w:t>
            </w:r>
            <w:r>
              <w:rPr>
                <w:rFonts w:ascii="Times New Roman" w:hAnsi="Times New Roman" w:cs="Times New Roman"/>
                <w:b/>
                <w:bCs/>
                <w:sz w:val="21"/>
                <w:szCs w:val="21"/>
              </w:rPr>
              <w:t>021</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w:t>
            </w:r>
            <w:r>
              <w:rPr>
                <w:rFonts w:ascii="Times New Roman" w:hAnsi="Times New Roman" w:cs="Times New Roman"/>
                <w:b/>
                <w:bCs/>
                <w:sz w:val="21"/>
                <w:szCs w:val="21"/>
              </w:rPr>
              <w:t>-6</w:t>
            </w:r>
            <w:r>
              <w:rPr>
                <w:rFonts w:ascii="Times New Roman" w:hAnsi="Times New Roman" w:cs="Times New Roman" w:hint="eastAsia"/>
                <w:b/>
                <w:bCs/>
                <w:sz w:val="21"/>
                <w:szCs w:val="21"/>
              </w:rPr>
              <w:t>月</w:t>
            </w:r>
          </w:p>
        </w:tc>
        <w:tc>
          <w:tcPr>
            <w:tcW w:w="1592" w:type="dxa"/>
            <w:shd w:val="clear" w:color="auto" w:fill="auto"/>
            <w:vAlign w:val="center"/>
          </w:tcPr>
          <w:p w14:paraId="742F2B25" w14:textId="77777777" w:rsidR="00DE1B44" w:rsidRDefault="00D40582">
            <w:pPr>
              <w:spacing w:before="120" w:line="276"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2020</w:t>
            </w:r>
            <w:r>
              <w:rPr>
                <w:rFonts w:ascii="Times New Roman" w:hAnsi="Times New Roman" w:cs="Times New Roman"/>
                <w:b/>
                <w:bCs/>
                <w:sz w:val="21"/>
                <w:szCs w:val="21"/>
              </w:rPr>
              <w:t>年度</w:t>
            </w:r>
          </w:p>
        </w:tc>
        <w:tc>
          <w:tcPr>
            <w:tcW w:w="1621" w:type="dxa"/>
            <w:shd w:val="clear" w:color="auto" w:fill="auto"/>
            <w:vAlign w:val="center"/>
          </w:tcPr>
          <w:p w14:paraId="5097265F" w14:textId="77777777" w:rsidR="00DE1B44" w:rsidRDefault="00D40582">
            <w:pPr>
              <w:spacing w:before="120" w:line="276"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2019</w:t>
            </w:r>
            <w:r>
              <w:rPr>
                <w:rFonts w:ascii="Times New Roman" w:hAnsi="Times New Roman" w:cs="Times New Roman"/>
                <w:b/>
                <w:bCs/>
                <w:sz w:val="21"/>
                <w:szCs w:val="21"/>
              </w:rPr>
              <w:t>年度</w:t>
            </w:r>
          </w:p>
        </w:tc>
      </w:tr>
      <w:tr w:rsidR="00DE1B44" w14:paraId="2A22FF5F" w14:textId="77777777">
        <w:trPr>
          <w:trHeight w:val="20"/>
        </w:trPr>
        <w:tc>
          <w:tcPr>
            <w:tcW w:w="4211" w:type="dxa"/>
            <w:shd w:val="clear" w:color="auto" w:fill="auto"/>
            <w:vAlign w:val="center"/>
          </w:tcPr>
          <w:p w14:paraId="33740566"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拆入资金及卖出回购金融资产款净增加额</w:t>
            </w:r>
          </w:p>
        </w:tc>
        <w:tc>
          <w:tcPr>
            <w:tcW w:w="1592" w:type="dxa"/>
            <w:vAlign w:val="center"/>
          </w:tcPr>
          <w:p w14:paraId="04FFF10D"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w:t>
            </w:r>
          </w:p>
        </w:tc>
        <w:tc>
          <w:tcPr>
            <w:tcW w:w="1592" w:type="dxa"/>
            <w:shd w:val="clear" w:color="auto" w:fill="auto"/>
            <w:vAlign w:val="center"/>
          </w:tcPr>
          <w:p w14:paraId="69CF2EC7"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w:t>
            </w:r>
          </w:p>
        </w:tc>
        <w:tc>
          <w:tcPr>
            <w:tcW w:w="1621" w:type="dxa"/>
            <w:shd w:val="clear" w:color="auto" w:fill="auto"/>
            <w:noWrap/>
            <w:vAlign w:val="center"/>
          </w:tcPr>
          <w:p w14:paraId="4C4264D4"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529</w:t>
            </w:r>
          </w:p>
        </w:tc>
      </w:tr>
      <w:tr w:rsidR="00DE1B44" w14:paraId="709F4320" w14:textId="77777777">
        <w:trPr>
          <w:trHeight w:val="20"/>
        </w:trPr>
        <w:tc>
          <w:tcPr>
            <w:tcW w:w="4211" w:type="dxa"/>
            <w:shd w:val="clear" w:color="auto" w:fill="auto"/>
            <w:vAlign w:val="center"/>
          </w:tcPr>
          <w:p w14:paraId="1BAB97A3"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吸收存款及同业及其他金融机构存放款项净增加额</w:t>
            </w:r>
          </w:p>
        </w:tc>
        <w:tc>
          <w:tcPr>
            <w:tcW w:w="1592" w:type="dxa"/>
            <w:vAlign w:val="center"/>
          </w:tcPr>
          <w:p w14:paraId="20E4FD91"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174,666</w:t>
            </w:r>
          </w:p>
        </w:tc>
        <w:tc>
          <w:tcPr>
            <w:tcW w:w="1592" w:type="dxa"/>
            <w:shd w:val="clear" w:color="auto" w:fill="auto"/>
            <w:vAlign w:val="center"/>
          </w:tcPr>
          <w:p w14:paraId="0BE063BE"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302,787</w:t>
            </w:r>
          </w:p>
        </w:tc>
        <w:tc>
          <w:tcPr>
            <w:tcW w:w="1621" w:type="dxa"/>
            <w:shd w:val="clear" w:color="auto" w:fill="auto"/>
            <w:noWrap/>
            <w:vAlign w:val="center"/>
          </w:tcPr>
          <w:p w14:paraId="3A5F2F1D"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185,936</w:t>
            </w:r>
          </w:p>
        </w:tc>
      </w:tr>
      <w:tr w:rsidR="00DE1B44" w14:paraId="2305D7B0" w14:textId="77777777">
        <w:trPr>
          <w:trHeight w:val="20"/>
        </w:trPr>
        <w:tc>
          <w:tcPr>
            <w:tcW w:w="4211" w:type="dxa"/>
            <w:shd w:val="clear" w:color="auto" w:fill="auto"/>
            <w:vAlign w:val="center"/>
          </w:tcPr>
          <w:p w14:paraId="28DF096E"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向中央银行借款净增加额</w:t>
            </w:r>
          </w:p>
        </w:tc>
        <w:tc>
          <w:tcPr>
            <w:tcW w:w="1592" w:type="dxa"/>
            <w:vAlign w:val="center"/>
          </w:tcPr>
          <w:p w14:paraId="0F797C88"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w:t>
            </w:r>
          </w:p>
        </w:tc>
        <w:tc>
          <w:tcPr>
            <w:tcW w:w="1592" w:type="dxa"/>
            <w:shd w:val="clear" w:color="auto" w:fill="auto"/>
            <w:vAlign w:val="center"/>
          </w:tcPr>
          <w:p w14:paraId="42AB3064"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28,200</w:t>
            </w:r>
          </w:p>
        </w:tc>
        <w:tc>
          <w:tcPr>
            <w:tcW w:w="1621" w:type="dxa"/>
            <w:shd w:val="clear" w:color="auto" w:fill="auto"/>
            <w:noWrap/>
            <w:vAlign w:val="center"/>
          </w:tcPr>
          <w:p w14:paraId="3C6C5501"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39,600</w:t>
            </w:r>
          </w:p>
        </w:tc>
      </w:tr>
      <w:tr w:rsidR="00DE1B44" w14:paraId="75CC7C87" w14:textId="77777777">
        <w:trPr>
          <w:trHeight w:val="20"/>
        </w:trPr>
        <w:tc>
          <w:tcPr>
            <w:tcW w:w="4211" w:type="dxa"/>
            <w:shd w:val="clear" w:color="auto" w:fill="auto"/>
          </w:tcPr>
          <w:p w14:paraId="323049FD"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拆出资金及买入返售金融资产净减少额</w:t>
            </w:r>
          </w:p>
        </w:tc>
        <w:tc>
          <w:tcPr>
            <w:tcW w:w="1592" w:type="dxa"/>
            <w:shd w:val="clear" w:color="auto" w:fill="auto"/>
            <w:vAlign w:val="center"/>
          </w:tcPr>
          <w:p w14:paraId="01933A98"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29,752</w:t>
            </w:r>
          </w:p>
        </w:tc>
        <w:tc>
          <w:tcPr>
            <w:tcW w:w="1592" w:type="dxa"/>
            <w:shd w:val="clear" w:color="auto" w:fill="auto"/>
            <w:vAlign w:val="center"/>
          </w:tcPr>
          <w:p w14:paraId="083B77DE"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w:t>
            </w:r>
          </w:p>
        </w:tc>
        <w:tc>
          <w:tcPr>
            <w:tcW w:w="1621" w:type="dxa"/>
            <w:shd w:val="clear" w:color="auto" w:fill="auto"/>
            <w:noWrap/>
            <w:vAlign w:val="center"/>
          </w:tcPr>
          <w:p w14:paraId="6C723E4A"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w:t>
            </w:r>
          </w:p>
        </w:tc>
      </w:tr>
      <w:tr w:rsidR="00DE1B44" w14:paraId="35C68EC8" w14:textId="77777777">
        <w:trPr>
          <w:trHeight w:val="20"/>
        </w:trPr>
        <w:tc>
          <w:tcPr>
            <w:tcW w:w="4211" w:type="dxa"/>
            <w:shd w:val="clear" w:color="auto" w:fill="auto"/>
          </w:tcPr>
          <w:p w14:paraId="40D22EF8"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为交易目的而持有的金融资产净减少额</w:t>
            </w:r>
          </w:p>
        </w:tc>
        <w:tc>
          <w:tcPr>
            <w:tcW w:w="1592" w:type="dxa"/>
            <w:shd w:val="clear" w:color="auto" w:fill="auto"/>
            <w:vAlign w:val="center"/>
          </w:tcPr>
          <w:p w14:paraId="5A60B789"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1,180</w:t>
            </w:r>
          </w:p>
        </w:tc>
        <w:tc>
          <w:tcPr>
            <w:tcW w:w="1592" w:type="dxa"/>
            <w:shd w:val="clear" w:color="auto" w:fill="auto"/>
            <w:vAlign w:val="center"/>
          </w:tcPr>
          <w:p w14:paraId="4B6DDBA2"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w:t>
            </w:r>
          </w:p>
        </w:tc>
        <w:tc>
          <w:tcPr>
            <w:tcW w:w="1621" w:type="dxa"/>
            <w:shd w:val="clear" w:color="auto" w:fill="auto"/>
            <w:noWrap/>
            <w:vAlign w:val="center"/>
          </w:tcPr>
          <w:p w14:paraId="508FC006"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w:t>
            </w:r>
          </w:p>
        </w:tc>
      </w:tr>
      <w:tr w:rsidR="00DE1B44" w14:paraId="6B3BA233" w14:textId="77777777">
        <w:trPr>
          <w:trHeight w:val="20"/>
        </w:trPr>
        <w:tc>
          <w:tcPr>
            <w:tcW w:w="4211" w:type="dxa"/>
            <w:shd w:val="clear" w:color="auto" w:fill="auto"/>
          </w:tcPr>
          <w:p w14:paraId="1D605803"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收取的利息、手续费及佣金的现金</w:t>
            </w:r>
          </w:p>
        </w:tc>
        <w:tc>
          <w:tcPr>
            <w:tcW w:w="1592" w:type="dxa"/>
            <w:shd w:val="clear" w:color="auto" w:fill="auto"/>
            <w:vAlign w:val="center"/>
          </w:tcPr>
          <w:p w14:paraId="141D3E43"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62,572</w:t>
            </w:r>
          </w:p>
        </w:tc>
        <w:tc>
          <w:tcPr>
            <w:tcW w:w="1592" w:type="dxa"/>
            <w:shd w:val="clear" w:color="auto" w:fill="auto"/>
            <w:vAlign w:val="center"/>
          </w:tcPr>
          <w:p w14:paraId="40EA5BA5"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130,285</w:t>
            </w:r>
          </w:p>
        </w:tc>
        <w:tc>
          <w:tcPr>
            <w:tcW w:w="1621" w:type="dxa"/>
            <w:shd w:val="clear" w:color="auto" w:fill="auto"/>
            <w:noWrap/>
            <w:vAlign w:val="center"/>
          </w:tcPr>
          <w:p w14:paraId="79CA9178"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123,522</w:t>
            </w:r>
          </w:p>
        </w:tc>
      </w:tr>
      <w:tr w:rsidR="00DE1B44" w14:paraId="20FB31AC" w14:textId="77777777">
        <w:trPr>
          <w:trHeight w:val="20"/>
        </w:trPr>
        <w:tc>
          <w:tcPr>
            <w:tcW w:w="4211" w:type="dxa"/>
            <w:shd w:val="clear" w:color="auto" w:fill="auto"/>
          </w:tcPr>
          <w:p w14:paraId="69CA773C"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收到的其他与经营活动有关的现金</w:t>
            </w:r>
          </w:p>
        </w:tc>
        <w:tc>
          <w:tcPr>
            <w:tcW w:w="1592" w:type="dxa"/>
            <w:shd w:val="clear" w:color="auto" w:fill="auto"/>
            <w:vAlign w:val="center"/>
          </w:tcPr>
          <w:p w14:paraId="174D2A9E"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2,001</w:t>
            </w:r>
          </w:p>
        </w:tc>
        <w:tc>
          <w:tcPr>
            <w:tcW w:w="1592" w:type="dxa"/>
            <w:shd w:val="clear" w:color="auto" w:fill="auto"/>
            <w:vAlign w:val="center"/>
          </w:tcPr>
          <w:p w14:paraId="06689F82"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119</w:t>
            </w:r>
          </w:p>
        </w:tc>
        <w:tc>
          <w:tcPr>
            <w:tcW w:w="1621" w:type="dxa"/>
            <w:shd w:val="clear" w:color="auto" w:fill="auto"/>
            <w:vAlign w:val="center"/>
          </w:tcPr>
          <w:p w14:paraId="76BBE2DD"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34</w:t>
            </w:r>
          </w:p>
        </w:tc>
      </w:tr>
      <w:tr w:rsidR="00DE1B44" w14:paraId="4907443E" w14:textId="77777777">
        <w:trPr>
          <w:trHeight w:val="20"/>
        </w:trPr>
        <w:tc>
          <w:tcPr>
            <w:tcW w:w="4211" w:type="dxa"/>
            <w:shd w:val="clear" w:color="auto" w:fill="auto"/>
            <w:vAlign w:val="center"/>
          </w:tcPr>
          <w:p w14:paraId="5FAD50D9" w14:textId="77777777" w:rsidR="00DE1B44" w:rsidRDefault="00D40582">
            <w:pPr>
              <w:spacing w:before="120" w:line="276" w:lineRule="auto"/>
              <w:ind w:firstLineChars="0" w:firstLine="0"/>
              <w:rPr>
                <w:rFonts w:ascii="Times New Roman" w:hAnsi="Times New Roman" w:cs="Times New Roman"/>
                <w:b/>
                <w:bCs/>
                <w:sz w:val="21"/>
                <w:szCs w:val="21"/>
              </w:rPr>
            </w:pPr>
            <w:r>
              <w:rPr>
                <w:rFonts w:ascii="Times New Roman" w:hAnsi="Times New Roman" w:cs="Times New Roman"/>
                <w:b/>
                <w:bCs/>
                <w:sz w:val="21"/>
                <w:szCs w:val="21"/>
              </w:rPr>
              <w:t>经营活动现金流入小计</w:t>
            </w:r>
          </w:p>
        </w:tc>
        <w:tc>
          <w:tcPr>
            <w:tcW w:w="1592" w:type="dxa"/>
            <w:shd w:val="clear" w:color="auto" w:fill="auto"/>
            <w:vAlign w:val="center"/>
          </w:tcPr>
          <w:p w14:paraId="17038BF9" w14:textId="77777777" w:rsidR="00DE1B44" w:rsidRDefault="00D40582">
            <w:pPr>
              <w:widowControl w:val="0"/>
              <w:spacing w:beforeLines="0" w:before="0" w:line="276" w:lineRule="auto"/>
              <w:ind w:firstLineChars="0" w:firstLine="0"/>
              <w:jc w:val="right"/>
              <w:rPr>
                <w:rFonts w:ascii="Times New Roman" w:hAnsi="Times New Roman" w:cs="Times New Roman"/>
                <w:b/>
                <w:bCs/>
                <w:color w:val="000000"/>
                <w:kern w:val="2"/>
                <w:sz w:val="21"/>
                <w:szCs w:val="21"/>
              </w:rPr>
            </w:pPr>
            <w:r>
              <w:rPr>
                <w:rFonts w:ascii="Times New Roman" w:eastAsia="等线" w:hAnsi="Times New Roman" w:cs="Times New Roman"/>
                <w:b/>
                <w:bCs/>
                <w:color w:val="000000"/>
                <w:sz w:val="21"/>
                <w:szCs w:val="21"/>
              </w:rPr>
              <w:t>270,172</w:t>
            </w:r>
          </w:p>
        </w:tc>
        <w:tc>
          <w:tcPr>
            <w:tcW w:w="1592" w:type="dxa"/>
            <w:shd w:val="clear" w:color="auto" w:fill="auto"/>
            <w:vAlign w:val="center"/>
          </w:tcPr>
          <w:p w14:paraId="7E1D7B96" w14:textId="77777777" w:rsidR="00DE1B44" w:rsidRDefault="00D40582">
            <w:pPr>
              <w:widowControl w:val="0"/>
              <w:spacing w:beforeLines="0" w:before="0" w:line="276"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461,391</w:t>
            </w:r>
          </w:p>
        </w:tc>
        <w:tc>
          <w:tcPr>
            <w:tcW w:w="1621" w:type="dxa"/>
            <w:shd w:val="clear" w:color="auto" w:fill="auto"/>
            <w:noWrap/>
            <w:vAlign w:val="center"/>
          </w:tcPr>
          <w:p w14:paraId="4C1B292B" w14:textId="77777777" w:rsidR="00DE1B44" w:rsidRDefault="00D40582">
            <w:pPr>
              <w:widowControl w:val="0"/>
              <w:spacing w:beforeLines="0" w:before="0" w:line="276"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349,621</w:t>
            </w:r>
          </w:p>
        </w:tc>
      </w:tr>
      <w:tr w:rsidR="00DE1B44" w14:paraId="5043798C" w14:textId="77777777">
        <w:trPr>
          <w:trHeight w:val="20"/>
        </w:trPr>
        <w:tc>
          <w:tcPr>
            <w:tcW w:w="4211" w:type="dxa"/>
            <w:shd w:val="clear" w:color="auto" w:fill="auto"/>
            <w:vAlign w:val="center"/>
          </w:tcPr>
          <w:p w14:paraId="36D1CE66"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存放中央银行及同业及其他金融机构款项净增加额</w:t>
            </w:r>
          </w:p>
        </w:tc>
        <w:tc>
          <w:tcPr>
            <w:tcW w:w="1592" w:type="dxa"/>
            <w:shd w:val="clear" w:color="auto" w:fill="auto"/>
            <w:vAlign w:val="center"/>
          </w:tcPr>
          <w:p w14:paraId="29E7EAA9"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(16,849)</w:t>
            </w:r>
          </w:p>
        </w:tc>
        <w:tc>
          <w:tcPr>
            <w:tcW w:w="1592" w:type="dxa"/>
            <w:shd w:val="clear" w:color="auto" w:fill="auto"/>
            <w:vAlign w:val="center"/>
          </w:tcPr>
          <w:p w14:paraId="4122136F"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(6,809)</w:t>
            </w:r>
          </w:p>
        </w:tc>
        <w:tc>
          <w:tcPr>
            <w:tcW w:w="1621" w:type="dxa"/>
            <w:shd w:val="clear" w:color="auto" w:fill="auto"/>
            <w:noWrap/>
            <w:vAlign w:val="center"/>
          </w:tcPr>
          <w:p w14:paraId="53507273"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(6,215)</w:t>
            </w:r>
          </w:p>
        </w:tc>
      </w:tr>
      <w:tr w:rsidR="00DE1B44" w14:paraId="3099F6DC" w14:textId="77777777">
        <w:trPr>
          <w:trHeight w:val="20"/>
        </w:trPr>
        <w:tc>
          <w:tcPr>
            <w:tcW w:w="4211" w:type="dxa"/>
            <w:shd w:val="clear" w:color="auto" w:fill="auto"/>
            <w:vAlign w:val="center"/>
          </w:tcPr>
          <w:p w14:paraId="479ACC8C"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发放贷款和垫款净增加额</w:t>
            </w:r>
          </w:p>
        </w:tc>
        <w:tc>
          <w:tcPr>
            <w:tcW w:w="1592" w:type="dxa"/>
            <w:shd w:val="clear" w:color="auto" w:fill="auto"/>
            <w:vAlign w:val="center"/>
          </w:tcPr>
          <w:p w14:paraId="18A5E4CA"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(167,095)</w:t>
            </w:r>
          </w:p>
        </w:tc>
        <w:tc>
          <w:tcPr>
            <w:tcW w:w="1592" w:type="dxa"/>
            <w:shd w:val="clear" w:color="auto" w:fill="auto"/>
            <w:vAlign w:val="center"/>
          </w:tcPr>
          <w:p w14:paraId="2F46C943"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(262,588)</w:t>
            </w:r>
          </w:p>
        </w:tc>
        <w:tc>
          <w:tcPr>
            <w:tcW w:w="1621" w:type="dxa"/>
            <w:shd w:val="clear" w:color="auto" w:fill="auto"/>
            <w:vAlign w:val="center"/>
          </w:tcPr>
          <w:p w14:paraId="49A3EBCD"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(257,447)</w:t>
            </w:r>
          </w:p>
        </w:tc>
      </w:tr>
      <w:tr w:rsidR="00DE1B44" w14:paraId="2B067325" w14:textId="77777777">
        <w:trPr>
          <w:trHeight w:val="20"/>
        </w:trPr>
        <w:tc>
          <w:tcPr>
            <w:tcW w:w="4211" w:type="dxa"/>
            <w:shd w:val="clear" w:color="auto" w:fill="auto"/>
            <w:vAlign w:val="center"/>
          </w:tcPr>
          <w:p w14:paraId="1DA0122B"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拆出资金及买入返售金融资产净增加额</w:t>
            </w:r>
          </w:p>
        </w:tc>
        <w:tc>
          <w:tcPr>
            <w:tcW w:w="1592" w:type="dxa"/>
            <w:shd w:val="clear" w:color="auto" w:fill="auto"/>
            <w:vAlign w:val="center"/>
          </w:tcPr>
          <w:p w14:paraId="20E5B099"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w:t>
            </w:r>
          </w:p>
        </w:tc>
        <w:tc>
          <w:tcPr>
            <w:tcW w:w="1592" w:type="dxa"/>
            <w:shd w:val="clear" w:color="auto" w:fill="auto"/>
            <w:vAlign w:val="center"/>
          </w:tcPr>
          <w:p w14:paraId="26B4A12B"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(23,920)</w:t>
            </w:r>
          </w:p>
        </w:tc>
        <w:tc>
          <w:tcPr>
            <w:tcW w:w="1621" w:type="dxa"/>
            <w:shd w:val="clear" w:color="auto" w:fill="auto"/>
            <w:noWrap/>
            <w:vAlign w:val="center"/>
          </w:tcPr>
          <w:p w14:paraId="7A97C250"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(28,625)</w:t>
            </w:r>
          </w:p>
        </w:tc>
      </w:tr>
      <w:tr w:rsidR="00DE1B44" w14:paraId="382E061A" w14:textId="77777777">
        <w:trPr>
          <w:trHeight w:val="20"/>
        </w:trPr>
        <w:tc>
          <w:tcPr>
            <w:tcW w:w="4211" w:type="dxa"/>
            <w:shd w:val="clear" w:color="auto" w:fill="auto"/>
            <w:vAlign w:val="center"/>
          </w:tcPr>
          <w:p w14:paraId="317C247D"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向中央银行借款净减少额</w:t>
            </w:r>
          </w:p>
        </w:tc>
        <w:tc>
          <w:tcPr>
            <w:tcW w:w="1592" w:type="dxa"/>
            <w:vAlign w:val="center"/>
          </w:tcPr>
          <w:p w14:paraId="0290A548"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(8,900)</w:t>
            </w:r>
          </w:p>
        </w:tc>
        <w:tc>
          <w:tcPr>
            <w:tcW w:w="1592" w:type="dxa"/>
            <w:shd w:val="clear" w:color="auto" w:fill="auto"/>
            <w:vAlign w:val="center"/>
          </w:tcPr>
          <w:p w14:paraId="022174C8"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w:t>
            </w:r>
          </w:p>
        </w:tc>
        <w:tc>
          <w:tcPr>
            <w:tcW w:w="1621" w:type="dxa"/>
            <w:shd w:val="clear" w:color="auto" w:fill="auto"/>
            <w:noWrap/>
            <w:vAlign w:val="center"/>
          </w:tcPr>
          <w:p w14:paraId="5889C3EB"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w:t>
            </w:r>
          </w:p>
        </w:tc>
      </w:tr>
      <w:tr w:rsidR="00DE1B44" w14:paraId="12B831FA" w14:textId="77777777">
        <w:trPr>
          <w:trHeight w:val="20"/>
        </w:trPr>
        <w:tc>
          <w:tcPr>
            <w:tcW w:w="4211" w:type="dxa"/>
            <w:shd w:val="clear" w:color="auto" w:fill="auto"/>
            <w:vAlign w:val="center"/>
          </w:tcPr>
          <w:p w14:paraId="58ACEFAE"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拆入资金及卖出回购</w:t>
            </w:r>
            <w:proofErr w:type="gramStart"/>
            <w:r>
              <w:rPr>
                <w:rFonts w:ascii="Times New Roman" w:hAnsi="Times New Roman" w:cs="Times New Roman"/>
                <w:sz w:val="21"/>
                <w:szCs w:val="21"/>
              </w:rPr>
              <w:t>金融资产款净减少</w:t>
            </w:r>
            <w:proofErr w:type="gramEnd"/>
            <w:r>
              <w:rPr>
                <w:rFonts w:ascii="Times New Roman" w:hAnsi="Times New Roman" w:cs="Times New Roman"/>
                <w:sz w:val="21"/>
                <w:szCs w:val="21"/>
              </w:rPr>
              <w:t>额</w:t>
            </w:r>
          </w:p>
        </w:tc>
        <w:tc>
          <w:tcPr>
            <w:tcW w:w="1592" w:type="dxa"/>
            <w:shd w:val="clear" w:color="auto" w:fill="auto"/>
            <w:vAlign w:val="center"/>
          </w:tcPr>
          <w:p w14:paraId="7D73D70D"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(29,970)</w:t>
            </w:r>
          </w:p>
        </w:tc>
        <w:tc>
          <w:tcPr>
            <w:tcW w:w="1592" w:type="dxa"/>
            <w:shd w:val="clear" w:color="auto" w:fill="auto"/>
            <w:vAlign w:val="center"/>
          </w:tcPr>
          <w:p w14:paraId="600DFCB1"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(30,606)</w:t>
            </w:r>
          </w:p>
        </w:tc>
        <w:tc>
          <w:tcPr>
            <w:tcW w:w="1621" w:type="dxa"/>
            <w:shd w:val="clear" w:color="auto" w:fill="auto"/>
            <w:noWrap/>
            <w:vAlign w:val="center"/>
          </w:tcPr>
          <w:p w14:paraId="13A3EC98"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w:t>
            </w:r>
          </w:p>
        </w:tc>
      </w:tr>
      <w:tr w:rsidR="00DE1B44" w14:paraId="07E2D8B1" w14:textId="77777777">
        <w:trPr>
          <w:trHeight w:val="20"/>
        </w:trPr>
        <w:tc>
          <w:tcPr>
            <w:tcW w:w="4211" w:type="dxa"/>
            <w:shd w:val="clear" w:color="auto" w:fill="auto"/>
            <w:vAlign w:val="center"/>
          </w:tcPr>
          <w:p w14:paraId="3F62047C"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为交易目的而持有的金融净资产增加额</w:t>
            </w:r>
          </w:p>
        </w:tc>
        <w:tc>
          <w:tcPr>
            <w:tcW w:w="1592" w:type="dxa"/>
            <w:shd w:val="clear" w:color="auto" w:fill="auto"/>
            <w:vAlign w:val="center"/>
          </w:tcPr>
          <w:p w14:paraId="2E52D985"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w:t>
            </w:r>
          </w:p>
        </w:tc>
        <w:tc>
          <w:tcPr>
            <w:tcW w:w="1592" w:type="dxa"/>
            <w:shd w:val="clear" w:color="auto" w:fill="auto"/>
            <w:vAlign w:val="center"/>
          </w:tcPr>
          <w:p w14:paraId="3B6FA04E"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(1,861)</w:t>
            </w:r>
          </w:p>
        </w:tc>
        <w:tc>
          <w:tcPr>
            <w:tcW w:w="1621" w:type="dxa"/>
            <w:shd w:val="clear" w:color="auto" w:fill="auto"/>
            <w:noWrap/>
            <w:vAlign w:val="center"/>
          </w:tcPr>
          <w:p w14:paraId="446593C5"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(2,665)</w:t>
            </w:r>
          </w:p>
        </w:tc>
      </w:tr>
      <w:tr w:rsidR="00DE1B44" w14:paraId="7829C874" w14:textId="77777777">
        <w:trPr>
          <w:trHeight w:val="20"/>
        </w:trPr>
        <w:tc>
          <w:tcPr>
            <w:tcW w:w="4211" w:type="dxa"/>
            <w:shd w:val="clear" w:color="auto" w:fill="auto"/>
            <w:vAlign w:val="center"/>
          </w:tcPr>
          <w:p w14:paraId="249FB5E6"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支付的利息、手续费及佣金的现金</w:t>
            </w:r>
          </w:p>
        </w:tc>
        <w:tc>
          <w:tcPr>
            <w:tcW w:w="1592" w:type="dxa"/>
            <w:shd w:val="clear" w:color="auto" w:fill="auto"/>
            <w:vAlign w:val="center"/>
          </w:tcPr>
          <w:p w14:paraId="1E1209DB"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(30,170)</w:t>
            </w:r>
          </w:p>
        </w:tc>
        <w:tc>
          <w:tcPr>
            <w:tcW w:w="1592" w:type="dxa"/>
            <w:shd w:val="clear" w:color="auto" w:fill="auto"/>
            <w:vAlign w:val="center"/>
          </w:tcPr>
          <w:p w14:paraId="3510CD1B"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(59,332)</w:t>
            </w:r>
          </w:p>
        </w:tc>
        <w:tc>
          <w:tcPr>
            <w:tcW w:w="1621" w:type="dxa"/>
            <w:shd w:val="clear" w:color="auto" w:fill="auto"/>
            <w:noWrap/>
            <w:vAlign w:val="center"/>
          </w:tcPr>
          <w:p w14:paraId="609967A3"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(59,482)</w:t>
            </w:r>
          </w:p>
        </w:tc>
      </w:tr>
      <w:tr w:rsidR="00DE1B44" w14:paraId="4F3EF316" w14:textId="77777777">
        <w:trPr>
          <w:trHeight w:val="20"/>
        </w:trPr>
        <w:tc>
          <w:tcPr>
            <w:tcW w:w="4211" w:type="dxa"/>
            <w:shd w:val="clear" w:color="auto" w:fill="auto"/>
            <w:vAlign w:val="center"/>
          </w:tcPr>
          <w:p w14:paraId="75FC0E16"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支付给职工以及为职工支付的现金</w:t>
            </w:r>
          </w:p>
        </w:tc>
        <w:tc>
          <w:tcPr>
            <w:tcW w:w="1592" w:type="dxa"/>
            <w:shd w:val="clear" w:color="auto" w:fill="auto"/>
            <w:vAlign w:val="center"/>
          </w:tcPr>
          <w:p w14:paraId="61B55D3F"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(7,948)</w:t>
            </w:r>
          </w:p>
        </w:tc>
        <w:tc>
          <w:tcPr>
            <w:tcW w:w="1592" w:type="dxa"/>
            <w:shd w:val="clear" w:color="auto" w:fill="auto"/>
            <w:vAlign w:val="center"/>
          </w:tcPr>
          <w:p w14:paraId="05C73273"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(12,381)</w:t>
            </w:r>
          </w:p>
        </w:tc>
        <w:tc>
          <w:tcPr>
            <w:tcW w:w="1621" w:type="dxa"/>
            <w:shd w:val="clear" w:color="auto" w:fill="auto"/>
            <w:noWrap/>
            <w:vAlign w:val="center"/>
          </w:tcPr>
          <w:p w14:paraId="45E72338"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(11,669)</w:t>
            </w:r>
          </w:p>
        </w:tc>
      </w:tr>
      <w:tr w:rsidR="00DE1B44" w14:paraId="20762437" w14:textId="77777777">
        <w:trPr>
          <w:trHeight w:val="20"/>
        </w:trPr>
        <w:tc>
          <w:tcPr>
            <w:tcW w:w="4211" w:type="dxa"/>
            <w:shd w:val="clear" w:color="auto" w:fill="auto"/>
            <w:vAlign w:val="center"/>
          </w:tcPr>
          <w:p w14:paraId="3D00615E"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支付的各项税费</w:t>
            </w:r>
          </w:p>
        </w:tc>
        <w:tc>
          <w:tcPr>
            <w:tcW w:w="1592" w:type="dxa"/>
            <w:shd w:val="clear" w:color="auto" w:fill="auto"/>
            <w:vAlign w:val="center"/>
          </w:tcPr>
          <w:p w14:paraId="52A42CD6"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(7,673)</w:t>
            </w:r>
          </w:p>
        </w:tc>
        <w:tc>
          <w:tcPr>
            <w:tcW w:w="1592" w:type="dxa"/>
            <w:shd w:val="clear" w:color="auto" w:fill="auto"/>
            <w:vAlign w:val="center"/>
          </w:tcPr>
          <w:p w14:paraId="7F58F7D6"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(12,680)</w:t>
            </w:r>
          </w:p>
        </w:tc>
        <w:tc>
          <w:tcPr>
            <w:tcW w:w="1621" w:type="dxa"/>
            <w:shd w:val="clear" w:color="auto" w:fill="auto"/>
            <w:noWrap/>
            <w:vAlign w:val="center"/>
          </w:tcPr>
          <w:p w14:paraId="1328D4BD"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(9,019)</w:t>
            </w:r>
          </w:p>
        </w:tc>
      </w:tr>
      <w:tr w:rsidR="00DE1B44" w14:paraId="3A2868BD" w14:textId="77777777">
        <w:trPr>
          <w:trHeight w:val="20"/>
        </w:trPr>
        <w:tc>
          <w:tcPr>
            <w:tcW w:w="4211" w:type="dxa"/>
            <w:shd w:val="clear" w:color="auto" w:fill="auto"/>
            <w:vAlign w:val="center"/>
          </w:tcPr>
          <w:p w14:paraId="6F580561"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lastRenderedPageBreak/>
              <w:t>支付其他与经营活动有关的现金</w:t>
            </w:r>
          </w:p>
        </w:tc>
        <w:tc>
          <w:tcPr>
            <w:tcW w:w="1592" w:type="dxa"/>
            <w:shd w:val="clear" w:color="auto" w:fill="auto"/>
            <w:vAlign w:val="center"/>
          </w:tcPr>
          <w:p w14:paraId="1ED34B4F"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eastAsia="等线" w:hAnsi="Times New Roman" w:cs="Times New Roman"/>
                <w:color w:val="000000"/>
                <w:sz w:val="21"/>
                <w:szCs w:val="21"/>
              </w:rPr>
              <w:t>(4,551)</w:t>
            </w:r>
          </w:p>
        </w:tc>
        <w:tc>
          <w:tcPr>
            <w:tcW w:w="1592" w:type="dxa"/>
            <w:shd w:val="clear" w:color="auto" w:fill="auto"/>
            <w:vAlign w:val="center"/>
          </w:tcPr>
          <w:p w14:paraId="2AFCCCEC"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(10,116)</w:t>
            </w:r>
          </w:p>
        </w:tc>
        <w:tc>
          <w:tcPr>
            <w:tcW w:w="1621" w:type="dxa"/>
            <w:shd w:val="clear" w:color="auto" w:fill="auto"/>
            <w:noWrap/>
            <w:vAlign w:val="center"/>
          </w:tcPr>
          <w:p w14:paraId="3F4E4E8E" w14:textId="77777777" w:rsidR="00DE1B44" w:rsidRDefault="00D40582">
            <w:pPr>
              <w:widowControl w:val="0"/>
              <w:spacing w:beforeLines="0" w:before="0" w:line="276" w:lineRule="auto"/>
              <w:ind w:firstLineChars="0" w:firstLine="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(3,643)</w:t>
            </w:r>
          </w:p>
        </w:tc>
      </w:tr>
      <w:tr w:rsidR="00DE1B44" w14:paraId="57515740" w14:textId="77777777">
        <w:trPr>
          <w:trHeight w:val="20"/>
        </w:trPr>
        <w:tc>
          <w:tcPr>
            <w:tcW w:w="4211" w:type="dxa"/>
            <w:shd w:val="clear" w:color="auto" w:fill="auto"/>
            <w:vAlign w:val="center"/>
          </w:tcPr>
          <w:p w14:paraId="3B46FB9E" w14:textId="77777777" w:rsidR="00DE1B44" w:rsidRDefault="00D40582">
            <w:pPr>
              <w:spacing w:before="120" w:line="276" w:lineRule="auto"/>
              <w:ind w:firstLineChars="0" w:firstLine="0"/>
              <w:rPr>
                <w:rFonts w:ascii="Times New Roman" w:hAnsi="Times New Roman" w:cs="Times New Roman"/>
                <w:b/>
                <w:bCs/>
                <w:sz w:val="21"/>
                <w:szCs w:val="21"/>
              </w:rPr>
            </w:pPr>
            <w:r>
              <w:rPr>
                <w:rFonts w:ascii="Times New Roman" w:hAnsi="Times New Roman" w:cs="Times New Roman"/>
                <w:b/>
                <w:bCs/>
                <w:sz w:val="21"/>
                <w:szCs w:val="21"/>
              </w:rPr>
              <w:t>经营活动现金流出小计</w:t>
            </w:r>
          </w:p>
        </w:tc>
        <w:tc>
          <w:tcPr>
            <w:tcW w:w="1592" w:type="dxa"/>
            <w:shd w:val="clear" w:color="auto" w:fill="auto"/>
            <w:vAlign w:val="center"/>
          </w:tcPr>
          <w:p w14:paraId="2D2FB7E3" w14:textId="77777777" w:rsidR="00DE1B44" w:rsidRDefault="00D40582">
            <w:pPr>
              <w:widowControl w:val="0"/>
              <w:spacing w:beforeLines="0" w:before="0" w:line="276" w:lineRule="auto"/>
              <w:ind w:firstLineChars="0" w:firstLine="0"/>
              <w:jc w:val="right"/>
              <w:rPr>
                <w:rFonts w:ascii="Times New Roman" w:hAnsi="Times New Roman" w:cs="Times New Roman"/>
                <w:b/>
                <w:bCs/>
                <w:color w:val="000000"/>
                <w:kern w:val="2"/>
                <w:sz w:val="21"/>
                <w:szCs w:val="21"/>
              </w:rPr>
            </w:pPr>
            <w:r>
              <w:rPr>
                <w:rFonts w:ascii="Times New Roman" w:eastAsia="等线" w:hAnsi="Times New Roman" w:cs="Times New Roman"/>
                <w:b/>
                <w:bCs/>
                <w:color w:val="000000"/>
                <w:sz w:val="21"/>
                <w:szCs w:val="21"/>
              </w:rPr>
              <w:t>(273,154)</w:t>
            </w:r>
          </w:p>
        </w:tc>
        <w:tc>
          <w:tcPr>
            <w:tcW w:w="1592" w:type="dxa"/>
            <w:shd w:val="clear" w:color="auto" w:fill="auto"/>
            <w:vAlign w:val="center"/>
          </w:tcPr>
          <w:p w14:paraId="1AAE50FD" w14:textId="77777777" w:rsidR="00DE1B44" w:rsidRDefault="00D40582">
            <w:pPr>
              <w:widowControl w:val="0"/>
              <w:spacing w:beforeLines="0" w:before="0" w:line="276"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(420,293)</w:t>
            </w:r>
          </w:p>
        </w:tc>
        <w:tc>
          <w:tcPr>
            <w:tcW w:w="1621" w:type="dxa"/>
            <w:shd w:val="clear" w:color="auto" w:fill="auto"/>
            <w:noWrap/>
            <w:vAlign w:val="center"/>
          </w:tcPr>
          <w:p w14:paraId="2C65C55D" w14:textId="77777777" w:rsidR="00DE1B44" w:rsidRDefault="00D40582">
            <w:pPr>
              <w:widowControl w:val="0"/>
              <w:spacing w:beforeLines="0" w:before="0" w:line="276"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(378,765)</w:t>
            </w:r>
          </w:p>
        </w:tc>
      </w:tr>
      <w:tr w:rsidR="00DE1B44" w14:paraId="71009856" w14:textId="77777777">
        <w:trPr>
          <w:trHeight w:val="20"/>
        </w:trPr>
        <w:tc>
          <w:tcPr>
            <w:tcW w:w="4211" w:type="dxa"/>
            <w:shd w:val="clear" w:color="auto" w:fill="auto"/>
            <w:vAlign w:val="center"/>
          </w:tcPr>
          <w:p w14:paraId="668D239D" w14:textId="77777777" w:rsidR="00DE1B44" w:rsidRDefault="00D40582">
            <w:pPr>
              <w:spacing w:before="120" w:line="276" w:lineRule="auto"/>
              <w:ind w:firstLineChars="0" w:firstLine="0"/>
              <w:rPr>
                <w:rFonts w:ascii="Times New Roman" w:hAnsi="Times New Roman" w:cs="Times New Roman"/>
                <w:b/>
                <w:bCs/>
                <w:sz w:val="21"/>
                <w:szCs w:val="21"/>
              </w:rPr>
            </w:pPr>
            <w:r>
              <w:rPr>
                <w:rFonts w:ascii="Times New Roman" w:hAnsi="Times New Roman" w:cs="Times New Roman"/>
                <w:b/>
                <w:bCs/>
                <w:sz w:val="21"/>
                <w:szCs w:val="21"/>
              </w:rPr>
              <w:t>经营活动产生的现金流量净额</w:t>
            </w:r>
          </w:p>
        </w:tc>
        <w:tc>
          <w:tcPr>
            <w:tcW w:w="1592" w:type="dxa"/>
            <w:shd w:val="clear" w:color="auto" w:fill="auto"/>
            <w:vAlign w:val="center"/>
          </w:tcPr>
          <w:p w14:paraId="4F9C376B" w14:textId="77777777" w:rsidR="00DE1B44" w:rsidRDefault="00D40582">
            <w:pPr>
              <w:widowControl w:val="0"/>
              <w:spacing w:beforeLines="0" w:before="0" w:line="276" w:lineRule="auto"/>
              <w:ind w:firstLineChars="0" w:firstLine="0"/>
              <w:jc w:val="right"/>
              <w:rPr>
                <w:rFonts w:ascii="Times New Roman" w:hAnsi="Times New Roman" w:cs="Times New Roman"/>
                <w:b/>
                <w:bCs/>
                <w:color w:val="000000"/>
                <w:kern w:val="2"/>
                <w:sz w:val="21"/>
                <w:szCs w:val="21"/>
              </w:rPr>
            </w:pPr>
            <w:r>
              <w:rPr>
                <w:rFonts w:ascii="Times New Roman" w:eastAsia="等线" w:hAnsi="Times New Roman" w:cs="Times New Roman"/>
                <w:b/>
                <w:bCs/>
                <w:color w:val="000000"/>
                <w:sz w:val="21"/>
                <w:szCs w:val="21"/>
              </w:rPr>
              <w:t>(2,983)</w:t>
            </w:r>
          </w:p>
        </w:tc>
        <w:tc>
          <w:tcPr>
            <w:tcW w:w="1592" w:type="dxa"/>
            <w:shd w:val="clear" w:color="auto" w:fill="auto"/>
            <w:vAlign w:val="center"/>
          </w:tcPr>
          <w:p w14:paraId="3706E79A" w14:textId="77777777" w:rsidR="00DE1B44" w:rsidRDefault="00D40582">
            <w:pPr>
              <w:widowControl w:val="0"/>
              <w:spacing w:beforeLines="0" w:before="0" w:line="276"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41,098</w:t>
            </w:r>
          </w:p>
        </w:tc>
        <w:tc>
          <w:tcPr>
            <w:tcW w:w="1621" w:type="dxa"/>
            <w:shd w:val="clear" w:color="auto" w:fill="auto"/>
            <w:noWrap/>
            <w:vAlign w:val="center"/>
          </w:tcPr>
          <w:p w14:paraId="1EEFCFB8" w14:textId="77777777" w:rsidR="00DE1B44" w:rsidRDefault="00D40582">
            <w:pPr>
              <w:widowControl w:val="0"/>
              <w:spacing w:beforeLines="0" w:before="0" w:line="276" w:lineRule="auto"/>
              <w:ind w:firstLineChars="0" w:firstLine="0"/>
              <w:jc w:val="right"/>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(29,144)</w:t>
            </w:r>
          </w:p>
        </w:tc>
      </w:tr>
    </w:tbl>
    <w:p w14:paraId="3EE11AEC"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报告期内，本行经营活动产生的现金流入构成主要为吸收存款及同业及其他金融机构存放款项净增加额，收取的利息、手续费及佣金的现金，以及向中央银行借款。</w:t>
      </w: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，本行吸收存款及同业及其他金融机构存放款项净增加额分别为</w:t>
      </w:r>
      <w:r>
        <w:rPr>
          <w:rFonts w:ascii="Times New Roman" w:hAnsi="Times New Roman"/>
        </w:rPr>
        <w:t>1,859.36</w:t>
      </w:r>
      <w:r>
        <w:rPr>
          <w:rFonts w:ascii="Times New Roman" w:hAnsi="Times New Roman"/>
        </w:rPr>
        <w:t>亿元</w:t>
      </w:r>
      <w:r>
        <w:rPr>
          <w:rFonts w:ascii="Times New Roman" w:hAnsi="Times New Roman" w:hint="eastAsia"/>
        </w:rPr>
        <w:t>、</w:t>
      </w:r>
      <w:r>
        <w:rPr>
          <w:rFonts w:ascii="Times New Roman" w:hAnsi="Times New Roman"/>
        </w:rPr>
        <w:t>3,027.87</w:t>
      </w:r>
      <w:r>
        <w:rPr>
          <w:rFonts w:ascii="Times New Roman" w:hAnsi="Times New Roman"/>
        </w:rPr>
        <w:t>亿元</w:t>
      </w:r>
      <w:r>
        <w:rPr>
          <w:rFonts w:ascii="Times New Roman" w:hAnsi="Times New Roman" w:hint="eastAsia"/>
        </w:rPr>
        <w:t>和</w:t>
      </w:r>
      <w:r>
        <w:rPr>
          <w:rFonts w:ascii="Times New Roman" w:hAnsi="Times New Roman" w:hint="eastAsia"/>
        </w:rPr>
        <w:t>1</w:t>
      </w:r>
      <w:r>
        <w:rPr>
          <w:rFonts w:ascii="Times New Roman" w:hAnsi="Times New Roman"/>
        </w:rPr>
        <w:t>,746.66</w:t>
      </w:r>
      <w:r>
        <w:rPr>
          <w:rFonts w:ascii="Times New Roman" w:hAnsi="Times New Roman" w:hint="eastAsia"/>
        </w:rPr>
        <w:t>亿元</w:t>
      </w:r>
      <w:r>
        <w:rPr>
          <w:rFonts w:ascii="Times New Roman" w:hAnsi="Times New Roman"/>
        </w:rPr>
        <w:t>；收取的利息、手续费及佣金的现金流入分别为</w:t>
      </w:r>
      <w:r>
        <w:rPr>
          <w:rFonts w:ascii="Times New Roman" w:hAnsi="Times New Roman"/>
        </w:rPr>
        <w:t>1,235.22</w:t>
      </w:r>
      <w:r>
        <w:rPr>
          <w:rFonts w:ascii="Times New Roman" w:hAnsi="Times New Roman"/>
        </w:rPr>
        <w:t>亿元</w:t>
      </w:r>
      <w:r>
        <w:rPr>
          <w:rFonts w:ascii="Times New Roman" w:hAnsi="Times New Roman" w:hint="eastAsia"/>
        </w:rPr>
        <w:t>、</w:t>
      </w:r>
      <w:r>
        <w:rPr>
          <w:rFonts w:ascii="Times New Roman" w:hAnsi="Times New Roman"/>
        </w:rPr>
        <w:t>1,302.85</w:t>
      </w:r>
      <w:r>
        <w:rPr>
          <w:rFonts w:ascii="Times New Roman" w:hAnsi="Times New Roman"/>
        </w:rPr>
        <w:t>亿元</w:t>
      </w:r>
      <w:r>
        <w:rPr>
          <w:rFonts w:ascii="Times New Roman" w:hAnsi="Times New Roman" w:hint="eastAsia"/>
        </w:rPr>
        <w:t>和</w:t>
      </w:r>
      <w:r>
        <w:rPr>
          <w:rFonts w:ascii="Times New Roman" w:hAnsi="Times New Roman" w:hint="eastAsia"/>
        </w:rPr>
        <w:t>6</w:t>
      </w:r>
      <w:r>
        <w:rPr>
          <w:rFonts w:ascii="Times New Roman" w:hAnsi="Times New Roman"/>
        </w:rPr>
        <w:t>25.72</w:t>
      </w:r>
      <w:r>
        <w:rPr>
          <w:rFonts w:ascii="Times New Roman" w:hAnsi="Times New Roman" w:hint="eastAsia"/>
        </w:rPr>
        <w:t>亿元</w:t>
      </w:r>
      <w:r>
        <w:rPr>
          <w:rFonts w:ascii="Times New Roman" w:hAnsi="Times New Roman"/>
        </w:rPr>
        <w:t>；向中央银行借款净增加额分别为</w:t>
      </w:r>
      <w:r>
        <w:rPr>
          <w:rFonts w:ascii="Times New Roman" w:hAnsi="Times New Roman"/>
        </w:rPr>
        <w:t>396</w:t>
      </w:r>
      <w:r>
        <w:rPr>
          <w:rFonts w:ascii="Times New Roman" w:hAnsi="Times New Roman" w:hint="eastAsia"/>
        </w:rPr>
        <w:t>.</w:t>
      </w:r>
      <w:r>
        <w:rPr>
          <w:rFonts w:ascii="Times New Roman" w:hAnsi="Times New Roman"/>
        </w:rPr>
        <w:t>00</w:t>
      </w:r>
      <w:r>
        <w:rPr>
          <w:rFonts w:ascii="Times New Roman" w:hAnsi="Times New Roman"/>
        </w:rPr>
        <w:t>亿元</w:t>
      </w:r>
      <w:r>
        <w:rPr>
          <w:rFonts w:ascii="Times New Roman" w:hAnsi="Times New Roman" w:hint="eastAsia"/>
        </w:rPr>
        <w:t>、</w:t>
      </w:r>
      <w:r>
        <w:rPr>
          <w:rFonts w:ascii="Times New Roman" w:hAnsi="Times New Roman"/>
        </w:rPr>
        <w:t>282.00</w:t>
      </w:r>
      <w:r>
        <w:rPr>
          <w:rFonts w:ascii="Times New Roman" w:hAnsi="Times New Roman"/>
        </w:rPr>
        <w:t>亿元</w:t>
      </w:r>
      <w:r>
        <w:rPr>
          <w:rFonts w:ascii="Times New Roman" w:hAnsi="Times New Roman" w:hint="eastAsia"/>
        </w:rPr>
        <w:t>和</w:t>
      </w:r>
      <w:r>
        <w:rPr>
          <w:rFonts w:ascii="Times New Roman" w:hAnsi="Times New Roman" w:hint="eastAsia"/>
        </w:rPr>
        <w:t>0</w:t>
      </w:r>
      <w:r>
        <w:rPr>
          <w:rFonts w:ascii="Times New Roman" w:hAnsi="Times New Roman"/>
        </w:rPr>
        <w:t>.00</w:t>
      </w:r>
      <w:r>
        <w:rPr>
          <w:rFonts w:ascii="Times New Roman" w:hAnsi="Times New Roman" w:hint="eastAsia"/>
        </w:rPr>
        <w:t>亿元</w:t>
      </w:r>
      <w:r>
        <w:rPr>
          <w:rFonts w:ascii="Times New Roman" w:hAnsi="Times New Roman"/>
        </w:rPr>
        <w:t>。</w:t>
      </w:r>
    </w:p>
    <w:p w14:paraId="5CD296FD"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本行经营活动产生的现金流出构成主要为发放贷款和垫款净增加额，支付的利息、手续费及佣金的现金及</w:t>
      </w:r>
      <w:r>
        <w:rPr>
          <w:rFonts w:ascii="Times New Roman" w:hAnsi="Times New Roman" w:hint="eastAsia"/>
        </w:rPr>
        <w:t>拆入资金及卖出回购</w:t>
      </w:r>
      <w:proofErr w:type="gramStart"/>
      <w:r>
        <w:rPr>
          <w:rFonts w:ascii="Times New Roman" w:hAnsi="Times New Roman" w:hint="eastAsia"/>
        </w:rPr>
        <w:t>金融资产款净减少</w:t>
      </w:r>
      <w:proofErr w:type="gramEnd"/>
      <w:r>
        <w:rPr>
          <w:rFonts w:ascii="Times New Roman" w:hAnsi="Times New Roman" w:hint="eastAsia"/>
        </w:rPr>
        <w:t>额</w:t>
      </w:r>
      <w:r>
        <w:rPr>
          <w:rFonts w:ascii="Times New Roman" w:hAnsi="Times New Roman"/>
        </w:rPr>
        <w:t>。</w:t>
      </w: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，本行发放贷款和垫款净增加额分别为</w:t>
      </w:r>
      <w:r>
        <w:rPr>
          <w:rFonts w:ascii="Times New Roman" w:hAnsi="Times New Roman"/>
        </w:rPr>
        <w:t>2,574.47</w:t>
      </w:r>
      <w:r>
        <w:rPr>
          <w:rFonts w:ascii="Times New Roman" w:hAnsi="Times New Roman"/>
        </w:rPr>
        <w:t>亿元</w:t>
      </w:r>
      <w:r>
        <w:rPr>
          <w:rFonts w:ascii="Times New Roman" w:hAnsi="Times New Roman" w:hint="eastAsia"/>
        </w:rPr>
        <w:t>、</w:t>
      </w:r>
      <w:r>
        <w:rPr>
          <w:rFonts w:ascii="Times New Roman" w:hAnsi="Times New Roman"/>
        </w:rPr>
        <w:t>2,625.88</w:t>
      </w:r>
      <w:r>
        <w:rPr>
          <w:rFonts w:ascii="Times New Roman" w:hAnsi="Times New Roman"/>
        </w:rPr>
        <w:t>亿元</w:t>
      </w:r>
      <w:r>
        <w:rPr>
          <w:rFonts w:ascii="Times New Roman" w:hAnsi="Times New Roman" w:hint="eastAsia"/>
        </w:rPr>
        <w:t>和</w:t>
      </w:r>
      <w:r>
        <w:rPr>
          <w:rFonts w:ascii="Times New Roman" w:hAnsi="Times New Roman" w:hint="eastAsia"/>
        </w:rPr>
        <w:t>1</w:t>
      </w:r>
      <w:r>
        <w:rPr>
          <w:rFonts w:ascii="Times New Roman" w:hAnsi="Times New Roman"/>
        </w:rPr>
        <w:t>,670.95</w:t>
      </w:r>
      <w:r>
        <w:rPr>
          <w:rFonts w:ascii="Times New Roman" w:hAnsi="Times New Roman" w:hint="eastAsia"/>
        </w:rPr>
        <w:t>亿元</w:t>
      </w:r>
      <w:r>
        <w:rPr>
          <w:rFonts w:ascii="Times New Roman" w:hAnsi="Times New Roman"/>
        </w:rPr>
        <w:t>；支付的利息、手续费及佣金产生的现金流出分别为</w:t>
      </w:r>
      <w:r>
        <w:rPr>
          <w:rFonts w:ascii="Times New Roman" w:hAnsi="Times New Roman"/>
        </w:rPr>
        <w:t>594.82</w:t>
      </w:r>
      <w:r>
        <w:rPr>
          <w:rFonts w:ascii="Times New Roman" w:hAnsi="Times New Roman"/>
        </w:rPr>
        <w:t>亿元</w:t>
      </w:r>
      <w:r>
        <w:rPr>
          <w:rFonts w:ascii="Times New Roman" w:hAnsi="Times New Roman" w:hint="eastAsia"/>
        </w:rPr>
        <w:t>、</w:t>
      </w:r>
      <w:r>
        <w:rPr>
          <w:rFonts w:ascii="Times New Roman" w:hAnsi="Times New Roman"/>
        </w:rPr>
        <w:t>593.32</w:t>
      </w:r>
      <w:r>
        <w:rPr>
          <w:rFonts w:ascii="Times New Roman" w:hAnsi="Times New Roman"/>
        </w:rPr>
        <w:t>亿元</w:t>
      </w:r>
      <w:r>
        <w:rPr>
          <w:rFonts w:ascii="Times New Roman" w:hAnsi="Times New Roman" w:hint="eastAsia"/>
        </w:rPr>
        <w:t>和</w:t>
      </w:r>
      <w:r>
        <w:rPr>
          <w:rFonts w:ascii="Times New Roman" w:hAnsi="Times New Roman" w:hint="eastAsia"/>
        </w:rPr>
        <w:t>3</w:t>
      </w:r>
      <w:r>
        <w:rPr>
          <w:rFonts w:ascii="Times New Roman" w:hAnsi="Times New Roman"/>
        </w:rPr>
        <w:t>01.70</w:t>
      </w:r>
      <w:r>
        <w:rPr>
          <w:rFonts w:ascii="Times New Roman" w:hAnsi="Times New Roman" w:hint="eastAsia"/>
        </w:rPr>
        <w:t>亿元；拆入资金及卖出回购</w:t>
      </w:r>
      <w:proofErr w:type="gramStart"/>
      <w:r>
        <w:rPr>
          <w:rFonts w:ascii="Times New Roman" w:hAnsi="Times New Roman" w:hint="eastAsia"/>
        </w:rPr>
        <w:t>金融资产款净减少</w:t>
      </w:r>
      <w:proofErr w:type="gramEnd"/>
      <w:r>
        <w:rPr>
          <w:rFonts w:ascii="Times New Roman" w:hAnsi="Times New Roman" w:hint="eastAsia"/>
        </w:rPr>
        <w:t>额</w:t>
      </w:r>
      <w:r>
        <w:rPr>
          <w:rFonts w:ascii="Times New Roman" w:hAnsi="Times New Roman"/>
        </w:rPr>
        <w:t>分别为</w:t>
      </w:r>
      <w:r>
        <w:rPr>
          <w:rFonts w:ascii="Times New Roman" w:hAnsi="Times New Roman"/>
        </w:rPr>
        <w:t>0.00</w:t>
      </w:r>
      <w:r>
        <w:rPr>
          <w:rFonts w:ascii="Times New Roman" w:hAnsi="Times New Roman"/>
        </w:rPr>
        <w:t>亿元</w:t>
      </w:r>
      <w:r>
        <w:rPr>
          <w:rFonts w:ascii="Times New Roman" w:hAnsi="Times New Roman" w:hint="eastAsia"/>
        </w:rPr>
        <w:t>、</w:t>
      </w:r>
      <w:r>
        <w:rPr>
          <w:rFonts w:ascii="Times New Roman" w:hAnsi="Times New Roman"/>
        </w:rPr>
        <w:t>306.06</w:t>
      </w:r>
      <w:r>
        <w:rPr>
          <w:rFonts w:ascii="Times New Roman" w:hAnsi="Times New Roman"/>
        </w:rPr>
        <w:t>亿元</w:t>
      </w:r>
      <w:r>
        <w:rPr>
          <w:rFonts w:ascii="Times New Roman" w:hAnsi="Times New Roman" w:hint="eastAsia"/>
        </w:rPr>
        <w:t>和</w:t>
      </w:r>
      <w:r>
        <w:rPr>
          <w:rFonts w:ascii="Times New Roman" w:hAnsi="Times New Roman" w:hint="eastAsia"/>
        </w:rPr>
        <w:t>2</w:t>
      </w:r>
      <w:r>
        <w:rPr>
          <w:rFonts w:ascii="Times New Roman" w:hAnsi="Times New Roman"/>
        </w:rPr>
        <w:t>99.7</w:t>
      </w:r>
      <w:r>
        <w:rPr>
          <w:rFonts w:ascii="Times New Roman" w:hAnsi="Times New Roman" w:hint="eastAsia"/>
        </w:rPr>
        <w:t>0</w:t>
      </w:r>
      <w:r>
        <w:rPr>
          <w:rFonts w:ascii="Times New Roman" w:hAnsi="Times New Roman" w:hint="eastAsia"/>
        </w:rPr>
        <w:t>亿元</w:t>
      </w:r>
      <w:r>
        <w:rPr>
          <w:rFonts w:ascii="Times New Roman" w:hAnsi="Times New Roman"/>
        </w:rPr>
        <w:t>。</w:t>
      </w:r>
    </w:p>
    <w:p w14:paraId="15F75E26"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，本行经营活动产生的现金流量净额分别为</w:t>
      </w:r>
      <w:r>
        <w:rPr>
          <w:rFonts w:ascii="Times New Roman" w:hAnsi="Times New Roman"/>
        </w:rPr>
        <w:t>-291.44</w:t>
      </w:r>
      <w:r>
        <w:rPr>
          <w:rFonts w:ascii="Times New Roman" w:hAnsi="Times New Roman"/>
        </w:rPr>
        <w:t>亿元</w:t>
      </w:r>
      <w:r>
        <w:rPr>
          <w:rFonts w:ascii="Times New Roman" w:hAnsi="Times New Roman" w:hint="eastAsia"/>
        </w:rPr>
        <w:t>、</w:t>
      </w:r>
      <w:r>
        <w:rPr>
          <w:rFonts w:ascii="Times New Roman" w:hAnsi="Times New Roman"/>
        </w:rPr>
        <w:t>410.98</w:t>
      </w:r>
      <w:r>
        <w:rPr>
          <w:rFonts w:ascii="Times New Roman" w:hAnsi="Times New Roman"/>
        </w:rPr>
        <w:t>亿元</w:t>
      </w:r>
      <w:r>
        <w:rPr>
          <w:rFonts w:ascii="Times New Roman" w:hAnsi="Times New Roman" w:hint="eastAsia"/>
        </w:rPr>
        <w:t>和</w:t>
      </w:r>
      <w:r>
        <w:rPr>
          <w:rFonts w:ascii="Times New Roman" w:hAnsi="Times New Roman" w:hint="eastAsia"/>
        </w:rPr>
        <w:t>-2</w:t>
      </w:r>
      <w:r>
        <w:rPr>
          <w:rFonts w:ascii="Times New Roman" w:hAnsi="Times New Roman"/>
        </w:rPr>
        <w:t>9.83</w:t>
      </w:r>
      <w:r>
        <w:rPr>
          <w:rFonts w:ascii="Times New Roman" w:hAnsi="Times New Roman" w:hint="eastAsia"/>
        </w:rPr>
        <w:t>亿元</w:t>
      </w:r>
      <w:r>
        <w:rPr>
          <w:rFonts w:ascii="Times New Roman" w:hAnsi="Times New Roman"/>
        </w:rPr>
        <w:t>。</w:t>
      </w:r>
      <w:r>
        <w:rPr>
          <w:rFonts w:ascii="Times New Roman" w:hAnsi="Times New Roman"/>
        </w:rPr>
        <w:t>2020</w:t>
      </w:r>
      <w:r>
        <w:rPr>
          <w:rFonts w:ascii="Times New Roman" w:hAnsi="Times New Roman"/>
        </w:rPr>
        <w:t>年本行经营活动产生的现金流量净额较上年同期增加</w:t>
      </w:r>
      <w:r>
        <w:rPr>
          <w:rFonts w:ascii="Times New Roman" w:hAnsi="Times New Roman"/>
        </w:rPr>
        <w:t>702.42</w:t>
      </w:r>
      <w:r>
        <w:rPr>
          <w:rFonts w:ascii="Times New Roman" w:hAnsi="Times New Roman"/>
        </w:rPr>
        <w:t>亿元，主要</w:t>
      </w:r>
      <w:proofErr w:type="gramStart"/>
      <w:r>
        <w:rPr>
          <w:rFonts w:ascii="Times New Roman" w:hAnsi="Times New Roman"/>
        </w:rPr>
        <w:t>系报告</w:t>
      </w:r>
      <w:proofErr w:type="gramEnd"/>
      <w:r>
        <w:rPr>
          <w:rFonts w:ascii="Times New Roman" w:hAnsi="Times New Roman"/>
        </w:rPr>
        <w:t>期内本行吸收存款和同业存款增速高于贷款增速所致。</w:t>
      </w:r>
    </w:p>
    <w:p w14:paraId="4DE3A368" w14:textId="77777777" w:rsidR="00DE1B44" w:rsidRDefault="00D40582">
      <w:pPr>
        <w:pStyle w:val="58"/>
        <w:spacing w:before="120"/>
        <w:ind w:firstLine="482"/>
        <w:rPr>
          <w:rFonts w:ascii="Times New Roman" w:hAnsi="Times New Roman"/>
        </w:rPr>
      </w:pPr>
      <w:r>
        <w:rPr>
          <w:rFonts w:ascii="Times New Roman" w:hAnsi="Times New Roman" w:hint="eastAsia"/>
        </w:rPr>
        <w:t>2</w:t>
      </w:r>
      <w:r>
        <w:rPr>
          <w:rFonts w:ascii="Times New Roman" w:hAnsi="Times New Roman" w:hint="eastAsia"/>
        </w:rPr>
        <w:t>、投资</w:t>
      </w:r>
      <w:r>
        <w:rPr>
          <w:rFonts w:ascii="Times New Roman" w:hAnsi="Times New Roman"/>
        </w:rPr>
        <w:t>活动产生的现金流量</w:t>
      </w:r>
    </w:p>
    <w:p w14:paraId="3100B130"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报告期内，本行投资活动产生的现金流量的明细如下</w:t>
      </w:r>
      <w:r>
        <w:rPr>
          <w:rFonts w:ascii="Times New Roman" w:hAnsi="Times New Roman" w:hint="eastAsia"/>
        </w:rPr>
        <w:t>：</w:t>
      </w:r>
    </w:p>
    <w:p w14:paraId="029A4134"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1"/>
        <w:gridCol w:w="1592"/>
        <w:gridCol w:w="1592"/>
        <w:gridCol w:w="1621"/>
      </w:tblGrid>
      <w:tr w:rsidR="00DE1B44" w14:paraId="49BE4FFC" w14:textId="77777777">
        <w:trPr>
          <w:trHeight w:val="20"/>
          <w:tblHeader/>
        </w:trPr>
        <w:tc>
          <w:tcPr>
            <w:tcW w:w="4211" w:type="dxa"/>
            <w:shd w:val="clear" w:color="auto" w:fill="auto"/>
            <w:vAlign w:val="center"/>
          </w:tcPr>
          <w:p w14:paraId="72C4154B" w14:textId="77777777" w:rsidR="00DE1B44" w:rsidRDefault="00D40582">
            <w:pPr>
              <w:spacing w:before="120" w:line="276"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项目</w:t>
            </w:r>
          </w:p>
        </w:tc>
        <w:tc>
          <w:tcPr>
            <w:tcW w:w="1592" w:type="dxa"/>
            <w:vAlign w:val="center"/>
          </w:tcPr>
          <w:p w14:paraId="6771E14C" w14:textId="77777777" w:rsidR="00DE1B44" w:rsidRDefault="00D40582">
            <w:pPr>
              <w:spacing w:before="120" w:line="276" w:lineRule="auto"/>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2</w:t>
            </w:r>
            <w:r>
              <w:rPr>
                <w:rFonts w:ascii="Times New Roman" w:hAnsi="Times New Roman" w:cs="Times New Roman"/>
                <w:b/>
                <w:bCs/>
                <w:sz w:val="21"/>
                <w:szCs w:val="21"/>
              </w:rPr>
              <w:t>021</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w:t>
            </w:r>
            <w:r>
              <w:rPr>
                <w:rFonts w:ascii="Times New Roman" w:hAnsi="Times New Roman" w:cs="Times New Roman"/>
                <w:b/>
                <w:bCs/>
                <w:sz w:val="21"/>
                <w:szCs w:val="21"/>
              </w:rPr>
              <w:t>-6</w:t>
            </w:r>
            <w:r>
              <w:rPr>
                <w:rFonts w:ascii="Times New Roman" w:hAnsi="Times New Roman" w:cs="Times New Roman" w:hint="eastAsia"/>
                <w:b/>
                <w:bCs/>
                <w:sz w:val="21"/>
                <w:szCs w:val="21"/>
              </w:rPr>
              <w:t>月</w:t>
            </w:r>
          </w:p>
        </w:tc>
        <w:tc>
          <w:tcPr>
            <w:tcW w:w="1592" w:type="dxa"/>
            <w:shd w:val="clear" w:color="auto" w:fill="auto"/>
            <w:vAlign w:val="center"/>
          </w:tcPr>
          <w:p w14:paraId="16DD058A" w14:textId="77777777" w:rsidR="00DE1B44" w:rsidRDefault="00D40582">
            <w:pPr>
              <w:spacing w:before="120" w:line="276"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2020</w:t>
            </w:r>
            <w:r>
              <w:rPr>
                <w:rFonts w:ascii="Times New Roman" w:hAnsi="Times New Roman" w:cs="Times New Roman"/>
                <w:b/>
                <w:bCs/>
                <w:sz w:val="21"/>
                <w:szCs w:val="21"/>
              </w:rPr>
              <w:t>年度</w:t>
            </w:r>
          </w:p>
        </w:tc>
        <w:tc>
          <w:tcPr>
            <w:tcW w:w="1621" w:type="dxa"/>
            <w:shd w:val="clear" w:color="auto" w:fill="auto"/>
            <w:vAlign w:val="center"/>
          </w:tcPr>
          <w:p w14:paraId="382A4C4F" w14:textId="77777777" w:rsidR="00DE1B44" w:rsidRDefault="00D40582">
            <w:pPr>
              <w:spacing w:before="120" w:line="276"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2019</w:t>
            </w:r>
            <w:r>
              <w:rPr>
                <w:rFonts w:ascii="Times New Roman" w:hAnsi="Times New Roman" w:cs="Times New Roman"/>
                <w:b/>
                <w:bCs/>
                <w:sz w:val="21"/>
                <w:szCs w:val="21"/>
              </w:rPr>
              <w:t>年度</w:t>
            </w:r>
          </w:p>
        </w:tc>
      </w:tr>
      <w:tr w:rsidR="00DE1B44" w14:paraId="74EA2E75" w14:textId="77777777">
        <w:trPr>
          <w:trHeight w:val="20"/>
        </w:trPr>
        <w:tc>
          <w:tcPr>
            <w:tcW w:w="4211" w:type="dxa"/>
            <w:shd w:val="clear" w:color="auto" w:fill="auto"/>
            <w:vAlign w:val="center"/>
          </w:tcPr>
          <w:p w14:paraId="250F55DC"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收回投资收到的现金</w:t>
            </w:r>
          </w:p>
        </w:tc>
        <w:tc>
          <w:tcPr>
            <w:tcW w:w="1592" w:type="dxa"/>
            <w:shd w:val="clear" w:color="auto" w:fill="auto"/>
            <w:vAlign w:val="center"/>
          </w:tcPr>
          <w:p w14:paraId="585D8E32"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230,278</w:t>
            </w:r>
          </w:p>
        </w:tc>
        <w:tc>
          <w:tcPr>
            <w:tcW w:w="1592" w:type="dxa"/>
            <w:shd w:val="clear" w:color="auto" w:fill="auto"/>
            <w:vAlign w:val="center"/>
          </w:tcPr>
          <w:p w14:paraId="1824F3A0"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539,261</w:t>
            </w:r>
          </w:p>
        </w:tc>
        <w:tc>
          <w:tcPr>
            <w:tcW w:w="1621" w:type="dxa"/>
            <w:shd w:val="clear" w:color="auto" w:fill="auto"/>
            <w:noWrap/>
            <w:vAlign w:val="center"/>
          </w:tcPr>
          <w:p w14:paraId="5CA30456"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400,419</w:t>
            </w:r>
          </w:p>
        </w:tc>
      </w:tr>
      <w:tr w:rsidR="00DE1B44" w14:paraId="64D3BBAA" w14:textId="77777777">
        <w:trPr>
          <w:trHeight w:val="20"/>
        </w:trPr>
        <w:tc>
          <w:tcPr>
            <w:tcW w:w="4211" w:type="dxa"/>
            <w:shd w:val="clear" w:color="auto" w:fill="auto"/>
            <w:vAlign w:val="center"/>
          </w:tcPr>
          <w:p w14:paraId="570528D3"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收取的现金股利</w:t>
            </w:r>
          </w:p>
        </w:tc>
        <w:tc>
          <w:tcPr>
            <w:tcW w:w="1592" w:type="dxa"/>
            <w:shd w:val="clear" w:color="auto" w:fill="auto"/>
            <w:vAlign w:val="center"/>
          </w:tcPr>
          <w:p w14:paraId="7BFC1D43"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19</w:t>
            </w:r>
          </w:p>
        </w:tc>
        <w:tc>
          <w:tcPr>
            <w:tcW w:w="1592" w:type="dxa"/>
            <w:shd w:val="clear" w:color="auto" w:fill="auto"/>
            <w:vAlign w:val="center"/>
          </w:tcPr>
          <w:p w14:paraId="11FB81CA"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18</w:t>
            </w:r>
          </w:p>
        </w:tc>
        <w:tc>
          <w:tcPr>
            <w:tcW w:w="1621" w:type="dxa"/>
            <w:shd w:val="clear" w:color="auto" w:fill="auto"/>
            <w:noWrap/>
            <w:vAlign w:val="center"/>
          </w:tcPr>
          <w:p w14:paraId="78AECBF7"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15</w:t>
            </w:r>
          </w:p>
        </w:tc>
      </w:tr>
      <w:tr w:rsidR="00DE1B44" w14:paraId="04834515" w14:textId="77777777">
        <w:trPr>
          <w:trHeight w:val="20"/>
        </w:trPr>
        <w:tc>
          <w:tcPr>
            <w:tcW w:w="4211" w:type="dxa"/>
            <w:shd w:val="clear" w:color="auto" w:fill="auto"/>
            <w:vAlign w:val="center"/>
          </w:tcPr>
          <w:p w14:paraId="29D34931"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取得投资收益收到的现金</w:t>
            </w:r>
          </w:p>
        </w:tc>
        <w:tc>
          <w:tcPr>
            <w:tcW w:w="1592" w:type="dxa"/>
            <w:shd w:val="clear" w:color="auto" w:fill="auto"/>
            <w:vAlign w:val="center"/>
          </w:tcPr>
          <w:p w14:paraId="29ABADE0"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12,896</w:t>
            </w:r>
          </w:p>
        </w:tc>
        <w:tc>
          <w:tcPr>
            <w:tcW w:w="1592" w:type="dxa"/>
            <w:shd w:val="clear" w:color="auto" w:fill="auto"/>
            <w:vAlign w:val="center"/>
          </w:tcPr>
          <w:p w14:paraId="3A3A3262"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20,388</w:t>
            </w:r>
          </w:p>
        </w:tc>
        <w:tc>
          <w:tcPr>
            <w:tcW w:w="1621" w:type="dxa"/>
            <w:shd w:val="clear" w:color="auto" w:fill="auto"/>
            <w:noWrap/>
            <w:vAlign w:val="center"/>
          </w:tcPr>
          <w:p w14:paraId="65ABA26E"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17,659</w:t>
            </w:r>
          </w:p>
        </w:tc>
      </w:tr>
      <w:tr w:rsidR="00DE1B44" w14:paraId="3DB1FB38" w14:textId="77777777">
        <w:trPr>
          <w:trHeight w:val="20"/>
        </w:trPr>
        <w:tc>
          <w:tcPr>
            <w:tcW w:w="4211" w:type="dxa"/>
            <w:shd w:val="clear" w:color="auto" w:fill="auto"/>
            <w:vAlign w:val="center"/>
          </w:tcPr>
          <w:p w14:paraId="3AFDF86B"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处置固定资产和其他资产收回的现金净额</w:t>
            </w:r>
          </w:p>
        </w:tc>
        <w:tc>
          <w:tcPr>
            <w:tcW w:w="1592" w:type="dxa"/>
            <w:shd w:val="clear" w:color="auto" w:fill="auto"/>
            <w:vAlign w:val="center"/>
          </w:tcPr>
          <w:p w14:paraId="3C2FE6C8"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27</w:t>
            </w:r>
          </w:p>
        </w:tc>
        <w:tc>
          <w:tcPr>
            <w:tcW w:w="1592" w:type="dxa"/>
            <w:shd w:val="clear" w:color="auto" w:fill="auto"/>
            <w:vAlign w:val="center"/>
          </w:tcPr>
          <w:p w14:paraId="14B54C31"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83</w:t>
            </w:r>
          </w:p>
        </w:tc>
        <w:tc>
          <w:tcPr>
            <w:tcW w:w="1621" w:type="dxa"/>
            <w:shd w:val="clear" w:color="auto" w:fill="auto"/>
            <w:noWrap/>
            <w:vAlign w:val="center"/>
          </w:tcPr>
          <w:p w14:paraId="0A38BCDC"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97</w:t>
            </w:r>
          </w:p>
        </w:tc>
      </w:tr>
      <w:tr w:rsidR="00DE1B44" w14:paraId="26803AD1" w14:textId="77777777">
        <w:trPr>
          <w:trHeight w:val="20"/>
        </w:trPr>
        <w:tc>
          <w:tcPr>
            <w:tcW w:w="4211" w:type="dxa"/>
            <w:shd w:val="clear" w:color="auto" w:fill="auto"/>
            <w:vAlign w:val="center"/>
          </w:tcPr>
          <w:p w14:paraId="6FFF6F21" w14:textId="77777777" w:rsidR="00DE1B44" w:rsidRDefault="00D40582">
            <w:pPr>
              <w:spacing w:before="120" w:line="276" w:lineRule="auto"/>
              <w:ind w:firstLineChars="0" w:firstLine="0"/>
              <w:rPr>
                <w:rFonts w:ascii="Times New Roman" w:hAnsi="Times New Roman" w:cs="Times New Roman"/>
                <w:b/>
                <w:bCs/>
                <w:sz w:val="21"/>
                <w:szCs w:val="21"/>
              </w:rPr>
            </w:pPr>
            <w:r>
              <w:rPr>
                <w:rFonts w:ascii="Times New Roman" w:hAnsi="Times New Roman" w:cs="Times New Roman"/>
                <w:b/>
                <w:bCs/>
                <w:sz w:val="21"/>
                <w:szCs w:val="21"/>
              </w:rPr>
              <w:lastRenderedPageBreak/>
              <w:t>投资活动现金流入小计</w:t>
            </w:r>
          </w:p>
        </w:tc>
        <w:tc>
          <w:tcPr>
            <w:tcW w:w="1592" w:type="dxa"/>
            <w:shd w:val="clear" w:color="auto" w:fill="auto"/>
            <w:vAlign w:val="center"/>
          </w:tcPr>
          <w:p w14:paraId="35573262" w14:textId="77777777" w:rsidR="00DE1B44" w:rsidRDefault="00D40582">
            <w:pPr>
              <w:spacing w:before="120" w:line="276"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243,220</w:t>
            </w:r>
          </w:p>
        </w:tc>
        <w:tc>
          <w:tcPr>
            <w:tcW w:w="1592" w:type="dxa"/>
            <w:shd w:val="clear" w:color="auto" w:fill="auto"/>
            <w:vAlign w:val="center"/>
          </w:tcPr>
          <w:p w14:paraId="6D34BAEE" w14:textId="77777777" w:rsidR="00DE1B44" w:rsidRDefault="00D40582">
            <w:pPr>
              <w:spacing w:before="120" w:line="276"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559,750</w:t>
            </w:r>
          </w:p>
        </w:tc>
        <w:tc>
          <w:tcPr>
            <w:tcW w:w="1621" w:type="dxa"/>
            <w:shd w:val="clear" w:color="auto" w:fill="auto"/>
            <w:noWrap/>
            <w:vAlign w:val="center"/>
          </w:tcPr>
          <w:p w14:paraId="1AF43ACB" w14:textId="77777777" w:rsidR="00DE1B44" w:rsidRDefault="00D40582">
            <w:pPr>
              <w:spacing w:before="120" w:line="276"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418,190</w:t>
            </w:r>
          </w:p>
        </w:tc>
      </w:tr>
      <w:tr w:rsidR="00DE1B44" w14:paraId="470ED6CC" w14:textId="77777777">
        <w:trPr>
          <w:trHeight w:val="20"/>
        </w:trPr>
        <w:tc>
          <w:tcPr>
            <w:tcW w:w="4211" w:type="dxa"/>
            <w:shd w:val="clear" w:color="auto" w:fill="auto"/>
            <w:vAlign w:val="center"/>
          </w:tcPr>
          <w:p w14:paraId="205D18D4"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投资支付的现金</w:t>
            </w:r>
          </w:p>
        </w:tc>
        <w:tc>
          <w:tcPr>
            <w:tcW w:w="1592" w:type="dxa"/>
            <w:shd w:val="clear" w:color="auto" w:fill="auto"/>
            <w:vAlign w:val="center"/>
          </w:tcPr>
          <w:p w14:paraId="2E8E39A2"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(206,821)</w:t>
            </w:r>
          </w:p>
        </w:tc>
        <w:tc>
          <w:tcPr>
            <w:tcW w:w="1592" w:type="dxa"/>
            <w:shd w:val="clear" w:color="auto" w:fill="auto"/>
            <w:vAlign w:val="center"/>
          </w:tcPr>
          <w:p w14:paraId="2145D3AB"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(629,213)</w:t>
            </w:r>
          </w:p>
        </w:tc>
        <w:tc>
          <w:tcPr>
            <w:tcW w:w="1621" w:type="dxa"/>
            <w:shd w:val="clear" w:color="auto" w:fill="auto"/>
            <w:noWrap/>
            <w:vAlign w:val="center"/>
          </w:tcPr>
          <w:p w14:paraId="0ED61C78"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(428,089)</w:t>
            </w:r>
          </w:p>
        </w:tc>
      </w:tr>
      <w:tr w:rsidR="00DE1B44" w14:paraId="68751700" w14:textId="77777777">
        <w:trPr>
          <w:trHeight w:val="20"/>
        </w:trPr>
        <w:tc>
          <w:tcPr>
            <w:tcW w:w="4211" w:type="dxa"/>
            <w:shd w:val="clear" w:color="auto" w:fill="auto"/>
            <w:vAlign w:val="center"/>
          </w:tcPr>
          <w:p w14:paraId="1F533A96" w14:textId="77777777" w:rsidR="00DE1B44" w:rsidRDefault="00D40582">
            <w:pPr>
              <w:spacing w:before="120" w:line="276" w:lineRule="auto"/>
              <w:ind w:firstLineChars="0" w:firstLine="0"/>
              <w:rPr>
                <w:rFonts w:ascii="Times New Roman" w:hAnsi="Times New Roman" w:cs="Times New Roman"/>
                <w:sz w:val="21"/>
                <w:szCs w:val="21"/>
              </w:rPr>
            </w:pPr>
            <w:r>
              <w:rPr>
                <w:rFonts w:ascii="Times New Roman" w:hAnsi="Times New Roman" w:cs="Times New Roman"/>
                <w:sz w:val="21"/>
                <w:szCs w:val="21"/>
              </w:rPr>
              <w:t>购建固定资产、无形资产和其他资产支付的现金</w:t>
            </w:r>
          </w:p>
        </w:tc>
        <w:tc>
          <w:tcPr>
            <w:tcW w:w="1592" w:type="dxa"/>
            <w:shd w:val="clear" w:color="auto" w:fill="auto"/>
            <w:vAlign w:val="center"/>
          </w:tcPr>
          <w:p w14:paraId="56FB443D"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(1,699)</w:t>
            </w:r>
          </w:p>
        </w:tc>
        <w:tc>
          <w:tcPr>
            <w:tcW w:w="1592" w:type="dxa"/>
            <w:shd w:val="clear" w:color="auto" w:fill="auto"/>
            <w:vAlign w:val="center"/>
          </w:tcPr>
          <w:p w14:paraId="0075B766"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(2,270)</w:t>
            </w:r>
          </w:p>
        </w:tc>
        <w:tc>
          <w:tcPr>
            <w:tcW w:w="1621" w:type="dxa"/>
            <w:shd w:val="clear" w:color="auto" w:fill="auto"/>
            <w:noWrap/>
            <w:vAlign w:val="center"/>
          </w:tcPr>
          <w:p w14:paraId="3F09725C" w14:textId="77777777" w:rsidR="00DE1B44" w:rsidRDefault="00D40582">
            <w:pPr>
              <w:spacing w:before="120" w:line="276"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(2,059)</w:t>
            </w:r>
          </w:p>
        </w:tc>
      </w:tr>
      <w:tr w:rsidR="00DE1B44" w14:paraId="48120145" w14:textId="77777777">
        <w:trPr>
          <w:trHeight w:val="20"/>
        </w:trPr>
        <w:tc>
          <w:tcPr>
            <w:tcW w:w="4211" w:type="dxa"/>
            <w:shd w:val="clear" w:color="auto" w:fill="auto"/>
            <w:vAlign w:val="center"/>
          </w:tcPr>
          <w:p w14:paraId="6F004FA9" w14:textId="77777777" w:rsidR="00DE1B44" w:rsidRDefault="00D40582">
            <w:pPr>
              <w:spacing w:before="120" w:line="276" w:lineRule="auto"/>
              <w:ind w:firstLineChars="0" w:firstLine="0"/>
              <w:rPr>
                <w:rFonts w:ascii="Times New Roman" w:hAnsi="Times New Roman" w:cs="Times New Roman"/>
                <w:b/>
                <w:bCs/>
                <w:sz w:val="21"/>
                <w:szCs w:val="21"/>
              </w:rPr>
            </w:pPr>
            <w:r>
              <w:rPr>
                <w:rFonts w:ascii="Times New Roman" w:hAnsi="Times New Roman" w:cs="Times New Roman"/>
                <w:b/>
                <w:bCs/>
                <w:sz w:val="21"/>
                <w:szCs w:val="21"/>
              </w:rPr>
              <w:t>投资活动现金流出小计</w:t>
            </w:r>
          </w:p>
        </w:tc>
        <w:tc>
          <w:tcPr>
            <w:tcW w:w="1592" w:type="dxa"/>
            <w:shd w:val="clear" w:color="auto" w:fill="auto"/>
            <w:vAlign w:val="center"/>
          </w:tcPr>
          <w:p w14:paraId="79FCFF7A" w14:textId="77777777" w:rsidR="00DE1B44" w:rsidRDefault="00D40582">
            <w:pPr>
              <w:spacing w:before="120" w:line="276"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(208,519)</w:t>
            </w:r>
          </w:p>
        </w:tc>
        <w:tc>
          <w:tcPr>
            <w:tcW w:w="1592" w:type="dxa"/>
            <w:shd w:val="clear" w:color="auto" w:fill="auto"/>
            <w:vAlign w:val="center"/>
          </w:tcPr>
          <w:p w14:paraId="79E1D989" w14:textId="77777777" w:rsidR="00DE1B44" w:rsidRDefault="00D40582">
            <w:pPr>
              <w:spacing w:before="120" w:line="276"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(631,482)</w:t>
            </w:r>
          </w:p>
        </w:tc>
        <w:tc>
          <w:tcPr>
            <w:tcW w:w="1621" w:type="dxa"/>
            <w:shd w:val="clear" w:color="auto" w:fill="auto"/>
            <w:noWrap/>
            <w:vAlign w:val="center"/>
          </w:tcPr>
          <w:p w14:paraId="68636476" w14:textId="77777777" w:rsidR="00DE1B44" w:rsidRDefault="00D40582">
            <w:pPr>
              <w:spacing w:before="120" w:line="276"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(430,148)</w:t>
            </w:r>
          </w:p>
        </w:tc>
      </w:tr>
      <w:tr w:rsidR="00DE1B44" w14:paraId="1D3628CF" w14:textId="77777777">
        <w:trPr>
          <w:trHeight w:val="20"/>
        </w:trPr>
        <w:tc>
          <w:tcPr>
            <w:tcW w:w="4211" w:type="dxa"/>
            <w:shd w:val="clear" w:color="auto" w:fill="auto"/>
            <w:vAlign w:val="center"/>
          </w:tcPr>
          <w:p w14:paraId="75C79E50" w14:textId="77777777" w:rsidR="00DE1B44" w:rsidRDefault="00D40582">
            <w:pPr>
              <w:spacing w:before="120" w:line="276" w:lineRule="auto"/>
              <w:ind w:firstLineChars="0" w:firstLine="0"/>
              <w:rPr>
                <w:rFonts w:ascii="Times New Roman" w:hAnsi="Times New Roman" w:cs="Times New Roman"/>
                <w:b/>
                <w:bCs/>
                <w:sz w:val="21"/>
                <w:szCs w:val="21"/>
              </w:rPr>
            </w:pPr>
            <w:r>
              <w:rPr>
                <w:rFonts w:ascii="Times New Roman" w:hAnsi="Times New Roman" w:cs="Times New Roman"/>
                <w:b/>
                <w:bCs/>
                <w:sz w:val="21"/>
                <w:szCs w:val="21"/>
              </w:rPr>
              <w:t>投资活动产生的现金流量净额</w:t>
            </w:r>
          </w:p>
        </w:tc>
        <w:tc>
          <w:tcPr>
            <w:tcW w:w="1592" w:type="dxa"/>
            <w:shd w:val="clear" w:color="auto" w:fill="auto"/>
            <w:vAlign w:val="center"/>
          </w:tcPr>
          <w:p w14:paraId="061152A2" w14:textId="77777777" w:rsidR="00DE1B44" w:rsidRDefault="00D40582">
            <w:pPr>
              <w:spacing w:before="120" w:line="276"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34,701</w:t>
            </w:r>
          </w:p>
        </w:tc>
        <w:tc>
          <w:tcPr>
            <w:tcW w:w="1592" w:type="dxa"/>
            <w:shd w:val="clear" w:color="auto" w:fill="auto"/>
            <w:vAlign w:val="center"/>
          </w:tcPr>
          <w:p w14:paraId="619BD629" w14:textId="77777777" w:rsidR="00DE1B44" w:rsidRDefault="00D40582">
            <w:pPr>
              <w:spacing w:before="120" w:line="276"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(71,732)</w:t>
            </w:r>
          </w:p>
        </w:tc>
        <w:tc>
          <w:tcPr>
            <w:tcW w:w="1621" w:type="dxa"/>
            <w:shd w:val="clear" w:color="auto" w:fill="auto"/>
            <w:vAlign w:val="center"/>
          </w:tcPr>
          <w:p w14:paraId="3273BD69" w14:textId="77777777" w:rsidR="00DE1B44" w:rsidRDefault="00D40582">
            <w:pPr>
              <w:spacing w:before="120" w:line="276"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(11,958)</w:t>
            </w:r>
          </w:p>
        </w:tc>
      </w:tr>
    </w:tbl>
    <w:p w14:paraId="41C84180"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本行投资活动产生的现金流入主要为收回投资所收到的现金和取得投资收益收到的现金。</w:t>
      </w: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，本行收回投资所收到的现金分别为</w:t>
      </w:r>
      <w:r>
        <w:rPr>
          <w:rFonts w:ascii="Times New Roman" w:hAnsi="Times New Roman"/>
        </w:rPr>
        <w:t>4,004.19</w:t>
      </w:r>
      <w:r>
        <w:rPr>
          <w:rFonts w:ascii="Times New Roman" w:hAnsi="Times New Roman"/>
        </w:rPr>
        <w:t>亿元</w:t>
      </w:r>
      <w:r>
        <w:rPr>
          <w:rFonts w:ascii="Times New Roman" w:hAnsi="Times New Roman" w:hint="eastAsia"/>
        </w:rPr>
        <w:t>、</w:t>
      </w:r>
      <w:r>
        <w:rPr>
          <w:rFonts w:ascii="Times New Roman" w:hAnsi="Times New Roman"/>
        </w:rPr>
        <w:t>5,392.61</w:t>
      </w:r>
      <w:r>
        <w:rPr>
          <w:rFonts w:ascii="Times New Roman" w:hAnsi="Times New Roman"/>
        </w:rPr>
        <w:t>亿元</w:t>
      </w:r>
      <w:r>
        <w:rPr>
          <w:rFonts w:ascii="Times New Roman" w:hAnsi="Times New Roman" w:hint="eastAsia"/>
        </w:rPr>
        <w:t>和</w:t>
      </w:r>
      <w:r>
        <w:rPr>
          <w:rFonts w:ascii="Times New Roman" w:hAnsi="Times New Roman" w:hint="eastAsia"/>
        </w:rPr>
        <w:t>2</w:t>
      </w:r>
      <w:r>
        <w:rPr>
          <w:rFonts w:ascii="Times New Roman" w:hAnsi="Times New Roman"/>
        </w:rPr>
        <w:t>,302.78</w:t>
      </w:r>
      <w:r>
        <w:rPr>
          <w:rFonts w:ascii="Times New Roman" w:hAnsi="Times New Roman" w:hint="eastAsia"/>
        </w:rPr>
        <w:t>亿元</w:t>
      </w:r>
      <w:r>
        <w:rPr>
          <w:rFonts w:ascii="Times New Roman" w:hAnsi="Times New Roman"/>
        </w:rPr>
        <w:t>。本行投资活动产生的现金流出构成主要为投资支付的现金。</w:t>
      </w: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，本行为投资支付的现金分别为</w:t>
      </w:r>
      <w:r>
        <w:rPr>
          <w:rFonts w:ascii="Times New Roman" w:hAnsi="Times New Roman"/>
        </w:rPr>
        <w:t>4,280.89</w:t>
      </w:r>
      <w:r>
        <w:rPr>
          <w:rFonts w:ascii="Times New Roman" w:hAnsi="Times New Roman"/>
        </w:rPr>
        <w:t>亿元</w:t>
      </w:r>
      <w:r>
        <w:rPr>
          <w:rFonts w:ascii="Times New Roman" w:hAnsi="Times New Roman" w:hint="eastAsia"/>
        </w:rPr>
        <w:t>、</w:t>
      </w:r>
      <w:r>
        <w:rPr>
          <w:rFonts w:ascii="Times New Roman" w:hAnsi="Times New Roman"/>
        </w:rPr>
        <w:t>6,292.13</w:t>
      </w:r>
      <w:r>
        <w:rPr>
          <w:rFonts w:ascii="Times New Roman" w:hAnsi="Times New Roman"/>
        </w:rPr>
        <w:t>亿元</w:t>
      </w:r>
      <w:r>
        <w:rPr>
          <w:rFonts w:ascii="Times New Roman" w:hAnsi="Times New Roman" w:hint="eastAsia"/>
        </w:rPr>
        <w:t>和</w:t>
      </w:r>
      <w:r>
        <w:rPr>
          <w:rFonts w:ascii="Times New Roman" w:hAnsi="Times New Roman" w:hint="eastAsia"/>
        </w:rPr>
        <w:t>2</w:t>
      </w:r>
      <w:r>
        <w:rPr>
          <w:rFonts w:ascii="Times New Roman" w:hAnsi="Times New Roman"/>
        </w:rPr>
        <w:t>,068.21</w:t>
      </w:r>
      <w:r>
        <w:rPr>
          <w:rFonts w:ascii="Times New Roman" w:hAnsi="Times New Roman" w:hint="eastAsia"/>
        </w:rPr>
        <w:t>亿元</w:t>
      </w:r>
      <w:r>
        <w:rPr>
          <w:rFonts w:ascii="Times New Roman" w:hAnsi="Times New Roman"/>
        </w:rPr>
        <w:t>。</w:t>
      </w:r>
    </w:p>
    <w:p w14:paraId="3A859D19"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，投资活动产生的现金流量净额分别为</w:t>
      </w:r>
      <w:r>
        <w:rPr>
          <w:rFonts w:ascii="Times New Roman" w:hAnsi="Times New Roman"/>
        </w:rPr>
        <w:t>-119.58</w:t>
      </w:r>
      <w:r>
        <w:rPr>
          <w:rFonts w:ascii="Times New Roman" w:hAnsi="Times New Roman"/>
        </w:rPr>
        <w:t>亿元</w:t>
      </w:r>
      <w:r>
        <w:rPr>
          <w:rFonts w:ascii="Times New Roman" w:hAnsi="Times New Roman" w:hint="eastAsia"/>
        </w:rPr>
        <w:t>、</w:t>
      </w:r>
      <w:r>
        <w:rPr>
          <w:rFonts w:ascii="Times New Roman" w:hAnsi="Times New Roman"/>
        </w:rPr>
        <w:t>-717.32</w:t>
      </w:r>
      <w:r>
        <w:rPr>
          <w:rFonts w:ascii="Times New Roman" w:hAnsi="Times New Roman"/>
        </w:rPr>
        <w:t>亿元</w:t>
      </w:r>
      <w:r>
        <w:rPr>
          <w:rFonts w:ascii="Times New Roman" w:hAnsi="Times New Roman" w:hint="eastAsia"/>
        </w:rPr>
        <w:t>和</w:t>
      </w:r>
      <w:r>
        <w:rPr>
          <w:rFonts w:ascii="Times New Roman" w:hAnsi="Times New Roman" w:hint="eastAsia"/>
        </w:rPr>
        <w:t>3</w:t>
      </w:r>
      <w:r>
        <w:rPr>
          <w:rFonts w:ascii="Times New Roman" w:hAnsi="Times New Roman"/>
        </w:rPr>
        <w:t>47.01</w:t>
      </w:r>
      <w:r>
        <w:rPr>
          <w:rFonts w:ascii="Times New Roman" w:hAnsi="Times New Roman" w:hint="eastAsia"/>
        </w:rPr>
        <w:t>亿元</w:t>
      </w:r>
      <w:r>
        <w:rPr>
          <w:rFonts w:ascii="Times New Roman" w:hAnsi="Times New Roman"/>
        </w:rPr>
        <w:t>。</w:t>
      </w:r>
      <w:r>
        <w:rPr>
          <w:rFonts w:ascii="Times New Roman" w:hAnsi="Times New Roman"/>
        </w:rPr>
        <w:t>2020</w:t>
      </w:r>
      <w:r>
        <w:rPr>
          <w:rFonts w:ascii="Times New Roman" w:hAnsi="Times New Roman"/>
        </w:rPr>
        <w:t>年本行投资活动产生的现金流量净额较上年末</w:t>
      </w:r>
      <w:r>
        <w:rPr>
          <w:rFonts w:ascii="Times New Roman" w:hAnsi="Times New Roman" w:hint="eastAsia"/>
        </w:rPr>
        <w:t>减少</w:t>
      </w:r>
      <w:r>
        <w:rPr>
          <w:rFonts w:ascii="Times New Roman" w:hAnsi="Times New Roman"/>
        </w:rPr>
        <w:t>597.75</w:t>
      </w:r>
      <w:r>
        <w:rPr>
          <w:rFonts w:ascii="Times New Roman" w:hAnsi="Times New Roman"/>
        </w:rPr>
        <w:t>亿元，</w:t>
      </w:r>
      <w:r>
        <w:rPr>
          <w:rFonts w:ascii="Times New Roman" w:hAnsi="Times New Roman" w:hint="eastAsia"/>
        </w:rPr>
        <w:t>降幅</w:t>
      </w:r>
      <w:r>
        <w:rPr>
          <w:rFonts w:ascii="Times New Roman" w:hAnsi="Times New Roman"/>
        </w:rPr>
        <w:t>499.89%</w:t>
      </w:r>
      <w:r>
        <w:rPr>
          <w:rFonts w:ascii="Times New Roman" w:hAnsi="Times New Roman"/>
        </w:rPr>
        <w:t>，主要系</w:t>
      </w:r>
      <w:r>
        <w:rPr>
          <w:rFonts w:ascii="Times New Roman" w:hAnsi="Times New Roman"/>
        </w:rPr>
        <w:t>2020</w:t>
      </w:r>
      <w:r>
        <w:rPr>
          <w:rFonts w:ascii="Times New Roman" w:hAnsi="Times New Roman"/>
        </w:rPr>
        <w:t>年金融资产投资余额较上年末增加，投资支付产生的现金流出高于上年投资支付现金流所致。</w:t>
      </w:r>
    </w:p>
    <w:p w14:paraId="32E89A81" w14:textId="77777777" w:rsidR="00DE1B44" w:rsidRDefault="00D40582">
      <w:pPr>
        <w:pStyle w:val="58"/>
        <w:spacing w:before="120"/>
        <w:ind w:firstLine="482"/>
        <w:rPr>
          <w:rFonts w:ascii="Times New Roman" w:hAnsi="Times New Roman"/>
        </w:rPr>
      </w:pPr>
      <w:r>
        <w:rPr>
          <w:rFonts w:ascii="Times New Roman" w:hAnsi="Times New Roman" w:hint="eastAsia"/>
        </w:rPr>
        <w:t>3</w:t>
      </w:r>
      <w:r>
        <w:rPr>
          <w:rFonts w:ascii="Times New Roman" w:hAnsi="Times New Roman" w:hint="eastAsia"/>
        </w:rPr>
        <w:t>、筹资</w:t>
      </w:r>
      <w:r>
        <w:rPr>
          <w:rFonts w:ascii="Times New Roman" w:hAnsi="Times New Roman"/>
        </w:rPr>
        <w:t>活动产生的现金流量</w:t>
      </w:r>
    </w:p>
    <w:p w14:paraId="207C1936"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报告期内，本行筹资活动产生的现金流量的明细如下</w:t>
      </w:r>
      <w:r>
        <w:rPr>
          <w:rFonts w:ascii="Times New Roman" w:hAnsi="Times New Roman" w:hint="eastAsia"/>
        </w:rPr>
        <w:t>：</w:t>
      </w:r>
    </w:p>
    <w:p w14:paraId="53DFF7FF"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hint="eastAsia"/>
          <w:sz w:val="21"/>
          <w:szCs w:val="22"/>
        </w:rPr>
        <w:t>百万</w:t>
      </w:r>
      <w:r>
        <w:rPr>
          <w:sz w:val="21"/>
          <w:szCs w:val="22"/>
        </w:rPr>
        <w:t>元</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1"/>
        <w:gridCol w:w="1592"/>
        <w:gridCol w:w="1592"/>
        <w:gridCol w:w="1621"/>
      </w:tblGrid>
      <w:tr w:rsidR="00DE1B44" w14:paraId="0BED6A62" w14:textId="77777777">
        <w:trPr>
          <w:trHeight w:val="397"/>
          <w:tblHeader/>
        </w:trPr>
        <w:tc>
          <w:tcPr>
            <w:tcW w:w="4211" w:type="dxa"/>
            <w:shd w:val="clear" w:color="auto" w:fill="auto"/>
            <w:vAlign w:val="center"/>
          </w:tcPr>
          <w:p w14:paraId="5239C123"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项目</w:t>
            </w:r>
          </w:p>
        </w:tc>
        <w:tc>
          <w:tcPr>
            <w:tcW w:w="1592" w:type="dxa"/>
            <w:vAlign w:val="center"/>
          </w:tcPr>
          <w:p w14:paraId="0CB32AD8"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2</w:t>
            </w:r>
            <w:r>
              <w:rPr>
                <w:rFonts w:ascii="Times New Roman" w:hAnsi="Times New Roman" w:cs="Times New Roman"/>
                <w:b/>
                <w:bCs/>
                <w:sz w:val="21"/>
                <w:szCs w:val="21"/>
              </w:rPr>
              <w:t>021</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w:t>
            </w:r>
            <w:r>
              <w:rPr>
                <w:rFonts w:ascii="Times New Roman" w:hAnsi="Times New Roman" w:cs="Times New Roman"/>
                <w:b/>
                <w:bCs/>
                <w:sz w:val="21"/>
                <w:szCs w:val="21"/>
              </w:rPr>
              <w:t>-6</w:t>
            </w:r>
            <w:r>
              <w:rPr>
                <w:rFonts w:ascii="Times New Roman" w:hAnsi="Times New Roman" w:cs="Times New Roman" w:hint="eastAsia"/>
                <w:b/>
                <w:bCs/>
                <w:sz w:val="21"/>
                <w:szCs w:val="21"/>
              </w:rPr>
              <w:t>月</w:t>
            </w:r>
          </w:p>
        </w:tc>
        <w:tc>
          <w:tcPr>
            <w:tcW w:w="1592" w:type="dxa"/>
            <w:shd w:val="clear" w:color="auto" w:fill="auto"/>
            <w:vAlign w:val="center"/>
          </w:tcPr>
          <w:p w14:paraId="507F4CC0"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2020</w:t>
            </w:r>
            <w:r>
              <w:rPr>
                <w:rFonts w:ascii="Times New Roman" w:hAnsi="Times New Roman" w:cs="Times New Roman"/>
                <w:b/>
                <w:bCs/>
                <w:sz w:val="21"/>
                <w:szCs w:val="21"/>
              </w:rPr>
              <w:t>年度</w:t>
            </w:r>
          </w:p>
        </w:tc>
        <w:tc>
          <w:tcPr>
            <w:tcW w:w="1621" w:type="dxa"/>
            <w:shd w:val="clear" w:color="auto" w:fill="auto"/>
            <w:vAlign w:val="center"/>
          </w:tcPr>
          <w:p w14:paraId="3EB04900"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2019</w:t>
            </w:r>
            <w:r>
              <w:rPr>
                <w:rFonts w:ascii="Times New Roman" w:hAnsi="Times New Roman" w:cs="Times New Roman"/>
                <w:b/>
                <w:bCs/>
                <w:sz w:val="21"/>
                <w:szCs w:val="21"/>
              </w:rPr>
              <w:t>年度</w:t>
            </w:r>
          </w:p>
        </w:tc>
      </w:tr>
      <w:tr w:rsidR="00DE1B44" w14:paraId="5468E5A3" w14:textId="77777777">
        <w:trPr>
          <w:trHeight w:val="397"/>
        </w:trPr>
        <w:tc>
          <w:tcPr>
            <w:tcW w:w="4211" w:type="dxa"/>
            <w:shd w:val="clear" w:color="auto" w:fill="auto"/>
            <w:vAlign w:val="center"/>
          </w:tcPr>
          <w:p w14:paraId="2E16DBDD"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发行其他权益工具收到的现金</w:t>
            </w:r>
          </w:p>
        </w:tc>
        <w:tc>
          <w:tcPr>
            <w:tcW w:w="1592" w:type="dxa"/>
            <w:shd w:val="clear" w:color="auto" w:fill="auto"/>
            <w:vAlign w:val="center"/>
          </w:tcPr>
          <w:p w14:paraId="3DFD71D8"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w:t>
            </w:r>
          </w:p>
        </w:tc>
        <w:tc>
          <w:tcPr>
            <w:tcW w:w="1592" w:type="dxa"/>
            <w:shd w:val="clear" w:color="auto" w:fill="auto"/>
            <w:vAlign w:val="center"/>
          </w:tcPr>
          <w:p w14:paraId="3F054D07"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w:t>
            </w:r>
          </w:p>
        </w:tc>
        <w:tc>
          <w:tcPr>
            <w:tcW w:w="1621" w:type="dxa"/>
            <w:shd w:val="clear" w:color="auto" w:fill="auto"/>
            <w:vAlign w:val="center"/>
          </w:tcPr>
          <w:p w14:paraId="4968CC0D"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44,991</w:t>
            </w:r>
          </w:p>
        </w:tc>
      </w:tr>
      <w:tr w:rsidR="00DE1B44" w14:paraId="2790D0F8" w14:textId="77777777">
        <w:trPr>
          <w:trHeight w:val="397"/>
        </w:trPr>
        <w:tc>
          <w:tcPr>
            <w:tcW w:w="4211" w:type="dxa"/>
            <w:shd w:val="clear" w:color="auto" w:fill="auto"/>
            <w:vAlign w:val="center"/>
          </w:tcPr>
          <w:p w14:paraId="573E9307"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发行应付债券所收到的现金</w:t>
            </w:r>
          </w:p>
        </w:tc>
        <w:tc>
          <w:tcPr>
            <w:tcW w:w="1592" w:type="dxa"/>
            <w:shd w:val="clear" w:color="auto" w:fill="auto"/>
            <w:vAlign w:val="center"/>
          </w:tcPr>
          <w:p w14:paraId="169B5434"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233,914</w:t>
            </w:r>
          </w:p>
        </w:tc>
        <w:tc>
          <w:tcPr>
            <w:tcW w:w="1592" w:type="dxa"/>
            <w:shd w:val="clear" w:color="auto" w:fill="auto"/>
            <w:vAlign w:val="center"/>
          </w:tcPr>
          <w:p w14:paraId="5FFA0E81"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430,146</w:t>
            </w:r>
          </w:p>
        </w:tc>
        <w:tc>
          <w:tcPr>
            <w:tcW w:w="1621" w:type="dxa"/>
            <w:shd w:val="clear" w:color="auto" w:fill="auto"/>
            <w:noWrap/>
            <w:vAlign w:val="center"/>
          </w:tcPr>
          <w:p w14:paraId="170B4CDF"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202,026</w:t>
            </w:r>
          </w:p>
        </w:tc>
      </w:tr>
      <w:tr w:rsidR="00DE1B44" w14:paraId="0B5F388E" w14:textId="77777777">
        <w:trPr>
          <w:trHeight w:val="397"/>
        </w:trPr>
        <w:tc>
          <w:tcPr>
            <w:tcW w:w="4211" w:type="dxa"/>
            <w:shd w:val="clear" w:color="auto" w:fill="auto"/>
            <w:vAlign w:val="center"/>
          </w:tcPr>
          <w:p w14:paraId="79AD7848" w14:textId="77777777" w:rsidR="00DE1B44" w:rsidRDefault="00D40582">
            <w:pPr>
              <w:spacing w:beforeLines="0" w:before="0" w:line="240" w:lineRule="auto"/>
              <w:ind w:firstLineChars="0" w:firstLine="0"/>
              <w:rPr>
                <w:rFonts w:ascii="Times New Roman" w:hAnsi="Times New Roman" w:cs="Times New Roman"/>
                <w:b/>
                <w:bCs/>
                <w:sz w:val="21"/>
                <w:szCs w:val="21"/>
              </w:rPr>
            </w:pPr>
            <w:r>
              <w:rPr>
                <w:rFonts w:ascii="Times New Roman" w:hAnsi="Times New Roman" w:cs="Times New Roman"/>
                <w:b/>
                <w:bCs/>
                <w:sz w:val="21"/>
                <w:szCs w:val="21"/>
              </w:rPr>
              <w:t>筹资活动现金流入小计</w:t>
            </w:r>
          </w:p>
        </w:tc>
        <w:tc>
          <w:tcPr>
            <w:tcW w:w="1592" w:type="dxa"/>
            <w:shd w:val="clear" w:color="auto" w:fill="auto"/>
            <w:vAlign w:val="center"/>
          </w:tcPr>
          <w:p w14:paraId="0EEC5938" w14:textId="77777777" w:rsidR="00DE1B44" w:rsidRDefault="00D40582">
            <w:pPr>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233,914</w:t>
            </w:r>
          </w:p>
        </w:tc>
        <w:tc>
          <w:tcPr>
            <w:tcW w:w="1592" w:type="dxa"/>
            <w:shd w:val="clear" w:color="auto" w:fill="auto"/>
            <w:vAlign w:val="center"/>
          </w:tcPr>
          <w:p w14:paraId="1C2784F3" w14:textId="77777777" w:rsidR="00DE1B44" w:rsidRDefault="00D40582">
            <w:pPr>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430,146</w:t>
            </w:r>
          </w:p>
        </w:tc>
        <w:tc>
          <w:tcPr>
            <w:tcW w:w="1621" w:type="dxa"/>
            <w:shd w:val="clear" w:color="auto" w:fill="auto"/>
            <w:noWrap/>
            <w:vAlign w:val="center"/>
          </w:tcPr>
          <w:p w14:paraId="33241C52" w14:textId="77777777" w:rsidR="00DE1B44" w:rsidRDefault="00D40582">
            <w:pPr>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247,017</w:t>
            </w:r>
          </w:p>
        </w:tc>
      </w:tr>
      <w:tr w:rsidR="00DE1B44" w14:paraId="487880E0" w14:textId="77777777">
        <w:trPr>
          <w:trHeight w:val="397"/>
        </w:trPr>
        <w:tc>
          <w:tcPr>
            <w:tcW w:w="4211" w:type="dxa"/>
            <w:shd w:val="clear" w:color="auto" w:fill="auto"/>
            <w:vAlign w:val="center"/>
          </w:tcPr>
          <w:p w14:paraId="5F094CFE"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分配股利支付的现金</w:t>
            </w:r>
          </w:p>
        </w:tc>
        <w:tc>
          <w:tcPr>
            <w:tcW w:w="1592" w:type="dxa"/>
            <w:shd w:val="clear" w:color="auto" w:fill="auto"/>
            <w:vAlign w:val="center"/>
          </w:tcPr>
          <w:p w14:paraId="02DB88F7"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(58)</w:t>
            </w:r>
          </w:p>
        </w:tc>
        <w:tc>
          <w:tcPr>
            <w:tcW w:w="1592" w:type="dxa"/>
            <w:shd w:val="clear" w:color="auto" w:fill="auto"/>
            <w:vAlign w:val="center"/>
          </w:tcPr>
          <w:p w14:paraId="3B22134B"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(1,211)</w:t>
            </w:r>
          </w:p>
        </w:tc>
        <w:tc>
          <w:tcPr>
            <w:tcW w:w="1621" w:type="dxa"/>
            <w:shd w:val="clear" w:color="auto" w:fill="auto"/>
            <w:noWrap/>
            <w:vAlign w:val="center"/>
          </w:tcPr>
          <w:p w14:paraId="254AFA7E"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(634)</w:t>
            </w:r>
          </w:p>
        </w:tc>
      </w:tr>
      <w:tr w:rsidR="00DE1B44" w14:paraId="06C3ED43" w14:textId="77777777">
        <w:trPr>
          <w:trHeight w:val="397"/>
        </w:trPr>
        <w:tc>
          <w:tcPr>
            <w:tcW w:w="4211" w:type="dxa"/>
            <w:shd w:val="clear" w:color="auto" w:fill="auto"/>
            <w:vAlign w:val="center"/>
          </w:tcPr>
          <w:p w14:paraId="51F4E7B1"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偿付债务支付的现金</w:t>
            </w:r>
          </w:p>
        </w:tc>
        <w:tc>
          <w:tcPr>
            <w:tcW w:w="1592" w:type="dxa"/>
            <w:shd w:val="clear" w:color="auto" w:fill="auto"/>
            <w:vAlign w:val="center"/>
          </w:tcPr>
          <w:p w14:paraId="3B6954BB"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(225,833)</w:t>
            </w:r>
          </w:p>
        </w:tc>
        <w:tc>
          <w:tcPr>
            <w:tcW w:w="1592" w:type="dxa"/>
            <w:shd w:val="clear" w:color="auto" w:fill="auto"/>
            <w:vAlign w:val="center"/>
          </w:tcPr>
          <w:p w14:paraId="52E46532"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(359,250)</w:t>
            </w:r>
          </w:p>
        </w:tc>
        <w:tc>
          <w:tcPr>
            <w:tcW w:w="1621" w:type="dxa"/>
            <w:shd w:val="clear" w:color="auto" w:fill="auto"/>
            <w:noWrap/>
            <w:vAlign w:val="center"/>
          </w:tcPr>
          <w:p w14:paraId="1F0B1226"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(217,130)</w:t>
            </w:r>
          </w:p>
        </w:tc>
      </w:tr>
      <w:tr w:rsidR="00DE1B44" w14:paraId="4CA04C30" w14:textId="77777777">
        <w:trPr>
          <w:trHeight w:val="397"/>
        </w:trPr>
        <w:tc>
          <w:tcPr>
            <w:tcW w:w="4211" w:type="dxa"/>
            <w:shd w:val="clear" w:color="auto" w:fill="auto"/>
            <w:vAlign w:val="center"/>
          </w:tcPr>
          <w:p w14:paraId="2571D252"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发行应付债券所支付的利息</w:t>
            </w:r>
          </w:p>
        </w:tc>
        <w:tc>
          <w:tcPr>
            <w:tcW w:w="1592" w:type="dxa"/>
            <w:shd w:val="clear" w:color="auto" w:fill="auto"/>
            <w:vAlign w:val="center"/>
          </w:tcPr>
          <w:p w14:paraId="1A9E695C"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(6,878)</w:t>
            </w:r>
          </w:p>
        </w:tc>
        <w:tc>
          <w:tcPr>
            <w:tcW w:w="1592" w:type="dxa"/>
            <w:shd w:val="clear" w:color="auto" w:fill="auto"/>
            <w:vAlign w:val="center"/>
          </w:tcPr>
          <w:p w14:paraId="4A3CB288"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(2,043)</w:t>
            </w:r>
          </w:p>
        </w:tc>
        <w:tc>
          <w:tcPr>
            <w:tcW w:w="1621" w:type="dxa"/>
            <w:shd w:val="clear" w:color="auto" w:fill="auto"/>
            <w:noWrap/>
            <w:vAlign w:val="center"/>
          </w:tcPr>
          <w:p w14:paraId="1599E985"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(2,652)</w:t>
            </w:r>
          </w:p>
        </w:tc>
      </w:tr>
      <w:tr w:rsidR="00DE1B44" w14:paraId="07776435" w14:textId="77777777">
        <w:trPr>
          <w:trHeight w:val="397"/>
        </w:trPr>
        <w:tc>
          <w:tcPr>
            <w:tcW w:w="4211" w:type="dxa"/>
            <w:shd w:val="clear" w:color="auto" w:fill="auto"/>
            <w:vAlign w:val="center"/>
          </w:tcPr>
          <w:p w14:paraId="3C97A21B"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支付其他与筹资活动有关的现金</w:t>
            </w:r>
          </w:p>
        </w:tc>
        <w:tc>
          <w:tcPr>
            <w:tcW w:w="1592" w:type="dxa"/>
            <w:shd w:val="clear" w:color="auto" w:fill="auto"/>
            <w:vAlign w:val="center"/>
          </w:tcPr>
          <w:p w14:paraId="2032C964"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(868)</w:t>
            </w:r>
          </w:p>
        </w:tc>
        <w:tc>
          <w:tcPr>
            <w:tcW w:w="1592" w:type="dxa"/>
            <w:shd w:val="clear" w:color="auto" w:fill="auto"/>
            <w:vAlign w:val="center"/>
          </w:tcPr>
          <w:p w14:paraId="5764C42A"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(2,025)</w:t>
            </w:r>
          </w:p>
        </w:tc>
        <w:tc>
          <w:tcPr>
            <w:tcW w:w="1621" w:type="dxa"/>
            <w:shd w:val="clear" w:color="auto" w:fill="auto"/>
            <w:noWrap/>
            <w:vAlign w:val="center"/>
          </w:tcPr>
          <w:p w14:paraId="4FC659FF"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w:t>
            </w:r>
          </w:p>
        </w:tc>
      </w:tr>
      <w:tr w:rsidR="00DE1B44" w14:paraId="198C0D8B" w14:textId="77777777">
        <w:trPr>
          <w:trHeight w:val="397"/>
        </w:trPr>
        <w:tc>
          <w:tcPr>
            <w:tcW w:w="4211" w:type="dxa"/>
            <w:shd w:val="clear" w:color="auto" w:fill="auto"/>
            <w:vAlign w:val="center"/>
          </w:tcPr>
          <w:p w14:paraId="0A4BED32" w14:textId="77777777" w:rsidR="00DE1B44" w:rsidRDefault="00D40582">
            <w:pPr>
              <w:spacing w:beforeLines="0" w:before="0" w:line="240" w:lineRule="auto"/>
              <w:ind w:firstLineChars="0" w:firstLine="0"/>
              <w:rPr>
                <w:rFonts w:ascii="Times New Roman" w:hAnsi="Times New Roman" w:cs="Times New Roman"/>
                <w:b/>
                <w:bCs/>
                <w:sz w:val="21"/>
                <w:szCs w:val="21"/>
              </w:rPr>
            </w:pPr>
            <w:r>
              <w:rPr>
                <w:rFonts w:ascii="Times New Roman" w:hAnsi="Times New Roman" w:cs="Times New Roman"/>
                <w:b/>
                <w:bCs/>
                <w:sz w:val="21"/>
                <w:szCs w:val="21"/>
              </w:rPr>
              <w:t>筹资活动现金流出小计</w:t>
            </w:r>
          </w:p>
        </w:tc>
        <w:tc>
          <w:tcPr>
            <w:tcW w:w="1592" w:type="dxa"/>
            <w:shd w:val="clear" w:color="auto" w:fill="auto"/>
            <w:vAlign w:val="center"/>
          </w:tcPr>
          <w:p w14:paraId="1DD74386" w14:textId="77777777" w:rsidR="00DE1B44" w:rsidRDefault="00D40582">
            <w:pPr>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(233,636)</w:t>
            </w:r>
          </w:p>
        </w:tc>
        <w:tc>
          <w:tcPr>
            <w:tcW w:w="1592" w:type="dxa"/>
            <w:shd w:val="clear" w:color="auto" w:fill="auto"/>
            <w:vAlign w:val="center"/>
          </w:tcPr>
          <w:p w14:paraId="66463389" w14:textId="77777777" w:rsidR="00DE1B44" w:rsidRDefault="00D40582">
            <w:pPr>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(364,529)</w:t>
            </w:r>
          </w:p>
        </w:tc>
        <w:tc>
          <w:tcPr>
            <w:tcW w:w="1621" w:type="dxa"/>
            <w:shd w:val="clear" w:color="auto" w:fill="auto"/>
            <w:noWrap/>
            <w:vAlign w:val="center"/>
          </w:tcPr>
          <w:p w14:paraId="2E33F007" w14:textId="77777777" w:rsidR="00DE1B44" w:rsidRDefault="00D40582">
            <w:pPr>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(220,417)</w:t>
            </w:r>
          </w:p>
        </w:tc>
      </w:tr>
      <w:tr w:rsidR="00DE1B44" w14:paraId="1DF5CEC6" w14:textId="77777777">
        <w:trPr>
          <w:trHeight w:val="397"/>
        </w:trPr>
        <w:tc>
          <w:tcPr>
            <w:tcW w:w="4211" w:type="dxa"/>
            <w:shd w:val="clear" w:color="auto" w:fill="auto"/>
            <w:vAlign w:val="center"/>
          </w:tcPr>
          <w:p w14:paraId="2CF04E89" w14:textId="77777777" w:rsidR="00DE1B44" w:rsidRDefault="00D40582">
            <w:pPr>
              <w:spacing w:beforeLines="0" w:before="0" w:line="240" w:lineRule="auto"/>
              <w:ind w:firstLineChars="0" w:firstLine="0"/>
              <w:rPr>
                <w:rFonts w:ascii="Times New Roman" w:hAnsi="Times New Roman" w:cs="Times New Roman"/>
                <w:b/>
                <w:bCs/>
                <w:sz w:val="21"/>
                <w:szCs w:val="21"/>
              </w:rPr>
            </w:pPr>
            <w:r>
              <w:rPr>
                <w:rFonts w:ascii="Times New Roman" w:hAnsi="Times New Roman" w:cs="Times New Roman"/>
                <w:b/>
                <w:bCs/>
                <w:sz w:val="21"/>
                <w:szCs w:val="21"/>
              </w:rPr>
              <w:t>筹资活动产生的现金流量净额</w:t>
            </w:r>
          </w:p>
        </w:tc>
        <w:tc>
          <w:tcPr>
            <w:tcW w:w="1592" w:type="dxa"/>
            <w:shd w:val="clear" w:color="auto" w:fill="auto"/>
            <w:vAlign w:val="center"/>
          </w:tcPr>
          <w:p w14:paraId="1A01AAB9" w14:textId="77777777" w:rsidR="00DE1B44" w:rsidRDefault="00D40582">
            <w:pPr>
              <w:spacing w:beforeLines="0" w:before="0" w:line="240" w:lineRule="auto"/>
              <w:ind w:firstLineChars="0" w:firstLine="0"/>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278</w:t>
            </w:r>
          </w:p>
        </w:tc>
        <w:tc>
          <w:tcPr>
            <w:tcW w:w="1592" w:type="dxa"/>
            <w:shd w:val="clear" w:color="auto" w:fill="auto"/>
            <w:vAlign w:val="center"/>
          </w:tcPr>
          <w:p w14:paraId="4CFF4396" w14:textId="77777777" w:rsidR="00DE1B44" w:rsidRDefault="00D40582">
            <w:pPr>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65,617</w:t>
            </w:r>
          </w:p>
        </w:tc>
        <w:tc>
          <w:tcPr>
            <w:tcW w:w="1621" w:type="dxa"/>
            <w:shd w:val="clear" w:color="auto" w:fill="auto"/>
            <w:noWrap/>
            <w:vAlign w:val="center"/>
          </w:tcPr>
          <w:p w14:paraId="77D0BD29" w14:textId="77777777" w:rsidR="00DE1B44" w:rsidRDefault="00D40582">
            <w:pPr>
              <w:spacing w:beforeLines="0" w:before="0" w:line="240" w:lineRule="auto"/>
              <w:ind w:firstLineChars="0" w:firstLine="0"/>
              <w:jc w:val="right"/>
              <w:rPr>
                <w:rFonts w:ascii="Times New Roman" w:hAnsi="Times New Roman" w:cs="Times New Roman"/>
                <w:b/>
                <w:bCs/>
                <w:sz w:val="21"/>
                <w:szCs w:val="21"/>
              </w:rPr>
            </w:pPr>
            <w:r>
              <w:rPr>
                <w:rFonts w:ascii="Times New Roman" w:hAnsi="Times New Roman" w:cs="Times New Roman"/>
                <w:b/>
                <w:bCs/>
                <w:sz w:val="21"/>
                <w:szCs w:val="21"/>
              </w:rPr>
              <w:t>26,600</w:t>
            </w:r>
          </w:p>
        </w:tc>
      </w:tr>
    </w:tbl>
    <w:p w14:paraId="7A0A4596"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lastRenderedPageBreak/>
        <w:t>本行筹资活动产生的现金流入构成主要为发行应付债券所收到的现金。</w:t>
      </w: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，本行发行应付债券所收到的现金分别为</w:t>
      </w:r>
      <w:r>
        <w:rPr>
          <w:rFonts w:ascii="Times New Roman" w:hAnsi="Times New Roman"/>
        </w:rPr>
        <w:t>2,020.26</w:t>
      </w:r>
      <w:r>
        <w:rPr>
          <w:rFonts w:ascii="Times New Roman" w:hAnsi="Times New Roman"/>
        </w:rPr>
        <w:t>亿元</w:t>
      </w:r>
      <w:r>
        <w:rPr>
          <w:rFonts w:ascii="Times New Roman" w:hAnsi="Times New Roman" w:hint="eastAsia"/>
        </w:rPr>
        <w:t>、</w:t>
      </w:r>
      <w:r>
        <w:rPr>
          <w:rFonts w:ascii="Times New Roman" w:hAnsi="Times New Roman"/>
        </w:rPr>
        <w:t>4,301.46</w:t>
      </w:r>
      <w:r>
        <w:rPr>
          <w:rFonts w:ascii="Times New Roman" w:hAnsi="Times New Roman"/>
        </w:rPr>
        <w:t>亿元</w:t>
      </w:r>
      <w:r>
        <w:rPr>
          <w:rFonts w:ascii="Times New Roman" w:hAnsi="Times New Roman" w:hint="eastAsia"/>
        </w:rPr>
        <w:t>和</w:t>
      </w:r>
      <w:r>
        <w:rPr>
          <w:rFonts w:ascii="Times New Roman" w:hAnsi="Times New Roman" w:hint="eastAsia"/>
        </w:rPr>
        <w:t>2</w:t>
      </w:r>
      <w:r>
        <w:rPr>
          <w:rFonts w:ascii="Times New Roman" w:hAnsi="Times New Roman"/>
        </w:rPr>
        <w:t>,339.14</w:t>
      </w:r>
      <w:r>
        <w:rPr>
          <w:rFonts w:ascii="Times New Roman" w:hAnsi="Times New Roman" w:hint="eastAsia"/>
        </w:rPr>
        <w:t>亿元</w:t>
      </w:r>
      <w:r>
        <w:rPr>
          <w:rFonts w:ascii="Times New Roman" w:hAnsi="Times New Roman"/>
        </w:rPr>
        <w:t>。本行筹资活动产生的现金流出构成主要为偿付债务支付的现金。</w:t>
      </w: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，本行偿付债务支付的现金分别为</w:t>
      </w:r>
      <w:r>
        <w:rPr>
          <w:rFonts w:ascii="Times New Roman" w:hAnsi="Times New Roman"/>
        </w:rPr>
        <w:t>2,171.30</w:t>
      </w:r>
      <w:r>
        <w:rPr>
          <w:rFonts w:ascii="Times New Roman" w:hAnsi="Times New Roman"/>
        </w:rPr>
        <w:t>亿元</w:t>
      </w:r>
      <w:r>
        <w:rPr>
          <w:rFonts w:ascii="Times New Roman" w:hAnsi="Times New Roman" w:hint="eastAsia"/>
        </w:rPr>
        <w:t>、</w:t>
      </w:r>
      <w:r>
        <w:rPr>
          <w:rFonts w:ascii="Times New Roman" w:hAnsi="Times New Roman"/>
        </w:rPr>
        <w:t>3,592.50</w:t>
      </w:r>
      <w:r>
        <w:rPr>
          <w:rFonts w:ascii="Times New Roman" w:hAnsi="Times New Roman"/>
        </w:rPr>
        <w:t>亿元</w:t>
      </w:r>
      <w:r>
        <w:rPr>
          <w:rFonts w:ascii="Times New Roman" w:hAnsi="Times New Roman" w:hint="eastAsia"/>
        </w:rPr>
        <w:t>和</w:t>
      </w:r>
      <w:r>
        <w:rPr>
          <w:rFonts w:ascii="Times New Roman" w:hAnsi="Times New Roman" w:hint="eastAsia"/>
        </w:rPr>
        <w:t>2</w:t>
      </w:r>
      <w:r>
        <w:rPr>
          <w:rFonts w:ascii="Times New Roman" w:hAnsi="Times New Roman"/>
        </w:rPr>
        <w:t>,258.33</w:t>
      </w:r>
      <w:r>
        <w:rPr>
          <w:rFonts w:ascii="Times New Roman" w:hAnsi="Times New Roman" w:hint="eastAsia"/>
        </w:rPr>
        <w:t>亿元</w:t>
      </w:r>
      <w:r>
        <w:rPr>
          <w:rFonts w:ascii="Times New Roman" w:hAnsi="Times New Roman"/>
        </w:rPr>
        <w:t>。</w:t>
      </w:r>
    </w:p>
    <w:p w14:paraId="771C8C84"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2019</w:t>
      </w:r>
      <w:r>
        <w:rPr>
          <w:rFonts w:ascii="Times New Roman" w:hAnsi="Times New Roman"/>
        </w:rPr>
        <w:t>年度</w:t>
      </w:r>
      <w:r>
        <w:rPr>
          <w:rFonts w:ascii="Times New Roman" w:hAnsi="Times New Roman" w:hint="eastAsia"/>
        </w:rPr>
        <w:t>、</w:t>
      </w:r>
      <w:r>
        <w:rPr>
          <w:rFonts w:ascii="Times New Roman" w:hAnsi="Times New Roman"/>
        </w:rPr>
        <w:t>2020</w:t>
      </w:r>
      <w:r>
        <w:rPr>
          <w:rFonts w:ascii="Times New Roman" w:hAnsi="Times New Roman"/>
        </w:rPr>
        <w:t>年度</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1</w:t>
      </w:r>
      <w:r>
        <w:rPr>
          <w:rFonts w:ascii="Times New Roman" w:hAnsi="Times New Roman"/>
        </w:rPr>
        <w:t>-6</w:t>
      </w:r>
      <w:r>
        <w:rPr>
          <w:rFonts w:ascii="Times New Roman" w:hAnsi="Times New Roman" w:hint="eastAsia"/>
        </w:rPr>
        <w:t>月</w:t>
      </w:r>
      <w:r>
        <w:rPr>
          <w:rFonts w:ascii="Times New Roman" w:hAnsi="Times New Roman"/>
        </w:rPr>
        <w:t>，筹资活动产生的现金流量净额分别为</w:t>
      </w:r>
      <w:r>
        <w:rPr>
          <w:rFonts w:ascii="Times New Roman" w:hAnsi="Times New Roman"/>
        </w:rPr>
        <w:t>266.00</w:t>
      </w:r>
      <w:r>
        <w:rPr>
          <w:rFonts w:ascii="Times New Roman" w:hAnsi="Times New Roman"/>
        </w:rPr>
        <w:t>亿元</w:t>
      </w:r>
      <w:r>
        <w:rPr>
          <w:rFonts w:ascii="Times New Roman" w:hAnsi="Times New Roman" w:hint="eastAsia"/>
        </w:rPr>
        <w:t>、</w:t>
      </w:r>
      <w:r>
        <w:rPr>
          <w:rFonts w:ascii="Times New Roman" w:hAnsi="Times New Roman"/>
        </w:rPr>
        <w:t>656.17</w:t>
      </w:r>
      <w:r>
        <w:rPr>
          <w:rFonts w:ascii="Times New Roman" w:hAnsi="Times New Roman"/>
        </w:rPr>
        <w:t>亿元</w:t>
      </w:r>
      <w:r>
        <w:rPr>
          <w:rFonts w:ascii="Times New Roman" w:hAnsi="Times New Roman" w:hint="eastAsia"/>
        </w:rPr>
        <w:t>和</w:t>
      </w:r>
      <w:r>
        <w:rPr>
          <w:rFonts w:ascii="Times New Roman" w:hAnsi="Times New Roman"/>
        </w:rPr>
        <w:t>2.78</w:t>
      </w:r>
      <w:r>
        <w:rPr>
          <w:rFonts w:ascii="Times New Roman" w:hAnsi="Times New Roman" w:hint="eastAsia"/>
        </w:rPr>
        <w:t>亿元</w:t>
      </w:r>
      <w:r>
        <w:rPr>
          <w:rFonts w:ascii="Times New Roman" w:hAnsi="Times New Roman"/>
        </w:rPr>
        <w:t>，</w:t>
      </w:r>
      <w:r>
        <w:rPr>
          <w:rFonts w:ascii="Times New Roman" w:hAnsi="Times New Roman"/>
        </w:rPr>
        <w:t>2020</w:t>
      </w:r>
      <w:r>
        <w:rPr>
          <w:rFonts w:ascii="Times New Roman" w:hAnsi="Times New Roman"/>
        </w:rPr>
        <w:t>年筹资活动产生的现金流入净额较上年</w:t>
      </w:r>
      <w:r>
        <w:rPr>
          <w:rFonts w:ascii="Times New Roman" w:hAnsi="Times New Roman" w:hint="eastAsia"/>
        </w:rPr>
        <w:t>末</w:t>
      </w:r>
      <w:r>
        <w:rPr>
          <w:rFonts w:ascii="Times New Roman" w:hAnsi="Times New Roman"/>
        </w:rPr>
        <w:t>增加</w:t>
      </w:r>
      <w:r>
        <w:rPr>
          <w:rFonts w:ascii="Times New Roman" w:hAnsi="Times New Roman"/>
        </w:rPr>
        <w:t>390.17</w:t>
      </w:r>
      <w:r>
        <w:rPr>
          <w:rFonts w:ascii="Times New Roman" w:hAnsi="Times New Roman"/>
        </w:rPr>
        <w:t>亿元，增长</w:t>
      </w:r>
      <w:r>
        <w:rPr>
          <w:rFonts w:ascii="Times New Roman" w:hAnsi="Times New Roman"/>
        </w:rPr>
        <w:t>146.68%</w:t>
      </w:r>
      <w:r>
        <w:rPr>
          <w:rFonts w:ascii="Times New Roman" w:hAnsi="Times New Roman"/>
        </w:rPr>
        <w:t>，主要系</w:t>
      </w:r>
      <w:r>
        <w:rPr>
          <w:rFonts w:ascii="Times New Roman" w:hAnsi="Times New Roman"/>
        </w:rPr>
        <w:t>2020</w:t>
      </w:r>
      <w:r>
        <w:rPr>
          <w:rFonts w:ascii="Times New Roman" w:hAnsi="Times New Roman"/>
        </w:rPr>
        <w:t>年本行二级资本债和</w:t>
      </w:r>
      <w:r>
        <w:rPr>
          <w:rFonts w:ascii="Times New Roman" w:hAnsi="Times New Roman" w:hint="eastAsia"/>
        </w:rPr>
        <w:t>同业存单发行规模增加。</w:t>
      </w:r>
    </w:p>
    <w:p w14:paraId="1D479C11" w14:textId="77777777" w:rsidR="00DE1B44" w:rsidRDefault="00D40582">
      <w:pPr>
        <w:pStyle w:val="4a"/>
        <w:spacing w:before="120"/>
        <w:rPr>
          <w:rFonts w:ascii="Times New Roman" w:hAnsi="Times New Roman"/>
        </w:rPr>
      </w:pPr>
      <w:r>
        <w:rPr>
          <w:rFonts w:ascii="Times New Roman" w:hAnsi="Times New Roman" w:hint="eastAsia"/>
        </w:rPr>
        <w:t>（四）</w:t>
      </w:r>
      <w:r>
        <w:rPr>
          <w:rFonts w:ascii="Times New Roman" w:hAnsi="Times New Roman"/>
        </w:rPr>
        <w:t>主要监管指标分析</w:t>
      </w:r>
    </w:p>
    <w:p w14:paraId="5F3AF23E" w14:textId="77777777" w:rsidR="00DE1B44" w:rsidRDefault="00D40582">
      <w:pPr>
        <w:pStyle w:val="affa"/>
        <w:shd w:val="clear" w:color="auto" w:fill="FFFFFF"/>
        <w:spacing w:before="120"/>
        <w:ind w:firstLine="480"/>
        <w:rPr>
          <w:rFonts w:ascii="Times New Roman" w:hAnsi="Times New Roman"/>
          <w:color w:val="000000" w:themeColor="text1"/>
        </w:rPr>
      </w:pPr>
      <w:r>
        <w:rPr>
          <w:rFonts w:ascii="Times New Roman" w:hAnsi="Times New Roman"/>
          <w:color w:val="000000" w:themeColor="text1"/>
        </w:rPr>
        <w:t>本行按照中国银监会于</w:t>
      </w:r>
      <w:r>
        <w:rPr>
          <w:rFonts w:ascii="Times New Roman" w:hAnsi="Times New Roman"/>
          <w:color w:val="000000" w:themeColor="text1"/>
        </w:rPr>
        <w:t>2005</w:t>
      </w:r>
      <w:r>
        <w:rPr>
          <w:rFonts w:ascii="Times New Roman" w:hAnsi="Times New Roman"/>
          <w:color w:val="000000" w:themeColor="text1"/>
        </w:rPr>
        <w:t>年</w:t>
      </w:r>
      <w:r>
        <w:rPr>
          <w:rFonts w:ascii="Times New Roman" w:hAnsi="Times New Roman"/>
          <w:color w:val="000000" w:themeColor="text1"/>
        </w:rPr>
        <w:t>12</w:t>
      </w:r>
      <w:r>
        <w:rPr>
          <w:rFonts w:ascii="Times New Roman" w:hAnsi="Times New Roman"/>
          <w:color w:val="000000" w:themeColor="text1"/>
        </w:rPr>
        <w:t>月</w:t>
      </w:r>
      <w:r>
        <w:rPr>
          <w:rFonts w:ascii="Times New Roman" w:hAnsi="Times New Roman"/>
          <w:color w:val="000000" w:themeColor="text1"/>
        </w:rPr>
        <w:t>31</w:t>
      </w:r>
      <w:r>
        <w:rPr>
          <w:rFonts w:ascii="Times New Roman" w:hAnsi="Times New Roman"/>
          <w:color w:val="000000" w:themeColor="text1"/>
        </w:rPr>
        <w:t>日颁布的《商业银行风险监管核心指标</w:t>
      </w:r>
      <w:r>
        <w:rPr>
          <w:rFonts w:ascii="Times New Roman" w:hAnsi="Times New Roman" w:hint="eastAsia"/>
          <w:color w:val="000000" w:themeColor="text1"/>
        </w:rPr>
        <w:t>（</w:t>
      </w:r>
      <w:r>
        <w:rPr>
          <w:rFonts w:ascii="Times New Roman" w:hAnsi="Times New Roman"/>
          <w:color w:val="000000" w:themeColor="text1"/>
        </w:rPr>
        <w:t>试行</w:t>
      </w:r>
      <w:r>
        <w:rPr>
          <w:rFonts w:ascii="Times New Roman" w:hAnsi="Times New Roman" w:hint="eastAsia"/>
          <w:color w:val="000000" w:themeColor="text1"/>
        </w:rPr>
        <w:t>）</w:t>
      </w:r>
      <w:r>
        <w:rPr>
          <w:rFonts w:ascii="Times New Roman" w:hAnsi="Times New Roman"/>
          <w:color w:val="000000" w:themeColor="text1"/>
        </w:rPr>
        <w:t>》</w:t>
      </w:r>
      <w:r>
        <w:rPr>
          <w:rFonts w:ascii="Times New Roman" w:hAnsi="Times New Roman" w:hint="eastAsia"/>
          <w:color w:val="000000" w:themeColor="text1"/>
        </w:rPr>
        <w:t>（</w:t>
      </w:r>
      <w:r>
        <w:rPr>
          <w:rFonts w:ascii="Times New Roman" w:hAnsi="Times New Roman"/>
          <w:color w:val="000000" w:themeColor="text1"/>
        </w:rPr>
        <w:t>银监发〔</w:t>
      </w:r>
      <w:r>
        <w:rPr>
          <w:rFonts w:ascii="Times New Roman" w:hAnsi="Times New Roman"/>
          <w:color w:val="000000" w:themeColor="text1"/>
        </w:rPr>
        <w:t>2005</w:t>
      </w:r>
      <w:r>
        <w:rPr>
          <w:rFonts w:ascii="Times New Roman" w:hAnsi="Times New Roman"/>
          <w:color w:val="000000" w:themeColor="text1"/>
        </w:rPr>
        <w:t>〕</w:t>
      </w:r>
      <w:r>
        <w:rPr>
          <w:rFonts w:ascii="Times New Roman" w:hAnsi="Times New Roman"/>
          <w:color w:val="000000" w:themeColor="text1"/>
        </w:rPr>
        <w:t>89</w:t>
      </w:r>
      <w:r>
        <w:rPr>
          <w:rFonts w:ascii="Times New Roman" w:hAnsi="Times New Roman"/>
          <w:color w:val="000000" w:themeColor="text1"/>
        </w:rPr>
        <w:t>号</w:t>
      </w:r>
      <w:r>
        <w:rPr>
          <w:rFonts w:ascii="Times New Roman" w:hAnsi="Times New Roman" w:hint="eastAsia"/>
          <w:color w:val="000000" w:themeColor="text1"/>
        </w:rPr>
        <w:t>）</w:t>
      </w:r>
      <w:r>
        <w:rPr>
          <w:rFonts w:ascii="Times New Roman" w:hAnsi="Times New Roman"/>
          <w:color w:val="000000" w:themeColor="text1"/>
        </w:rPr>
        <w:t>及于</w:t>
      </w:r>
      <w:r>
        <w:rPr>
          <w:rFonts w:ascii="Times New Roman" w:hAnsi="Times New Roman"/>
          <w:color w:val="000000" w:themeColor="text1"/>
        </w:rPr>
        <w:t>2012</w:t>
      </w:r>
      <w:r>
        <w:rPr>
          <w:rFonts w:ascii="Times New Roman" w:hAnsi="Times New Roman"/>
          <w:color w:val="000000" w:themeColor="text1"/>
        </w:rPr>
        <w:t>年</w:t>
      </w:r>
      <w:r>
        <w:rPr>
          <w:rFonts w:ascii="Times New Roman" w:hAnsi="Times New Roman"/>
          <w:color w:val="000000" w:themeColor="text1"/>
        </w:rPr>
        <w:t>6</w:t>
      </w:r>
      <w:r>
        <w:rPr>
          <w:rFonts w:ascii="Times New Roman" w:hAnsi="Times New Roman"/>
          <w:color w:val="000000" w:themeColor="text1"/>
        </w:rPr>
        <w:t>月</w:t>
      </w:r>
      <w:r>
        <w:rPr>
          <w:rFonts w:ascii="Times New Roman" w:hAnsi="Times New Roman"/>
          <w:color w:val="000000" w:themeColor="text1"/>
        </w:rPr>
        <w:t>7</w:t>
      </w:r>
      <w:r>
        <w:rPr>
          <w:rFonts w:ascii="Times New Roman" w:hAnsi="Times New Roman"/>
          <w:color w:val="000000" w:themeColor="text1"/>
        </w:rPr>
        <w:t>日颁布的《商业银行资本管理办法</w:t>
      </w:r>
      <w:r>
        <w:rPr>
          <w:rFonts w:ascii="Times New Roman" w:hAnsi="Times New Roman" w:hint="eastAsia"/>
          <w:color w:val="000000" w:themeColor="text1"/>
        </w:rPr>
        <w:t>（</w:t>
      </w:r>
      <w:r>
        <w:rPr>
          <w:rFonts w:ascii="Times New Roman" w:hAnsi="Times New Roman"/>
          <w:color w:val="000000" w:themeColor="text1"/>
        </w:rPr>
        <w:t>试行</w:t>
      </w:r>
      <w:r>
        <w:rPr>
          <w:rFonts w:ascii="Times New Roman" w:hAnsi="Times New Roman" w:hint="eastAsia"/>
          <w:color w:val="000000" w:themeColor="text1"/>
        </w:rPr>
        <w:t>）</w:t>
      </w:r>
      <w:r>
        <w:rPr>
          <w:rFonts w:ascii="Times New Roman" w:hAnsi="Times New Roman"/>
          <w:color w:val="000000" w:themeColor="text1"/>
        </w:rPr>
        <w:t>》</w:t>
      </w:r>
      <w:r>
        <w:rPr>
          <w:rFonts w:ascii="Times New Roman" w:hAnsi="Times New Roman" w:hint="eastAsia"/>
          <w:color w:val="000000" w:themeColor="text1"/>
        </w:rPr>
        <w:t>（</w:t>
      </w:r>
      <w:r>
        <w:rPr>
          <w:rFonts w:ascii="Times New Roman" w:hAnsi="Times New Roman"/>
          <w:color w:val="000000" w:themeColor="text1"/>
        </w:rPr>
        <w:t>中国银行业监督管理委员会令</w:t>
      </w:r>
      <w:r>
        <w:rPr>
          <w:rFonts w:ascii="Times New Roman" w:hAnsi="Times New Roman"/>
          <w:color w:val="000000" w:themeColor="text1"/>
        </w:rPr>
        <w:t>2012</w:t>
      </w:r>
      <w:r>
        <w:rPr>
          <w:rFonts w:ascii="Times New Roman" w:hAnsi="Times New Roman"/>
          <w:color w:val="000000" w:themeColor="text1"/>
        </w:rPr>
        <w:t>年第</w:t>
      </w:r>
      <w:r>
        <w:rPr>
          <w:rFonts w:ascii="Times New Roman" w:hAnsi="Times New Roman"/>
          <w:color w:val="000000" w:themeColor="text1"/>
        </w:rPr>
        <w:t>1</w:t>
      </w:r>
      <w:r>
        <w:rPr>
          <w:rFonts w:ascii="Times New Roman" w:hAnsi="Times New Roman"/>
          <w:color w:val="000000" w:themeColor="text1"/>
        </w:rPr>
        <w:t>号</w:t>
      </w:r>
      <w:r>
        <w:rPr>
          <w:rFonts w:ascii="Times New Roman" w:hAnsi="Times New Roman" w:hint="eastAsia"/>
          <w:color w:val="000000" w:themeColor="text1"/>
        </w:rPr>
        <w:t>）</w:t>
      </w:r>
      <w:r>
        <w:rPr>
          <w:rFonts w:ascii="Times New Roman" w:hAnsi="Times New Roman"/>
          <w:color w:val="000000" w:themeColor="text1"/>
        </w:rPr>
        <w:t>的相关要求计算并填列监管指标，本行最近两年</w:t>
      </w:r>
      <w:r>
        <w:rPr>
          <w:rFonts w:ascii="Times New Roman" w:hAnsi="Times New Roman" w:hint="eastAsia"/>
          <w:color w:val="000000" w:themeColor="text1"/>
        </w:rPr>
        <w:t>及一期</w:t>
      </w:r>
      <w:r>
        <w:rPr>
          <w:rFonts w:ascii="Times New Roman" w:hAnsi="Times New Roman"/>
          <w:color w:val="000000" w:themeColor="text1"/>
        </w:rPr>
        <w:t>的主要监管指标如下表所示</w:t>
      </w:r>
      <w:r>
        <w:rPr>
          <w:rFonts w:ascii="Times New Roman" w:hAnsi="Times New Roman" w:hint="eastAsia"/>
          <w:color w:val="000000" w:themeColor="text1"/>
        </w:rPr>
        <w:t>：</w:t>
      </w:r>
    </w:p>
    <w:p w14:paraId="736C2BF5" w14:textId="77777777" w:rsidR="00DE1B44" w:rsidRDefault="00D40582">
      <w:pPr>
        <w:widowControl w:val="0"/>
        <w:spacing w:beforeLines="0" w:before="1" w:after="22" w:line="240" w:lineRule="auto"/>
        <w:ind w:left="7287" w:firstLineChars="0" w:firstLine="0"/>
        <w:jc w:val="right"/>
        <w:rPr>
          <w:sz w:val="21"/>
          <w:szCs w:val="22"/>
        </w:rPr>
      </w:pPr>
      <w:r>
        <w:rPr>
          <w:sz w:val="21"/>
          <w:szCs w:val="22"/>
        </w:rPr>
        <w:t>单位：</w:t>
      </w:r>
      <w:r>
        <w:rPr>
          <w:rFonts w:ascii="Times New Roman" w:hAnsi="Times New Roman" w:cs="Times New Roman"/>
          <w:sz w:val="21"/>
          <w:szCs w:val="22"/>
        </w:rPr>
        <w:t>%</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63"/>
        <w:gridCol w:w="994"/>
        <w:gridCol w:w="1919"/>
        <w:gridCol w:w="1920"/>
        <w:gridCol w:w="1920"/>
      </w:tblGrid>
      <w:tr w:rsidR="00DE1B44" w14:paraId="3F0253B5" w14:textId="77777777">
        <w:trPr>
          <w:trHeight w:val="340"/>
          <w:tblHeader/>
          <w:jc w:val="center"/>
        </w:trPr>
        <w:tc>
          <w:tcPr>
            <w:tcW w:w="2263" w:type="dxa"/>
            <w:shd w:val="clear" w:color="auto" w:fill="FFFFFF"/>
            <w:vAlign w:val="center"/>
          </w:tcPr>
          <w:p w14:paraId="17DF4460"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监管指标</w:t>
            </w:r>
          </w:p>
        </w:tc>
        <w:tc>
          <w:tcPr>
            <w:tcW w:w="994" w:type="dxa"/>
            <w:shd w:val="clear" w:color="auto" w:fill="FFFFFF"/>
            <w:vAlign w:val="center"/>
          </w:tcPr>
          <w:p w14:paraId="6B4EDFC7"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监管标准</w:t>
            </w:r>
          </w:p>
        </w:tc>
        <w:tc>
          <w:tcPr>
            <w:tcW w:w="1919" w:type="dxa"/>
            <w:shd w:val="clear" w:color="auto" w:fill="FFFFFF"/>
            <w:vAlign w:val="center"/>
          </w:tcPr>
          <w:p w14:paraId="4BEBCB61"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2</w:t>
            </w:r>
            <w:r>
              <w:rPr>
                <w:rFonts w:ascii="Times New Roman" w:hAnsi="Times New Roman" w:cs="Times New Roman"/>
                <w:b/>
                <w:bCs/>
                <w:sz w:val="21"/>
                <w:szCs w:val="21"/>
              </w:rPr>
              <w:t>021</w:t>
            </w:r>
            <w:r>
              <w:rPr>
                <w:rFonts w:ascii="Times New Roman" w:hAnsi="Times New Roman" w:cs="Times New Roman" w:hint="eastAsia"/>
                <w:b/>
                <w:bCs/>
                <w:sz w:val="21"/>
                <w:szCs w:val="21"/>
              </w:rPr>
              <w:t>年</w:t>
            </w:r>
            <w:r>
              <w:rPr>
                <w:rFonts w:ascii="Times New Roman" w:hAnsi="Times New Roman" w:cs="Times New Roman" w:hint="eastAsia"/>
                <w:b/>
                <w:bCs/>
                <w:sz w:val="21"/>
                <w:szCs w:val="21"/>
              </w:rPr>
              <w:t>6</w:t>
            </w:r>
            <w:r>
              <w:rPr>
                <w:rFonts w:ascii="Times New Roman" w:hAnsi="Times New Roman" w:cs="Times New Roman" w:hint="eastAsia"/>
                <w:b/>
                <w:bCs/>
                <w:sz w:val="21"/>
                <w:szCs w:val="21"/>
              </w:rPr>
              <w:t>月</w:t>
            </w:r>
            <w:r>
              <w:rPr>
                <w:rFonts w:ascii="Times New Roman" w:hAnsi="Times New Roman" w:cs="Times New Roman" w:hint="eastAsia"/>
                <w:b/>
                <w:bCs/>
                <w:sz w:val="21"/>
                <w:szCs w:val="21"/>
              </w:rPr>
              <w:t>3</w:t>
            </w:r>
            <w:r>
              <w:rPr>
                <w:rFonts w:ascii="Times New Roman" w:hAnsi="Times New Roman" w:cs="Times New Roman"/>
                <w:b/>
                <w:bCs/>
                <w:sz w:val="21"/>
                <w:szCs w:val="21"/>
              </w:rPr>
              <w:t>0</w:t>
            </w:r>
            <w:r>
              <w:rPr>
                <w:rFonts w:ascii="Times New Roman" w:hAnsi="Times New Roman" w:cs="Times New Roman" w:hint="eastAsia"/>
                <w:b/>
                <w:bCs/>
                <w:sz w:val="21"/>
                <w:szCs w:val="21"/>
              </w:rPr>
              <w:t>日</w:t>
            </w:r>
          </w:p>
        </w:tc>
        <w:tc>
          <w:tcPr>
            <w:tcW w:w="1920" w:type="dxa"/>
            <w:shd w:val="clear" w:color="auto" w:fill="FFFFFF"/>
            <w:vAlign w:val="center"/>
          </w:tcPr>
          <w:p w14:paraId="2FE62C45"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2020</w:t>
            </w:r>
            <w:r>
              <w:rPr>
                <w:rFonts w:ascii="Times New Roman" w:hAnsi="Times New Roman" w:cs="Times New Roman"/>
                <w:b/>
                <w:bCs/>
                <w:sz w:val="21"/>
                <w:szCs w:val="21"/>
              </w:rPr>
              <w:t>年</w:t>
            </w:r>
            <w:r>
              <w:rPr>
                <w:rFonts w:ascii="Times New Roman" w:hAnsi="Times New Roman" w:cs="Times New Roman"/>
                <w:b/>
                <w:bCs/>
                <w:sz w:val="21"/>
                <w:szCs w:val="21"/>
              </w:rPr>
              <w:t>12</w:t>
            </w:r>
            <w:r>
              <w:rPr>
                <w:rFonts w:ascii="Times New Roman" w:hAnsi="Times New Roman" w:cs="Times New Roman"/>
                <w:b/>
                <w:bCs/>
                <w:sz w:val="21"/>
                <w:szCs w:val="21"/>
              </w:rPr>
              <w:t>月</w:t>
            </w:r>
            <w:r>
              <w:rPr>
                <w:rFonts w:ascii="Times New Roman" w:hAnsi="Times New Roman" w:cs="Times New Roman"/>
                <w:b/>
                <w:bCs/>
                <w:sz w:val="21"/>
                <w:szCs w:val="21"/>
              </w:rPr>
              <w:t>31</w:t>
            </w:r>
            <w:r>
              <w:rPr>
                <w:rFonts w:ascii="Times New Roman" w:hAnsi="Times New Roman" w:cs="Times New Roman"/>
                <w:b/>
                <w:bCs/>
                <w:sz w:val="21"/>
                <w:szCs w:val="21"/>
              </w:rPr>
              <w:t>日</w:t>
            </w:r>
          </w:p>
        </w:tc>
        <w:tc>
          <w:tcPr>
            <w:tcW w:w="1920" w:type="dxa"/>
            <w:shd w:val="clear" w:color="auto" w:fill="FFFFFF"/>
            <w:vAlign w:val="center"/>
          </w:tcPr>
          <w:p w14:paraId="2C3D195A" w14:textId="77777777" w:rsidR="00DE1B44" w:rsidRDefault="00D40582">
            <w:pPr>
              <w:spacing w:beforeLines="0" w:before="0" w:line="240" w:lineRule="auto"/>
              <w:ind w:firstLineChars="0" w:firstLine="0"/>
              <w:jc w:val="center"/>
              <w:rPr>
                <w:rFonts w:ascii="Times New Roman" w:hAnsi="Times New Roman" w:cs="Times New Roman"/>
                <w:b/>
                <w:bCs/>
                <w:sz w:val="21"/>
                <w:szCs w:val="21"/>
              </w:rPr>
            </w:pPr>
            <w:r>
              <w:rPr>
                <w:rFonts w:ascii="Times New Roman" w:hAnsi="Times New Roman" w:cs="Times New Roman"/>
                <w:b/>
                <w:bCs/>
                <w:sz w:val="21"/>
                <w:szCs w:val="21"/>
              </w:rPr>
              <w:t>2019</w:t>
            </w:r>
            <w:r>
              <w:rPr>
                <w:rFonts w:ascii="Times New Roman" w:hAnsi="Times New Roman" w:cs="Times New Roman"/>
                <w:b/>
                <w:bCs/>
                <w:sz w:val="21"/>
                <w:szCs w:val="21"/>
              </w:rPr>
              <w:t>年</w:t>
            </w:r>
            <w:r>
              <w:rPr>
                <w:rFonts w:ascii="Times New Roman" w:hAnsi="Times New Roman" w:cs="Times New Roman"/>
                <w:b/>
                <w:bCs/>
                <w:sz w:val="21"/>
                <w:szCs w:val="21"/>
              </w:rPr>
              <w:t>12</w:t>
            </w:r>
            <w:r>
              <w:rPr>
                <w:rFonts w:ascii="Times New Roman" w:hAnsi="Times New Roman" w:cs="Times New Roman"/>
                <w:b/>
                <w:bCs/>
                <w:sz w:val="21"/>
                <w:szCs w:val="21"/>
              </w:rPr>
              <w:t>月</w:t>
            </w:r>
            <w:r>
              <w:rPr>
                <w:rFonts w:ascii="Times New Roman" w:hAnsi="Times New Roman" w:cs="Times New Roman"/>
                <w:b/>
                <w:bCs/>
                <w:sz w:val="21"/>
                <w:szCs w:val="21"/>
              </w:rPr>
              <w:t>31</w:t>
            </w:r>
            <w:r>
              <w:rPr>
                <w:rFonts w:ascii="Times New Roman" w:hAnsi="Times New Roman" w:cs="Times New Roman"/>
                <w:b/>
                <w:bCs/>
                <w:sz w:val="21"/>
                <w:szCs w:val="21"/>
              </w:rPr>
              <w:t>日</w:t>
            </w:r>
          </w:p>
        </w:tc>
      </w:tr>
      <w:tr w:rsidR="00DE1B44" w14:paraId="70D52781" w14:textId="77777777">
        <w:trPr>
          <w:trHeight w:val="340"/>
          <w:jc w:val="center"/>
        </w:trPr>
        <w:tc>
          <w:tcPr>
            <w:tcW w:w="2263" w:type="dxa"/>
            <w:shd w:val="clear" w:color="auto" w:fill="FFFFFF"/>
            <w:vAlign w:val="center"/>
          </w:tcPr>
          <w:p w14:paraId="57522191"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资本充足率</w:t>
            </w:r>
            <w:r>
              <w:rPr>
                <w:rFonts w:ascii="Times New Roman" w:hAnsi="Times New Roman" w:cs="Times New Roman"/>
                <w:sz w:val="21"/>
                <w:szCs w:val="21"/>
                <w:vertAlign w:val="superscript"/>
              </w:rPr>
              <w:t>1</w:t>
            </w:r>
          </w:p>
        </w:tc>
        <w:tc>
          <w:tcPr>
            <w:tcW w:w="994" w:type="dxa"/>
            <w:shd w:val="clear" w:color="auto" w:fill="FFFFFF"/>
            <w:vAlign w:val="center"/>
          </w:tcPr>
          <w:p w14:paraId="04DE9737" w14:textId="77777777" w:rsidR="00DE1B44" w:rsidRDefault="00D40582">
            <w:pPr>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≥10.5</w:t>
            </w:r>
          </w:p>
        </w:tc>
        <w:tc>
          <w:tcPr>
            <w:tcW w:w="1919" w:type="dxa"/>
            <w:shd w:val="clear" w:color="000000" w:fill="FFFFFF"/>
            <w:vAlign w:val="center"/>
          </w:tcPr>
          <w:p w14:paraId="6A5BBCCB"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12.28 </w:t>
            </w:r>
          </w:p>
        </w:tc>
        <w:tc>
          <w:tcPr>
            <w:tcW w:w="1920" w:type="dxa"/>
            <w:shd w:val="clear" w:color="auto" w:fill="FFFFFF"/>
            <w:vAlign w:val="center"/>
          </w:tcPr>
          <w:p w14:paraId="5C66B134"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12.50</w:t>
            </w:r>
          </w:p>
        </w:tc>
        <w:tc>
          <w:tcPr>
            <w:tcW w:w="1920" w:type="dxa"/>
            <w:shd w:val="clear" w:color="auto" w:fill="FFFFFF"/>
            <w:vAlign w:val="center"/>
          </w:tcPr>
          <w:p w14:paraId="6AA90296"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12.56</w:t>
            </w:r>
          </w:p>
        </w:tc>
      </w:tr>
      <w:tr w:rsidR="00DE1B44" w14:paraId="12ED612F" w14:textId="77777777">
        <w:trPr>
          <w:trHeight w:val="340"/>
          <w:jc w:val="center"/>
        </w:trPr>
        <w:tc>
          <w:tcPr>
            <w:tcW w:w="2263" w:type="dxa"/>
            <w:shd w:val="clear" w:color="auto" w:fill="FFFFFF"/>
            <w:vAlign w:val="center"/>
          </w:tcPr>
          <w:p w14:paraId="3C597919"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一级资本充足率</w:t>
            </w:r>
            <w:r>
              <w:rPr>
                <w:rFonts w:ascii="Times New Roman" w:hAnsi="Times New Roman" w:cs="Times New Roman" w:hint="eastAsia"/>
                <w:sz w:val="21"/>
                <w:szCs w:val="21"/>
                <w:vertAlign w:val="superscript"/>
              </w:rPr>
              <w:t>1</w:t>
            </w:r>
          </w:p>
        </w:tc>
        <w:tc>
          <w:tcPr>
            <w:tcW w:w="994" w:type="dxa"/>
            <w:shd w:val="clear" w:color="auto" w:fill="FFFFFF"/>
            <w:vAlign w:val="center"/>
          </w:tcPr>
          <w:p w14:paraId="4F878A06" w14:textId="77777777" w:rsidR="00DE1B44" w:rsidRDefault="00D40582">
            <w:pPr>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≥8.5</w:t>
            </w:r>
          </w:p>
        </w:tc>
        <w:tc>
          <w:tcPr>
            <w:tcW w:w="1919" w:type="dxa"/>
            <w:shd w:val="clear" w:color="000000" w:fill="FFFFFF"/>
            <w:vAlign w:val="center"/>
          </w:tcPr>
          <w:p w14:paraId="1DC6EF22"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9.66 </w:t>
            </w:r>
          </w:p>
        </w:tc>
        <w:tc>
          <w:tcPr>
            <w:tcW w:w="1920" w:type="dxa"/>
            <w:shd w:val="clear" w:color="auto" w:fill="FFFFFF"/>
            <w:vAlign w:val="center"/>
          </w:tcPr>
          <w:p w14:paraId="73D0B4DA"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9.85</w:t>
            </w:r>
          </w:p>
        </w:tc>
        <w:tc>
          <w:tcPr>
            <w:tcW w:w="1920" w:type="dxa"/>
            <w:shd w:val="clear" w:color="auto" w:fill="FFFFFF"/>
            <w:vAlign w:val="center"/>
          </w:tcPr>
          <w:p w14:paraId="28B716AB"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10.65</w:t>
            </w:r>
          </w:p>
        </w:tc>
      </w:tr>
      <w:tr w:rsidR="00DE1B44" w14:paraId="28A57051" w14:textId="77777777">
        <w:trPr>
          <w:trHeight w:val="340"/>
          <w:jc w:val="center"/>
        </w:trPr>
        <w:tc>
          <w:tcPr>
            <w:tcW w:w="2263" w:type="dxa"/>
            <w:shd w:val="clear" w:color="auto" w:fill="FFFFFF"/>
            <w:vAlign w:val="center"/>
          </w:tcPr>
          <w:p w14:paraId="37B6115B"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核心一级资本充足率</w:t>
            </w:r>
            <w:r>
              <w:rPr>
                <w:rFonts w:ascii="Times New Roman" w:hAnsi="Times New Roman" w:cs="Times New Roman" w:hint="eastAsia"/>
                <w:sz w:val="21"/>
                <w:szCs w:val="21"/>
                <w:vertAlign w:val="superscript"/>
              </w:rPr>
              <w:t>1</w:t>
            </w:r>
          </w:p>
        </w:tc>
        <w:tc>
          <w:tcPr>
            <w:tcW w:w="994" w:type="dxa"/>
            <w:shd w:val="clear" w:color="auto" w:fill="FFFFFF"/>
            <w:vAlign w:val="center"/>
          </w:tcPr>
          <w:p w14:paraId="5EC49C42" w14:textId="77777777" w:rsidR="00DE1B44" w:rsidRDefault="00D40582">
            <w:pPr>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≥7.5</w:t>
            </w:r>
          </w:p>
        </w:tc>
        <w:tc>
          <w:tcPr>
            <w:tcW w:w="1919" w:type="dxa"/>
            <w:shd w:val="clear" w:color="000000" w:fill="FFFFFF"/>
            <w:vAlign w:val="center"/>
          </w:tcPr>
          <w:p w14:paraId="37AB85C4"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7.74 </w:t>
            </w:r>
          </w:p>
        </w:tc>
        <w:tc>
          <w:tcPr>
            <w:tcW w:w="1920" w:type="dxa"/>
            <w:shd w:val="clear" w:color="auto" w:fill="FFFFFF"/>
            <w:vAlign w:val="center"/>
          </w:tcPr>
          <w:p w14:paraId="4A37785C"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7.8</w:t>
            </w:r>
          </w:p>
        </w:tc>
        <w:tc>
          <w:tcPr>
            <w:tcW w:w="1920" w:type="dxa"/>
            <w:shd w:val="clear" w:color="auto" w:fill="FFFFFF"/>
            <w:vAlign w:val="center"/>
          </w:tcPr>
          <w:p w14:paraId="4D113830"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8.35</w:t>
            </w:r>
          </w:p>
        </w:tc>
      </w:tr>
      <w:tr w:rsidR="00DE1B44" w14:paraId="57ED5542" w14:textId="77777777">
        <w:trPr>
          <w:trHeight w:val="340"/>
          <w:jc w:val="center"/>
        </w:trPr>
        <w:tc>
          <w:tcPr>
            <w:tcW w:w="2263" w:type="dxa"/>
            <w:shd w:val="clear" w:color="auto" w:fill="FFFFFF"/>
            <w:vAlign w:val="center"/>
          </w:tcPr>
          <w:p w14:paraId="6DD295F6"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不良贷款率</w:t>
            </w:r>
            <w:r>
              <w:rPr>
                <w:rFonts w:ascii="Times New Roman" w:hAnsi="Times New Roman" w:cs="Times New Roman"/>
                <w:sz w:val="21"/>
                <w:szCs w:val="21"/>
                <w:vertAlign w:val="superscript"/>
              </w:rPr>
              <w:t>2</w:t>
            </w:r>
          </w:p>
        </w:tc>
        <w:tc>
          <w:tcPr>
            <w:tcW w:w="994" w:type="dxa"/>
            <w:shd w:val="clear" w:color="auto" w:fill="FFFFFF"/>
            <w:vAlign w:val="center"/>
          </w:tcPr>
          <w:p w14:paraId="42CFE398" w14:textId="77777777" w:rsidR="00DE1B44" w:rsidRDefault="00D40582">
            <w:pPr>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c>
          <w:tcPr>
            <w:tcW w:w="1919" w:type="dxa"/>
            <w:shd w:val="clear" w:color="000000" w:fill="FFFFFF"/>
            <w:vAlign w:val="center"/>
          </w:tcPr>
          <w:p w14:paraId="3C5B2758"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1.25 </w:t>
            </w:r>
          </w:p>
        </w:tc>
        <w:tc>
          <w:tcPr>
            <w:tcW w:w="1920" w:type="dxa"/>
            <w:shd w:val="clear" w:color="auto" w:fill="FFFFFF"/>
            <w:vAlign w:val="center"/>
          </w:tcPr>
          <w:p w14:paraId="10012EBE"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1.55</w:t>
            </w:r>
          </w:p>
        </w:tc>
        <w:tc>
          <w:tcPr>
            <w:tcW w:w="1920" w:type="dxa"/>
            <w:shd w:val="clear" w:color="auto" w:fill="FFFFFF"/>
            <w:vAlign w:val="center"/>
          </w:tcPr>
          <w:p w14:paraId="186AE559"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1.55</w:t>
            </w:r>
          </w:p>
        </w:tc>
      </w:tr>
      <w:tr w:rsidR="00DE1B44" w14:paraId="293456E0" w14:textId="77777777">
        <w:trPr>
          <w:trHeight w:val="340"/>
          <w:jc w:val="center"/>
        </w:trPr>
        <w:tc>
          <w:tcPr>
            <w:tcW w:w="2263" w:type="dxa"/>
            <w:shd w:val="clear" w:color="auto" w:fill="FFFFFF"/>
            <w:vAlign w:val="center"/>
          </w:tcPr>
          <w:p w14:paraId="46EC9B38"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拨备覆盖率</w:t>
            </w:r>
            <w:r>
              <w:rPr>
                <w:rFonts w:ascii="Times New Roman" w:hAnsi="Times New Roman" w:cs="Times New Roman"/>
                <w:sz w:val="21"/>
                <w:szCs w:val="21"/>
                <w:vertAlign w:val="superscript"/>
              </w:rPr>
              <w:t>3</w:t>
            </w:r>
          </w:p>
        </w:tc>
        <w:tc>
          <w:tcPr>
            <w:tcW w:w="994" w:type="dxa"/>
            <w:shd w:val="clear" w:color="auto" w:fill="FFFFFF"/>
            <w:vAlign w:val="center"/>
          </w:tcPr>
          <w:p w14:paraId="7E0B8FCD" w14:textId="77777777" w:rsidR="00DE1B44" w:rsidRDefault="00D40582">
            <w:pPr>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≥150</w:t>
            </w:r>
          </w:p>
        </w:tc>
        <w:tc>
          <w:tcPr>
            <w:tcW w:w="1919" w:type="dxa"/>
            <w:shd w:val="clear" w:color="000000" w:fill="FFFFFF"/>
            <w:vAlign w:val="center"/>
          </w:tcPr>
          <w:p w14:paraId="1C98B139"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207.38 </w:t>
            </w:r>
          </w:p>
        </w:tc>
        <w:tc>
          <w:tcPr>
            <w:tcW w:w="1920" w:type="dxa"/>
            <w:shd w:val="clear" w:color="auto" w:fill="FFFFFF"/>
            <w:vAlign w:val="center"/>
          </w:tcPr>
          <w:p w14:paraId="28D39407"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178.32</w:t>
            </w:r>
          </w:p>
        </w:tc>
        <w:tc>
          <w:tcPr>
            <w:tcW w:w="1920" w:type="dxa"/>
            <w:shd w:val="clear" w:color="auto" w:fill="FFFFFF"/>
            <w:vAlign w:val="center"/>
          </w:tcPr>
          <w:p w14:paraId="57E28C7C"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173.41</w:t>
            </w:r>
          </w:p>
        </w:tc>
      </w:tr>
      <w:tr w:rsidR="00DE1B44" w14:paraId="67B0C0FF" w14:textId="77777777">
        <w:trPr>
          <w:trHeight w:val="340"/>
          <w:jc w:val="center"/>
        </w:trPr>
        <w:tc>
          <w:tcPr>
            <w:tcW w:w="2263" w:type="dxa"/>
            <w:shd w:val="clear" w:color="auto" w:fill="FFFFFF"/>
            <w:vAlign w:val="center"/>
          </w:tcPr>
          <w:p w14:paraId="57F5A372"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贷款</w:t>
            </w:r>
            <w:proofErr w:type="gramStart"/>
            <w:r>
              <w:rPr>
                <w:rFonts w:ascii="Times New Roman" w:hAnsi="Times New Roman" w:cs="Times New Roman"/>
                <w:sz w:val="21"/>
                <w:szCs w:val="21"/>
              </w:rPr>
              <w:t>拨备率</w:t>
            </w:r>
            <w:proofErr w:type="gramEnd"/>
            <w:r>
              <w:rPr>
                <w:rFonts w:ascii="Times New Roman" w:hAnsi="Times New Roman" w:cs="Times New Roman"/>
                <w:sz w:val="21"/>
                <w:szCs w:val="21"/>
                <w:vertAlign w:val="superscript"/>
              </w:rPr>
              <w:t>4</w:t>
            </w:r>
          </w:p>
        </w:tc>
        <w:tc>
          <w:tcPr>
            <w:tcW w:w="994" w:type="dxa"/>
            <w:shd w:val="clear" w:color="auto" w:fill="FFFFFF"/>
            <w:vAlign w:val="center"/>
          </w:tcPr>
          <w:p w14:paraId="058C1E9D" w14:textId="77777777" w:rsidR="00DE1B44" w:rsidRDefault="00D40582">
            <w:pPr>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≥2.5</w:t>
            </w:r>
          </w:p>
        </w:tc>
        <w:tc>
          <w:tcPr>
            <w:tcW w:w="1919" w:type="dxa"/>
            <w:shd w:val="clear" w:color="000000" w:fill="FFFFFF"/>
            <w:vAlign w:val="center"/>
          </w:tcPr>
          <w:p w14:paraId="6B7F2A79"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2.60 </w:t>
            </w:r>
          </w:p>
        </w:tc>
        <w:tc>
          <w:tcPr>
            <w:tcW w:w="1920" w:type="dxa"/>
            <w:shd w:val="clear" w:color="auto" w:fill="FFFFFF"/>
            <w:vAlign w:val="center"/>
          </w:tcPr>
          <w:p w14:paraId="088D6211"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2.76</w:t>
            </w:r>
          </w:p>
        </w:tc>
        <w:tc>
          <w:tcPr>
            <w:tcW w:w="1920" w:type="dxa"/>
            <w:shd w:val="clear" w:color="auto" w:fill="FFFFFF"/>
            <w:vAlign w:val="center"/>
          </w:tcPr>
          <w:p w14:paraId="32F7CE43"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2.69</w:t>
            </w:r>
          </w:p>
        </w:tc>
      </w:tr>
      <w:tr w:rsidR="00DE1B44" w14:paraId="4411E13A" w14:textId="77777777">
        <w:trPr>
          <w:trHeight w:val="340"/>
          <w:jc w:val="center"/>
        </w:trPr>
        <w:tc>
          <w:tcPr>
            <w:tcW w:w="2263" w:type="dxa"/>
            <w:shd w:val="clear" w:color="auto" w:fill="FFFFFF"/>
            <w:vAlign w:val="center"/>
          </w:tcPr>
          <w:p w14:paraId="02E8DC9E"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流动性比率（</w:t>
            </w:r>
            <w:r>
              <w:rPr>
                <w:rFonts w:ascii="Times New Roman" w:hAnsi="Times New Roman" w:cs="Times New Roman" w:hint="eastAsia"/>
                <w:sz w:val="21"/>
                <w:szCs w:val="21"/>
              </w:rPr>
              <w:t>折人民币</w:t>
            </w:r>
            <w:r>
              <w:rPr>
                <w:rFonts w:ascii="Times New Roman" w:hAnsi="Times New Roman" w:cs="Times New Roman"/>
                <w:sz w:val="21"/>
                <w:szCs w:val="21"/>
              </w:rPr>
              <w:t>）</w:t>
            </w:r>
            <w:r>
              <w:rPr>
                <w:rFonts w:ascii="Times New Roman" w:hAnsi="Times New Roman" w:cs="Times New Roman"/>
                <w:sz w:val="21"/>
                <w:szCs w:val="21"/>
                <w:vertAlign w:val="superscript"/>
              </w:rPr>
              <w:t>5</w:t>
            </w:r>
          </w:p>
        </w:tc>
        <w:tc>
          <w:tcPr>
            <w:tcW w:w="994" w:type="dxa"/>
            <w:shd w:val="clear" w:color="auto" w:fill="FFFFFF"/>
            <w:vAlign w:val="center"/>
          </w:tcPr>
          <w:p w14:paraId="3A64550B" w14:textId="77777777" w:rsidR="00DE1B44" w:rsidRDefault="00D40582">
            <w:pPr>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≥25</w:t>
            </w:r>
          </w:p>
        </w:tc>
        <w:tc>
          <w:tcPr>
            <w:tcW w:w="1919" w:type="dxa"/>
            <w:shd w:val="clear" w:color="000000" w:fill="FFFFFF"/>
            <w:vAlign w:val="center"/>
          </w:tcPr>
          <w:p w14:paraId="361F50F4"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70.26 </w:t>
            </w:r>
          </w:p>
        </w:tc>
        <w:tc>
          <w:tcPr>
            <w:tcW w:w="1920" w:type="dxa"/>
            <w:shd w:val="clear" w:color="auto" w:fill="FFFFFF"/>
            <w:vAlign w:val="center"/>
          </w:tcPr>
          <w:p w14:paraId="6A7175D5"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70.81</w:t>
            </w:r>
          </w:p>
        </w:tc>
        <w:tc>
          <w:tcPr>
            <w:tcW w:w="1920" w:type="dxa"/>
            <w:shd w:val="clear" w:color="auto" w:fill="FFFFFF"/>
            <w:vAlign w:val="center"/>
          </w:tcPr>
          <w:p w14:paraId="1DC25A60"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79.28</w:t>
            </w:r>
          </w:p>
        </w:tc>
      </w:tr>
      <w:tr w:rsidR="00DE1B44" w14:paraId="35503C85" w14:textId="77777777">
        <w:trPr>
          <w:trHeight w:val="340"/>
          <w:jc w:val="center"/>
        </w:trPr>
        <w:tc>
          <w:tcPr>
            <w:tcW w:w="2263" w:type="dxa"/>
            <w:shd w:val="clear" w:color="auto" w:fill="FFFFFF"/>
            <w:vAlign w:val="center"/>
          </w:tcPr>
          <w:p w14:paraId="7CFA4B6D"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流动性覆盖率</w:t>
            </w:r>
            <w:r>
              <w:rPr>
                <w:rFonts w:ascii="Times New Roman" w:hAnsi="Times New Roman" w:cs="Times New Roman"/>
                <w:sz w:val="21"/>
                <w:szCs w:val="21"/>
                <w:vertAlign w:val="superscript"/>
              </w:rPr>
              <w:t>6</w:t>
            </w:r>
          </w:p>
        </w:tc>
        <w:tc>
          <w:tcPr>
            <w:tcW w:w="994" w:type="dxa"/>
            <w:shd w:val="clear" w:color="auto" w:fill="FFFFFF"/>
            <w:vAlign w:val="center"/>
          </w:tcPr>
          <w:p w14:paraId="292CA13D" w14:textId="77777777" w:rsidR="00DE1B44" w:rsidRDefault="00D40582">
            <w:pPr>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≥100</w:t>
            </w:r>
          </w:p>
        </w:tc>
        <w:tc>
          <w:tcPr>
            <w:tcW w:w="1919" w:type="dxa"/>
            <w:shd w:val="clear" w:color="000000" w:fill="FFFFFF"/>
            <w:vAlign w:val="center"/>
          </w:tcPr>
          <w:p w14:paraId="303278C1"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eastAsia="等线" w:hAnsi="Times New Roman" w:cs="Times New Roman"/>
                <w:color w:val="000000"/>
                <w:sz w:val="21"/>
                <w:szCs w:val="21"/>
              </w:rPr>
              <w:t xml:space="preserve">147.66 </w:t>
            </w:r>
          </w:p>
        </w:tc>
        <w:tc>
          <w:tcPr>
            <w:tcW w:w="1920" w:type="dxa"/>
            <w:shd w:val="clear" w:color="auto" w:fill="FFFFFF"/>
            <w:vAlign w:val="center"/>
          </w:tcPr>
          <w:p w14:paraId="1B4F448E"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1</w:t>
            </w:r>
            <w:r>
              <w:rPr>
                <w:rFonts w:ascii="Times New Roman" w:hAnsi="Times New Roman" w:cs="Times New Roman"/>
                <w:sz w:val="21"/>
                <w:szCs w:val="21"/>
              </w:rPr>
              <w:t>44.78</w:t>
            </w:r>
          </w:p>
        </w:tc>
        <w:tc>
          <w:tcPr>
            <w:tcW w:w="1920" w:type="dxa"/>
            <w:shd w:val="clear" w:color="auto" w:fill="FFFFFF"/>
            <w:vAlign w:val="center"/>
          </w:tcPr>
          <w:p w14:paraId="4B05B727"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1</w:t>
            </w:r>
            <w:r>
              <w:rPr>
                <w:rFonts w:ascii="Times New Roman" w:hAnsi="Times New Roman" w:cs="Times New Roman"/>
                <w:sz w:val="21"/>
                <w:szCs w:val="21"/>
              </w:rPr>
              <w:t>39.99</w:t>
            </w:r>
          </w:p>
        </w:tc>
      </w:tr>
      <w:tr w:rsidR="00DE1B44" w14:paraId="050A6D6B" w14:textId="77777777">
        <w:trPr>
          <w:trHeight w:val="340"/>
          <w:jc w:val="center"/>
        </w:trPr>
        <w:tc>
          <w:tcPr>
            <w:tcW w:w="2263" w:type="dxa"/>
            <w:shd w:val="clear" w:color="auto" w:fill="FFFFFF"/>
            <w:vAlign w:val="center"/>
          </w:tcPr>
          <w:p w14:paraId="622E7CA0"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单一最大客户贷款占资本净额比例</w:t>
            </w:r>
            <w:r>
              <w:rPr>
                <w:rFonts w:ascii="Times New Roman" w:hAnsi="Times New Roman" w:cs="Times New Roman" w:hint="eastAsia"/>
                <w:sz w:val="21"/>
                <w:szCs w:val="21"/>
                <w:vertAlign w:val="superscript"/>
              </w:rPr>
              <w:t>7</w:t>
            </w:r>
          </w:p>
        </w:tc>
        <w:tc>
          <w:tcPr>
            <w:tcW w:w="994" w:type="dxa"/>
            <w:shd w:val="clear" w:color="auto" w:fill="FFFFFF"/>
            <w:vAlign w:val="center"/>
          </w:tcPr>
          <w:p w14:paraId="2C6FFCD0" w14:textId="77777777" w:rsidR="00DE1B44" w:rsidRDefault="00D40582">
            <w:pPr>
              <w:spacing w:beforeLines="0" w:before="0"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sz w:val="21"/>
                <w:szCs w:val="21"/>
              </w:rPr>
              <w:t>≤10</w:t>
            </w:r>
          </w:p>
        </w:tc>
        <w:tc>
          <w:tcPr>
            <w:tcW w:w="1919" w:type="dxa"/>
            <w:shd w:val="clear" w:color="auto" w:fill="FFFFFF"/>
            <w:vAlign w:val="center"/>
          </w:tcPr>
          <w:p w14:paraId="5F42869C"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1.52</w:t>
            </w:r>
          </w:p>
        </w:tc>
        <w:tc>
          <w:tcPr>
            <w:tcW w:w="1920" w:type="dxa"/>
            <w:shd w:val="clear" w:color="auto" w:fill="FFFFFF"/>
            <w:vAlign w:val="center"/>
          </w:tcPr>
          <w:p w14:paraId="163300B7"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1.18</w:t>
            </w:r>
          </w:p>
        </w:tc>
        <w:tc>
          <w:tcPr>
            <w:tcW w:w="1920" w:type="dxa"/>
            <w:shd w:val="clear" w:color="auto" w:fill="FFFFFF"/>
            <w:vAlign w:val="center"/>
          </w:tcPr>
          <w:p w14:paraId="3DAF317D"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1.35</w:t>
            </w:r>
          </w:p>
        </w:tc>
      </w:tr>
      <w:tr w:rsidR="00DE1B44" w14:paraId="4E9CD7A8" w14:textId="77777777">
        <w:trPr>
          <w:trHeight w:val="340"/>
          <w:jc w:val="center"/>
        </w:trPr>
        <w:tc>
          <w:tcPr>
            <w:tcW w:w="2263" w:type="dxa"/>
            <w:shd w:val="clear" w:color="auto" w:fill="FFFFFF"/>
            <w:vAlign w:val="center"/>
          </w:tcPr>
          <w:p w14:paraId="7C144FA6"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sz w:val="21"/>
                <w:szCs w:val="21"/>
              </w:rPr>
              <w:t>最大十家客户贷款占资本净额比例</w:t>
            </w:r>
            <w:r>
              <w:rPr>
                <w:rFonts w:ascii="Times New Roman" w:hAnsi="Times New Roman" w:cs="Times New Roman" w:hint="eastAsia"/>
                <w:sz w:val="21"/>
                <w:szCs w:val="21"/>
                <w:vertAlign w:val="superscript"/>
              </w:rPr>
              <w:t>8</w:t>
            </w:r>
          </w:p>
        </w:tc>
        <w:tc>
          <w:tcPr>
            <w:tcW w:w="994" w:type="dxa"/>
            <w:shd w:val="clear" w:color="auto" w:fill="FFFFFF"/>
            <w:vAlign w:val="center"/>
          </w:tcPr>
          <w:p w14:paraId="324092D5" w14:textId="77777777" w:rsidR="00DE1B44" w:rsidRDefault="00D40582">
            <w:pPr>
              <w:spacing w:beforeLines="0" w:before="0" w:line="240" w:lineRule="auto"/>
              <w:ind w:firstLineChars="0" w:firstLine="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5</w:t>
            </w:r>
            <w:r>
              <w:rPr>
                <w:rFonts w:ascii="Times New Roman" w:hAnsi="Times New Roman" w:cs="Times New Roman"/>
                <w:color w:val="000000"/>
                <w:sz w:val="21"/>
                <w:szCs w:val="21"/>
              </w:rPr>
              <w:t>0</w:t>
            </w:r>
          </w:p>
        </w:tc>
        <w:tc>
          <w:tcPr>
            <w:tcW w:w="1919" w:type="dxa"/>
            <w:shd w:val="clear" w:color="auto" w:fill="FFFFFF"/>
            <w:vAlign w:val="center"/>
          </w:tcPr>
          <w:p w14:paraId="724DD536"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1</w:t>
            </w:r>
            <w:r>
              <w:rPr>
                <w:rFonts w:ascii="Times New Roman" w:hAnsi="Times New Roman" w:cs="Times New Roman"/>
                <w:sz w:val="21"/>
                <w:szCs w:val="21"/>
              </w:rPr>
              <w:t>1.42</w:t>
            </w:r>
          </w:p>
        </w:tc>
        <w:tc>
          <w:tcPr>
            <w:tcW w:w="1920" w:type="dxa"/>
            <w:shd w:val="clear" w:color="auto" w:fill="FFFFFF"/>
            <w:vAlign w:val="center"/>
          </w:tcPr>
          <w:p w14:paraId="2EF95EAC"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10.57</w:t>
            </w:r>
          </w:p>
        </w:tc>
        <w:tc>
          <w:tcPr>
            <w:tcW w:w="1920" w:type="dxa"/>
            <w:shd w:val="clear" w:color="auto" w:fill="FFFFFF"/>
            <w:vAlign w:val="center"/>
          </w:tcPr>
          <w:p w14:paraId="2FB1AF3F"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10.97</w:t>
            </w:r>
          </w:p>
        </w:tc>
      </w:tr>
      <w:tr w:rsidR="00DE1B44" w14:paraId="455D02E6" w14:textId="77777777">
        <w:trPr>
          <w:trHeight w:val="340"/>
          <w:jc w:val="center"/>
        </w:trPr>
        <w:tc>
          <w:tcPr>
            <w:tcW w:w="2263" w:type="dxa"/>
            <w:shd w:val="clear" w:color="auto" w:fill="FFFFFF"/>
            <w:vAlign w:val="center"/>
          </w:tcPr>
          <w:p w14:paraId="720A24B7"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成本收入比</w:t>
            </w:r>
            <w:r>
              <w:rPr>
                <w:rFonts w:ascii="Times New Roman" w:hAnsi="Times New Roman" w:cs="Times New Roman" w:hint="eastAsia"/>
                <w:sz w:val="21"/>
                <w:szCs w:val="21"/>
                <w:vertAlign w:val="superscript"/>
              </w:rPr>
              <w:t>9</w:t>
            </w:r>
          </w:p>
        </w:tc>
        <w:tc>
          <w:tcPr>
            <w:tcW w:w="994" w:type="dxa"/>
            <w:shd w:val="clear" w:color="auto" w:fill="FFFFFF"/>
            <w:vAlign w:val="center"/>
          </w:tcPr>
          <w:p w14:paraId="0A2F74C6" w14:textId="77777777" w:rsidR="00DE1B44" w:rsidRDefault="00D40582">
            <w:pPr>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45</w:t>
            </w:r>
          </w:p>
        </w:tc>
        <w:tc>
          <w:tcPr>
            <w:tcW w:w="1919" w:type="dxa"/>
            <w:shd w:val="clear" w:color="auto" w:fill="FFFFFF"/>
            <w:vAlign w:val="center"/>
          </w:tcPr>
          <w:p w14:paraId="599F7FCF"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sz w:val="21"/>
                <w:szCs w:val="21"/>
              </w:rPr>
              <w:t>32.67</w:t>
            </w:r>
          </w:p>
        </w:tc>
        <w:tc>
          <w:tcPr>
            <w:tcW w:w="1920" w:type="dxa"/>
            <w:shd w:val="clear" w:color="auto" w:fill="FFFFFF"/>
            <w:vAlign w:val="center"/>
          </w:tcPr>
          <w:p w14:paraId="56F704A9"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8.66</w:t>
            </w:r>
          </w:p>
        </w:tc>
        <w:tc>
          <w:tcPr>
            <w:tcW w:w="1920" w:type="dxa"/>
            <w:shd w:val="clear" w:color="auto" w:fill="FFFFFF"/>
            <w:vAlign w:val="center"/>
          </w:tcPr>
          <w:p w14:paraId="5D7AA6C7"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sz w:val="21"/>
                <w:szCs w:val="21"/>
              </w:rPr>
              <w:t>0.79</w:t>
            </w:r>
          </w:p>
        </w:tc>
      </w:tr>
      <w:tr w:rsidR="00DE1B44" w14:paraId="4948E7A3" w14:textId="77777777">
        <w:trPr>
          <w:trHeight w:val="340"/>
          <w:jc w:val="center"/>
        </w:trPr>
        <w:tc>
          <w:tcPr>
            <w:tcW w:w="2263" w:type="dxa"/>
            <w:shd w:val="clear" w:color="auto" w:fill="FFFFFF"/>
            <w:vAlign w:val="center"/>
          </w:tcPr>
          <w:p w14:paraId="1C450CE5"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净利差</w:t>
            </w:r>
            <w:r>
              <w:rPr>
                <w:rFonts w:ascii="Times New Roman" w:hAnsi="Times New Roman" w:cs="Times New Roman" w:hint="eastAsia"/>
                <w:sz w:val="21"/>
                <w:szCs w:val="21"/>
                <w:vertAlign w:val="superscript"/>
              </w:rPr>
              <w:t>10</w:t>
            </w:r>
          </w:p>
        </w:tc>
        <w:tc>
          <w:tcPr>
            <w:tcW w:w="994" w:type="dxa"/>
            <w:shd w:val="clear" w:color="auto" w:fill="FFFFFF"/>
            <w:vAlign w:val="center"/>
          </w:tcPr>
          <w:p w14:paraId="200C70C7" w14:textId="77777777" w:rsidR="00DE1B44" w:rsidRDefault="00D40582">
            <w:pPr>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1919" w:type="dxa"/>
            <w:shd w:val="clear" w:color="auto" w:fill="FFFFFF"/>
            <w:vAlign w:val="center"/>
          </w:tcPr>
          <w:p w14:paraId="184F55FE"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1</w:t>
            </w:r>
            <w:r>
              <w:rPr>
                <w:rFonts w:ascii="Times New Roman" w:hAnsi="Times New Roman" w:cs="Times New Roman"/>
                <w:sz w:val="21"/>
                <w:szCs w:val="21"/>
              </w:rPr>
              <w:t>.81</w:t>
            </w:r>
          </w:p>
        </w:tc>
        <w:tc>
          <w:tcPr>
            <w:tcW w:w="1920" w:type="dxa"/>
            <w:shd w:val="clear" w:color="auto" w:fill="FFFFFF"/>
            <w:vAlign w:val="center"/>
          </w:tcPr>
          <w:p w14:paraId="36A2A0A1"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.21</w:t>
            </w:r>
          </w:p>
        </w:tc>
        <w:tc>
          <w:tcPr>
            <w:tcW w:w="1920" w:type="dxa"/>
            <w:shd w:val="clear" w:color="auto" w:fill="FFFFFF"/>
            <w:vAlign w:val="center"/>
          </w:tcPr>
          <w:p w14:paraId="17F9128A"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.53</w:t>
            </w:r>
          </w:p>
        </w:tc>
      </w:tr>
      <w:tr w:rsidR="00DE1B44" w14:paraId="5021024B" w14:textId="77777777">
        <w:trPr>
          <w:trHeight w:val="340"/>
          <w:jc w:val="center"/>
        </w:trPr>
        <w:tc>
          <w:tcPr>
            <w:tcW w:w="2263" w:type="dxa"/>
            <w:shd w:val="clear" w:color="auto" w:fill="FFFFFF"/>
            <w:vAlign w:val="center"/>
          </w:tcPr>
          <w:p w14:paraId="0CEB3834" w14:textId="77777777" w:rsidR="00DE1B44" w:rsidRDefault="00D40582">
            <w:pPr>
              <w:spacing w:beforeLines="0" w:before="0" w:line="240" w:lineRule="auto"/>
              <w:ind w:firstLineChars="0" w:firstLine="0"/>
              <w:rPr>
                <w:rFonts w:ascii="Times New Roman" w:hAnsi="Times New Roman" w:cs="Times New Roman"/>
                <w:sz w:val="21"/>
                <w:szCs w:val="21"/>
              </w:rPr>
            </w:pPr>
            <w:r>
              <w:rPr>
                <w:rFonts w:ascii="Times New Roman" w:hAnsi="Times New Roman" w:cs="Times New Roman" w:hint="eastAsia"/>
                <w:sz w:val="21"/>
                <w:szCs w:val="21"/>
              </w:rPr>
              <w:t>净息差</w:t>
            </w:r>
            <w:r>
              <w:rPr>
                <w:rFonts w:ascii="Times New Roman" w:hAnsi="Times New Roman" w:cs="Times New Roman" w:hint="eastAsia"/>
                <w:sz w:val="21"/>
                <w:szCs w:val="21"/>
                <w:vertAlign w:val="superscript"/>
              </w:rPr>
              <w:t>10</w:t>
            </w:r>
          </w:p>
        </w:tc>
        <w:tc>
          <w:tcPr>
            <w:tcW w:w="994" w:type="dxa"/>
            <w:shd w:val="clear" w:color="auto" w:fill="FFFFFF"/>
            <w:vAlign w:val="center"/>
          </w:tcPr>
          <w:p w14:paraId="36D7CA27" w14:textId="77777777" w:rsidR="00DE1B44" w:rsidRDefault="00D40582">
            <w:pPr>
              <w:spacing w:beforeLines="0" w:before="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1919" w:type="dxa"/>
            <w:shd w:val="clear" w:color="auto" w:fill="FFFFFF"/>
            <w:vAlign w:val="center"/>
          </w:tcPr>
          <w:p w14:paraId="0F731AE7"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1</w:t>
            </w:r>
            <w:r>
              <w:rPr>
                <w:rFonts w:ascii="Times New Roman" w:hAnsi="Times New Roman" w:cs="Times New Roman"/>
                <w:sz w:val="21"/>
                <w:szCs w:val="21"/>
              </w:rPr>
              <w:t>.95</w:t>
            </w:r>
          </w:p>
        </w:tc>
        <w:tc>
          <w:tcPr>
            <w:tcW w:w="1920" w:type="dxa"/>
            <w:shd w:val="clear" w:color="auto" w:fill="FFFFFF"/>
            <w:vAlign w:val="center"/>
          </w:tcPr>
          <w:p w14:paraId="4DDBD680"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.34</w:t>
            </w:r>
          </w:p>
        </w:tc>
        <w:tc>
          <w:tcPr>
            <w:tcW w:w="1920" w:type="dxa"/>
            <w:shd w:val="clear" w:color="auto" w:fill="FFFFFF"/>
            <w:vAlign w:val="center"/>
          </w:tcPr>
          <w:p w14:paraId="05C0CA64" w14:textId="77777777" w:rsidR="00DE1B44" w:rsidRDefault="00D40582">
            <w:pPr>
              <w:spacing w:beforeLines="0" w:before="0" w:line="240" w:lineRule="auto"/>
              <w:ind w:firstLineChars="0" w:firstLine="0"/>
              <w:jc w:val="right"/>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.62</w:t>
            </w:r>
          </w:p>
        </w:tc>
      </w:tr>
    </w:tbl>
    <w:p w14:paraId="1D61D848" w14:textId="77777777" w:rsidR="00DE1B44" w:rsidRDefault="00D40582">
      <w:pPr>
        <w:spacing w:beforeLines="0" w:before="0" w:line="240" w:lineRule="auto"/>
        <w:ind w:firstLineChars="0" w:firstLine="0"/>
        <w:jc w:val="left"/>
        <w:rPr>
          <w:rFonts w:ascii="Times New Roman" w:hAnsi="Times New Roman" w:cs="Times New Roman"/>
          <w:sz w:val="21"/>
          <w:szCs w:val="21"/>
        </w:rPr>
      </w:pPr>
      <w:r>
        <w:rPr>
          <w:rFonts w:ascii="Times New Roman" w:hAnsi="Times New Roman" w:cs="Times New Roman" w:hint="eastAsia"/>
          <w:sz w:val="21"/>
          <w:szCs w:val="21"/>
        </w:rPr>
        <w:t>注：</w:t>
      </w: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hint="eastAsia"/>
          <w:sz w:val="21"/>
          <w:szCs w:val="21"/>
        </w:rPr>
        <w:t>根据中国银监会颁布的《商业银行资本管理办法（试行）》（中国银行业监督管理委员会</w:t>
      </w:r>
      <w:r>
        <w:rPr>
          <w:rFonts w:ascii="Times New Roman" w:hAnsi="Times New Roman" w:cs="Times New Roman"/>
          <w:sz w:val="21"/>
          <w:szCs w:val="21"/>
        </w:rPr>
        <w:t>2012</w:t>
      </w:r>
      <w:r>
        <w:rPr>
          <w:rFonts w:ascii="Times New Roman" w:hAnsi="Times New Roman" w:cs="Times New Roman"/>
          <w:sz w:val="21"/>
          <w:szCs w:val="21"/>
        </w:rPr>
        <w:t>年第</w:t>
      </w:r>
      <w:r>
        <w:rPr>
          <w:rFonts w:ascii="Times New Roman" w:hAnsi="Times New Roman" w:cs="Times New Roman"/>
          <w:sz w:val="21"/>
          <w:szCs w:val="21"/>
        </w:rPr>
        <w:t>1</w:t>
      </w:r>
      <w:r>
        <w:rPr>
          <w:rFonts w:ascii="Times New Roman" w:hAnsi="Times New Roman" w:cs="Times New Roman"/>
          <w:sz w:val="21"/>
          <w:szCs w:val="21"/>
        </w:rPr>
        <w:t>号令）有关规定计算和披露资本充足率</w:t>
      </w:r>
      <w:r>
        <w:rPr>
          <w:rFonts w:ascii="Times New Roman" w:hAnsi="Times New Roman" w:cs="Times New Roman" w:hint="eastAsia"/>
          <w:sz w:val="21"/>
          <w:szCs w:val="21"/>
        </w:rPr>
        <w:t>：</w:t>
      </w:r>
    </w:p>
    <w:p w14:paraId="4DB2FE40"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hint="eastAsia"/>
          <w:sz w:val="21"/>
          <w:szCs w:val="21"/>
        </w:rPr>
        <w:t>资本充足率</w:t>
      </w:r>
      <w:r>
        <w:rPr>
          <w:rFonts w:ascii="Times New Roman" w:hAnsi="Times New Roman" w:cs="Times New Roman"/>
          <w:sz w:val="21"/>
          <w:szCs w:val="21"/>
        </w:rPr>
        <w:t>=</w:t>
      </w:r>
      <w:r>
        <w:rPr>
          <w:rFonts w:ascii="Times New Roman" w:hAnsi="Times New Roman" w:cs="Times New Roman"/>
          <w:sz w:val="21"/>
          <w:szCs w:val="21"/>
        </w:rPr>
        <w:t>资本净额</w:t>
      </w:r>
      <w:r>
        <w:rPr>
          <w:rFonts w:ascii="Times New Roman" w:hAnsi="Times New Roman" w:cs="Times New Roman"/>
          <w:sz w:val="21"/>
          <w:szCs w:val="21"/>
        </w:rPr>
        <w:t>/</w:t>
      </w:r>
      <w:r>
        <w:rPr>
          <w:rFonts w:ascii="Times New Roman" w:hAnsi="Times New Roman" w:cs="Times New Roman"/>
          <w:sz w:val="21"/>
          <w:szCs w:val="21"/>
        </w:rPr>
        <w:t>风险加权资产</w:t>
      </w:r>
      <w:r>
        <w:rPr>
          <w:rFonts w:ascii="Times New Roman" w:hAnsi="Times New Roman" w:cs="Times New Roman"/>
          <w:sz w:val="21"/>
          <w:szCs w:val="21"/>
        </w:rPr>
        <w:t>×100%</w:t>
      </w:r>
      <w:r>
        <w:rPr>
          <w:rFonts w:ascii="Times New Roman" w:hAnsi="Times New Roman" w:cs="Times New Roman"/>
          <w:sz w:val="21"/>
          <w:szCs w:val="21"/>
        </w:rPr>
        <w:t>；</w:t>
      </w:r>
    </w:p>
    <w:p w14:paraId="66D0AAA6"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sz w:val="21"/>
          <w:szCs w:val="21"/>
        </w:rPr>
        <w:lastRenderedPageBreak/>
        <w:t>一级资本充足率＝一级资本净额</w:t>
      </w:r>
      <w:r>
        <w:rPr>
          <w:rFonts w:ascii="Times New Roman" w:hAnsi="Times New Roman" w:cs="Times New Roman"/>
          <w:sz w:val="21"/>
          <w:szCs w:val="21"/>
        </w:rPr>
        <w:t>/</w:t>
      </w:r>
      <w:r>
        <w:rPr>
          <w:rFonts w:ascii="Times New Roman" w:hAnsi="Times New Roman" w:cs="Times New Roman"/>
          <w:sz w:val="21"/>
          <w:szCs w:val="21"/>
        </w:rPr>
        <w:t>风险加权资产</w:t>
      </w:r>
      <w:r>
        <w:rPr>
          <w:rFonts w:ascii="Times New Roman" w:hAnsi="Times New Roman" w:cs="Times New Roman"/>
          <w:sz w:val="21"/>
          <w:szCs w:val="21"/>
        </w:rPr>
        <w:t>×100%</w:t>
      </w:r>
      <w:r>
        <w:rPr>
          <w:rFonts w:ascii="Times New Roman" w:hAnsi="Times New Roman" w:cs="Times New Roman"/>
          <w:sz w:val="21"/>
          <w:szCs w:val="21"/>
        </w:rPr>
        <w:t>；</w:t>
      </w:r>
    </w:p>
    <w:p w14:paraId="6E2F947E"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sz w:val="21"/>
          <w:szCs w:val="21"/>
        </w:rPr>
        <w:t>核心一级资本充足率＝核心一级资本净额</w:t>
      </w:r>
      <w:r>
        <w:rPr>
          <w:rFonts w:ascii="Times New Roman" w:hAnsi="Times New Roman" w:cs="Times New Roman"/>
          <w:sz w:val="21"/>
          <w:szCs w:val="21"/>
        </w:rPr>
        <w:t>/</w:t>
      </w:r>
      <w:r>
        <w:rPr>
          <w:rFonts w:ascii="Times New Roman" w:hAnsi="Times New Roman" w:cs="Times New Roman"/>
          <w:sz w:val="21"/>
          <w:szCs w:val="21"/>
        </w:rPr>
        <w:t>风险加权资产</w:t>
      </w:r>
      <w:r>
        <w:rPr>
          <w:rFonts w:ascii="Times New Roman" w:hAnsi="Times New Roman" w:cs="Times New Roman"/>
          <w:sz w:val="21"/>
          <w:szCs w:val="21"/>
        </w:rPr>
        <w:t>×100%</w:t>
      </w:r>
      <w:r>
        <w:rPr>
          <w:rFonts w:ascii="Times New Roman" w:hAnsi="Times New Roman" w:cs="Times New Roman"/>
          <w:sz w:val="21"/>
          <w:szCs w:val="21"/>
        </w:rPr>
        <w:t>；</w:t>
      </w:r>
    </w:p>
    <w:p w14:paraId="32609F15"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w:t>
      </w:r>
      <w:r>
        <w:rPr>
          <w:rFonts w:ascii="Times New Roman" w:hAnsi="Times New Roman" w:cs="Times New Roman" w:hint="eastAsia"/>
          <w:sz w:val="21"/>
          <w:szCs w:val="21"/>
        </w:rPr>
        <w:t>不良贷款率＝（次级类贷款</w:t>
      </w:r>
      <w:r>
        <w:rPr>
          <w:rFonts w:ascii="Times New Roman" w:hAnsi="Times New Roman" w:cs="Times New Roman"/>
          <w:sz w:val="21"/>
          <w:szCs w:val="21"/>
        </w:rPr>
        <w:t>+</w:t>
      </w:r>
      <w:r>
        <w:rPr>
          <w:rFonts w:ascii="Times New Roman" w:hAnsi="Times New Roman" w:cs="Times New Roman"/>
          <w:sz w:val="21"/>
          <w:szCs w:val="21"/>
        </w:rPr>
        <w:t>可疑类贷款</w:t>
      </w:r>
      <w:r>
        <w:rPr>
          <w:rFonts w:ascii="Times New Roman" w:hAnsi="Times New Roman" w:cs="Times New Roman"/>
          <w:sz w:val="21"/>
          <w:szCs w:val="21"/>
        </w:rPr>
        <w:t>+</w:t>
      </w:r>
      <w:r>
        <w:rPr>
          <w:rFonts w:ascii="Times New Roman" w:hAnsi="Times New Roman" w:cs="Times New Roman"/>
          <w:sz w:val="21"/>
          <w:szCs w:val="21"/>
        </w:rPr>
        <w:t>损失类贷款）</w:t>
      </w:r>
      <w:r>
        <w:rPr>
          <w:rFonts w:ascii="Times New Roman" w:hAnsi="Times New Roman" w:cs="Times New Roman"/>
          <w:sz w:val="21"/>
          <w:szCs w:val="21"/>
        </w:rPr>
        <w:t>/</w:t>
      </w:r>
      <w:r>
        <w:rPr>
          <w:rFonts w:ascii="Times New Roman" w:hAnsi="Times New Roman" w:cs="Times New Roman"/>
          <w:sz w:val="21"/>
          <w:szCs w:val="21"/>
        </w:rPr>
        <w:t>各项贷款</w:t>
      </w:r>
      <w:r>
        <w:rPr>
          <w:rFonts w:ascii="Times New Roman" w:hAnsi="Times New Roman" w:cs="Times New Roman"/>
          <w:sz w:val="21"/>
          <w:szCs w:val="21"/>
        </w:rPr>
        <w:t>×100%</w:t>
      </w:r>
      <w:r>
        <w:rPr>
          <w:rFonts w:ascii="Times New Roman" w:hAnsi="Times New Roman" w:cs="Times New Roman" w:hint="eastAsia"/>
          <w:sz w:val="21"/>
          <w:szCs w:val="21"/>
        </w:rPr>
        <w:t>；</w:t>
      </w:r>
    </w:p>
    <w:p w14:paraId="3FC3C577"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w:t>
      </w:r>
      <w:r>
        <w:rPr>
          <w:rFonts w:ascii="Times New Roman" w:hAnsi="Times New Roman" w:cs="Times New Roman"/>
          <w:sz w:val="21"/>
          <w:szCs w:val="21"/>
        </w:rPr>
        <w:t>拨备覆盖率＝贷款减值准备</w:t>
      </w:r>
      <w:r>
        <w:rPr>
          <w:rFonts w:ascii="Times New Roman" w:hAnsi="Times New Roman" w:cs="Times New Roman"/>
          <w:sz w:val="21"/>
          <w:szCs w:val="21"/>
        </w:rPr>
        <w:t>/</w:t>
      </w:r>
      <w:r>
        <w:rPr>
          <w:rFonts w:ascii="Times New Roman" w:hAnsi="Times New Roman" w:cs="Times New Roman"/>
          <w:sz w:val="21"/>
          <w:szCs w:val="21"/>
        </w:rPr>
        <w:t>不良贷款余额</w:t>
      </w:r>
      <w:r>
        <w:rPr>
          <w:rFonts w:ascii="Times New Roman" w:hAnsi="Times New Roman" w:cs="Times New Roman"/>
          <w:sz w:val="21"/>
          <w:szCs w:val="21"/>
        </w:rPr>
        <w:t>×100%</w:t>
      </w:r>
      <w:r>
        <w:rPr>
          <w:rFonts w:ascii="Times New Roman" w:hAnsi="Times New Roman" w:cs="Times New Roman" w:hint="eastAsia"/>
          <w:sz w:val="21"/>
          <w:szCs w:val="21"/>
        </w:rPr>
        <w:t>；</w:t>
      </w:r>
    </w:p>
    <w:p w14:paraId="547B4217"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hint="eastAsia"/>
          <w:sz w:val="21"/>
          <w:szCs w:val="21"/>
        </w:rPr>
        <w:t>：贷款</w:t>
      </w:r>
      <w:proofErr w:type="gramStart"/>
      <w:r>
        <w:rPr>
          <w:rFonts w:ascii="Times New Roman" w:hAnsi="Times New Roman" w:cs="Times New Roman" w:hint="eastAsia"/>
          <w:sz w:val="21"/>
          <w:szCs w:val="21"/>
        </w:rPr>
        <w:t>拨备率</w:t>
      </w:r>
      <w:proofErr w:type="gramEnd"/>
      <w:r>
        <w:rPr>
          <w:rFonts w:ascii="Times New Roman" w:hAnsi="Times New Roman" w:cs="Times New Roman" w:hint="eastAsia"/>
          <w:sz w:val="21"/>
          <w:szCs w:val="21"/>
        </w:rPr>
        <w:t>=</w:t>
      </w:r>
      <w:r>
        <w:rPr>
          <w:rFonts w:ascii="Times New Roman" w:hAnsi="Times New Roman" w:cs="Times New Roman" w:hint="eastAsia"/>
          <w:sz w:val="21"/>
          <w:szCs w:val="21"/>
        </w:rPr>
        <w:t>不良贷款率</w:t>
      </w:r>
      <w:r>
        <w:rPr>
          <w:rFonts w:ascii="Times New Roman" w:hAnsi="Times New Roman" w:cs="Times New Roman"/>
          <w:sz w:val="21"/>
          <w:szCs w:val="21"/>
        </w:rPr>
        <w:t>×</w:t>
      </w:r>
      <w:r>
        <w:rPr>
          <w:rFonts w:ascii="Times New Roman" w:hAnsi="Times New Roman" w:cs="Times New Roman" w:hint="eastAsia"/>
          <w:sz w:val="21"/>
          <w:szCs w:val="21"/>
        </w:rPr>
        <w:t>拨备覆盖率</w:t>
      </w:r>
      <w:r>
        <w:rPr>
          <w:rFonts w:ascii="Times New Roman" w:hAnsi="Times New Roman" w:cs="Times New Roman"/>
          <w:sz w:val="21"/>
          <w:szCs w:val="21"/>
        </w:rPr>
        <w:t>×100%</w:t>
      </w:r>
      <w:r>
        <w:rPr>
          <w:rFonts w:ascii="Times New Roman" w:hAnsi="Times New Roman" w:cs="Times New Roman" w:hint="eastAsia"/>
          <w:sz w:val="21"/>
          <w:szCs w:val="21"/>
        </w:rPr>
        <w:t>；</w:t>
      </w:r>
    </w:p>
    <w:p w14:paraId="17A360B9"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hint="eastAsia"/>
          <w:sz w:val="21"/>
          <w:szCs w:val="21"/>
        </w:rPr>
        <w:t>：</w:t>
      </w:r>
      <w:r>
        <w:rPr>
          <w:rFonts w:ascii="Times New Roman" w:hAnsi="Times New Roman" w:cs="Times New Roman"/>
          <w:sz w:val="21"/>
          <w:szCs w:val="21"/>
        </w:rPr>
        <w:t>流动性比例＝流动性资产</w:t>
      </w:r>
      <w:r>
        <w:rPr>
          <w:rFonts w:ascii="Times New Roman" w:hAnsi="Times New Roman" w:cs="Times New Roman"/>
          <w:sz w:val="21"/>
          <w:szCs w:val="21"/>
        </w:rPr>
        <w:t>/</w:t>
      </w:r>
      <w:r>
        <w:rPr>
          <w:rFonts w:ascii="Times New Roman" w:hAnsi="Times New Roman" w:cs="Times New Roman"/>
          <w:sz w:val="21"/>
          <w:szCs w:val="21"/>
        </w:rPr>
        <w:t>流动性负债</w:t>
      </w:r>
      <w:r>
        <w:rPr>
          <w:rFonts w:ascii="Times New Roman" w:hAnsi="Times New Roman" w:cs="Times New Roman"/>
          <w:sz w:val="21"/>
          <w:szCs w:val="21"/>
        </w:rPr>
        <w:t>×100%</w:t>
      </w:r>
      <w:r>
        <w:rPr>
          <w:rFonts w:ascii="Times New Roman" w:hAnsi="Times New Roman" w:cs="Times New Roman" w:hint="eastAsia"/>
          <w:sz w:val="21"/>
          <w:szCs w:val="21"/>
        </w:rPr>
        <w:t>；</w:t>
      </w:r>
    </w:p>
    <w:p w14:paraId="71C2500D"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hint="eastAsia"/>
          <w:sz w:val="21"/>
          <w:szCs w:val="21"/>
        </w:rPr>
        <w:t>6</w:t>
      </w:r>
      <w:r>
        <w:rPr>
          <w:rFonts w:ascii="Times New Roman" w:hAnsi="Times New Roman" w:cs="Times New Roman" w:hint="eastAsia"/>
          <w:sz w:val="21"/>
          <w:szCs w:val="21"/>
        </w:rPr>
        <w:t>：</w:t>
      </w:r>
      <w:r>
        <w:rPr>
          <w:rFonts w:ascii="Times New Roman" w:hAnsi="Times New Roman" w:cs="Times New Roman"/>
          <w:sz w:val="21"/>
          <w:szCs w:val="21"/>
        </w:rPr>
        <w:t>流动性覆盖率</w:t>
      </w:r>
      <w:r>
        <w:rPr>
          <w:rFonts w:ascii="Times New Roman" w:hAnsi="Times New Roman" w:cs="Times New Roman"/>
          <w:sz w:val="21"/>
          <w:szCs w:val="21"/>
        </w:rPr>
        <w:t>=</w:t>
      </w:r>
      <w:r>
        <w:rPr>
          <w:rFonts w:ascii="Times New Roman" w:hAnsi="Times New Roman" w:cs="Times New Roman"/>
          <w:sz w:val="21"/>
          <w:szCs w:val="21"/>
        </w:rPr>
        <w:t>合格优质流动性资产</w:t>
      </w:r>
      <w:r>
        <w:rPr>
          <w:rFonts w:ascii="Times New Roman" w:hAnsi="Times New Roman" w:cs="Times New Roman"/>
          <w:sz w:val="21"/>
          <w:szCs w:val="21"/>
        </w:rPr>
        <w:t>/</w:t>
      </w:r>
      <w:r>
        <w:rPr>
          <w:rFonts w:ascii="Times New Roman" w:hAnsi="Times New Roman" w:cs="Times New Roman"/>
          <w:sz w:val="21"/>
          <w:szCs w:val="21"/>
        </w:rPr>
        <w:t>未来</w:t>
      </w:r>
      <w:r>
        <w:rPr>
          <w:rFonts w:ascii="Times New Roman" w:hAnsi="Times New Roman" w:cs="Times New Roman"/>
          <w:sz w:val="21"/>
          <w:szCs w:val="21"/>
        </w:rPr>
        <w:t>30</w:t>
      </w:r>
      <w:r>
        <w:rPr>
          <w:rFonts w:ascii="Times New Roman" w:hAnsi="Times New Roman" w:cs="Times New Roman"/>
          <w:sz w:val="21"/>
          <w:szCs w:val="21"/>
        </w:rPr>
        <w:t>天现金净流出量</w:t>
      </w:r>
      <w:r>
        <w:rPr>
          <w:rFonts w:ascii="Times New Roman" w:hAnsi="Times New Roman" w:cs="Times New Roman"/>
          <w:sz w:val="21"/>
          <w:szCs w:val="21"/>
        </w:rPr>
        <w:t>×100%</w:t>
      </w:r>
      <w:r>
        <w:rPr>
          <w:rFonts w:ascii="Times New Roman" w:hAnsi="Times New Roman" w:cs="Times New Roman" w:hint="eastAsia"/>
          <w:sz w:val="21"/>
          <w:szCs w:val="21"/>
        </w:rPr>
        <w:t>；</w:t>
      </w:r>
    </w:p>
    <w:p w14:paraId="4686016D"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hint="eastAsia"/>
          <w:sz w:val="21"/>
          <w:szCs w:val="21"/>
        </w:rPr>
        <w:t>7</w:t>
      </w:r>
      <w:r>
        <w:rPr>
          <w:rFonts w:ascii="Times New Roman" w:hAnsi="Times New Roman" w:cs="Times New Roman" w:hint="eastAsia"/>
          <w:sz w:val="21"/>
          <w:szCs w:val="21"/>
        </w:rPr>
        <w:t>：</w:t>
      </w:r>
      <w:r>
        <w:rPr>
          <w:rFonts w:ascii="Times New Roman" w:hAnsi="Times New Roman" w:cs="Times New Roman"/>
          <w:sz w:val="21"/>
          <w:szCs w:val="21"/>
        </w:rPr>
        <w:t>单一最大客户贷款占资本净额比例＝最大一家客户贷款余额</w:t>
      </w:r>
      <w:r>
        <w:rPr>
          <w:rFonts w:ascii="Times New Roman" w:hAnsi="Times New Roman" w:cs="Times New Roman"/>
          <w:sz w:val="21"/>
          <w:szCs w:val="21"/>
        </w:rPr>
        <w:t>/</w:t>
      </w:r>
      <w:r>
        <w:rPr>
          <w:rFonts w:ascii="Times New Roman" w:hAnsi="Times New Roman" w:cs="Times New Roman"/>
          <w:sz w:val="21"/>
          <w:szCs w:val="21"/>
        </w:rPr>
        <w:t>资本净额</w:t>
      </w:r>
      <w:r>
        <w:rPr>
          <w:rFonts w:ascii="Times New Roman" w:hAnsi="Times New Roman" w:cs="Times New Roman"/>
          <w:sz w:val="21"/>
          <w:szCs w:val="21"/>
        </w:rPr>
        <w:t>×100%</w:t>
      </w:r>
      <w:r>
        <w:rPr>
          <w:rFonts w:ascii="Times New Roman" w:hAnsi="Times New Roman" w:cs="Times New Roman" w:hint="eastAsia"/>
          <w:sz w:val="21"/>
          <w:szCs w:val="21"/>
        </w:rPr>
        <w:t>；</w:t>
      </w:r>
    </w:p>
    <w:p w14:paraId="1DF1926F"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hint="eastAsia"/>
          <w:sz w:val="21"/>
          <w:szCs w:val="21"/>
        </w:rPr>
        <w:t>8</w:t>
      </w:r>
      <w:r>
        <w:rPr>
          <w:rFonts w:ascii="Times New Roman" w:hAnsi="Times New Roman" w:cs="Times New Roman" w:hint="eastAsia"/>
          <w:sz w:val="21"/>
          <w:szCs w:val="21"/>
        </w:rPr>
        <w:t>：</w:t>
      </w:r>
      <w:r>
        <w:rPr>
          <w:rFonts w:ascii="Times New Roman" w:hAnsi="Times New Roman" w:cs="Times New Roman"/>
          <w:sz w:val="21"/>
          <w:szCs w:val="21"/>
        </w:rPr>
        <w:t>最大十家客户贷款占资本净额比例＝最大十家客户贷款余额</w:t>
      </w:r>
      <w:r>
        <w:rPr>
          <w:rFonts w:ascii="Times New Roman" w:hAnsi="Times New Roman" w:cs="Times New Roman"/>
          <w:sz w:val="21"/>
          <w:szCs w:val="21"/>
        </w:rPr>
        <w:t>/</w:t>
      </w:r>
      <w:r>
        <w:rPr>
          <w:rFonts w:ascii="Times New Roman" w:hAnsi="Times New Roman" w:cs="Times New Roman"/>
          <w:sz w:val="21"/>
          <w:szCs w:val="21"/>
        </w:rPr>
        <w:t>资本净额</w:t>
      </w:r>
      <w:r>
        <w:rPr>
          <w:rFonts w:ascii="Times New Roman" w:hAnsi="Times New Roman" w:cs="Times New Roman"/>
          <w:sz w:val="21"/>
          <w:szCs w:val="21"/>
        </w:rPr>
        <w:t>×100%</w:t>
      </w:r>
      <w:r>
        <w:rPr>
          <w:rFonts w:ascii="Times New Roman" w:hAnsi="Times New Roman" w:cs="Times New Roman" w:hint="eastAsia"/>
          <w:sz w:val="21"/>
          <w:szCs w:val="21"/>
        </w:rPr>
        <w:t>；</w:t>
      </w:r>
    </w:p>
    <w:p w14:paraId="578B6C03"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hint="eastAsia"/>
          <w:sz w:val="21"/>
          <w:szCs w:val="21"/>
        </w:rPr>
        <w:t>9</w:t>
      </w:r>
      <w:r>
        <w:rPr>
          <w:rFonts w:ascii="Times New Roman" w:hAnsi="Times New Roman" w:cs="Times New Roman" w:hint="eastAsia"/>
          <w:sz w:val="21"/>
          <w:szCs w:val="21"/>
        </w:rPr>
        <w:t>：</w:t>
      </w:r>
      <w:r>
        <w:rPr>
          <w:rFonts w:ascii="Times New Roman" w:hAnsi="Times New Roman" w:cs="Times New Roman"/>
          <w:sz w:val="21"/>
          <w:szCs w:val="21"/>
        </w:rPr>
        <w:t>成本收入比</w:t>
      </w:r>
      <w:r>
        <w:rPr>
          <w:rFonts w:ascii="Times New Roman" w:hAnsi="Times New Roman" w:cs="Times New Roman"/>
          <w:sz w:val="21"/>
          <w:szCs w:val="21"/>
        </w:rPr>
        <w:t>=</w:t>
      </w:r>
      <w:r>
        <w:rPr>
          <w:rFonts w:ascii="Times New Roman" w:hAnsi="Times New Roman" w:cs="Times New Roman"/>
          <w:sz w:val="21"/>
          <w:szCs w:val="21"/>
        </w:rPr>
        <w:t>业务及管理费</w:t>
      </w:r>
      <w:r>
        <w:rPr>
          <w:rFonts w:ascii="Times New Roman" w:hAnsi="Times New Roman" w:cs="Times New Roman"/>
          <w:sz w:val="21"/>
          <w:szCs w:val="21"/>
        </w:rPr>
        <w:t>/</w:t>
      </w:r>
      <w:r>
        <w:rPr>
          <w:rFonts w:ascii="Times New Roman" w:hAnsi="Times New Roman" w:cs="Times New Roman"/>
          <w:sz w:val="21"/>
          <w:szCs w:val="21"/>
        </w:rPr>
        <w:t>营业净收入</w:t>
      </w:r>
      <w:r>
        <w:rPr>
          <w:rFonts w:ascii="Times New Roman" w:hAnsi="Times New Roman" w:cs="Times New Roman"/>
          <w:sz w:val="21"/>
          <w:szCs w:val="21"/>
        </w:rPr>
        <w:t>×100%</w:t>
      </w:r>
      <w:r>
        <w:rPr>
          <w:rFonts w:ascii="Times New Roman" w:hAnsi="Times New Roman" w:cs="Times New Roman" w:hint="eastAsia"/>
          <w:sz w:val="21"/>
          <w:szCs w:val="21"/>
        </w:rPr>
        <w:t>；</w:t>
      </w:r>
    </w:p>
    <w:p w14:paraId="1ABB9811"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hint="eastAsia"/>
          <w:sz w:val="21"/>
          <w:szCs w:val="21"/>
        </w:rPr>
        <w:t>10</w:t>
      </w:r>
      <w:r>
        <w:rPr>
          <w:rFonts w:ascii="Times New Roman" w:hAnsi="Times New Roman" w:cs="Times New Roman" w:hint="eastAsia"/>
          <w:sz w:val="21"/>
          <w:szCs w:val="21"/>
        </w:rPr>
        <w:t>：根据财政部《关于严格执行企业会计准则</w:t>
      </w:r>
      <w:r>
        <w:rPr>
          <w:rFonts w:ascii="Times New Roman" w:hAnsi="Times New Roman" w:cs="Times New Roman" w:hint="eastAsia"/>
          <w:sz w:val="21"/>
          <w:szCs w:val="21"/>
        </w:rPr>
        <w:t xml:space="preserve"> </w:t>
      </w:r>
      <w:r>
        <w:rPr>
          <w:rFonts w:ascii="Times New Roman" w:hAnsi="Times New Roman" w:cs="Times New Roman" w:hint="eastAsia"/>
          <w:sz w:val="21"/>
          <w:szCs w:val="21"/>
        </w:rPr>
        <w:t>切实加强企业</w:t>
      </w:r>
      <w:r>
        <w:rPr>
          <w:rFonts w:ascii="Times New Roman" w:hAnsi="Times New Roman" w:cs="Times New Roman"/>
          <w:sz w:val="21"/>
          <w:szCs w:val="21"/>
        </w:rPr>
        <w:t>2020</w:t>
      </w:r>
      <w:r>
        <w:rPr>
          <w:rFonts w:ascii="Times New Roman" w:hAnsi="Times New Roman" w:cs="Times New Roman"/>
          <w:sz w:val="21"/>
          <w:szCs w:val="21"/>
        </w:rPr>
        <w:t>年年报工作的通知》（财会</w:t>
      </w:r>
      <w:r>
        <w:rPr>
          <w:rFonts w:ascii="Times New Roman" w:hAnsi="Times New Roman" w:cs="Times New Roman"/>
          <w:sz w:val="21"/>
          <w:szCs w:val="21"/>
        </w:rPr>
        <w:t>[2021]2</w:t>
      </w:r>
      <w:r>
        <w:rPr>
          <w:rFonts w:ascii="Times New Roman" w:hAnsi="Times New Roman" w:cs="Times New Roman"/>
          <w:sz w:val="21"/>
          <w:szCs w:val="21"/>
        </w:rPr>
        <w:t>号），本行将信用卡分期收入从手续费</w:t>
      </w:r>
      <w:proofErr w:type="gramStart"/>
      <w:r>
        <w:rPr>
          <w:rFonts w:ascii="Times New Roman" w:hAnsi="Times New Roman" w:cs="Times New Roman"/>
          <w:sz w:val="21"/>
          <w:szCs w:val="21"/>
        </w:rPr>
        <w:t>收入重</w:t>
      </w:r>
      <w:proofErr w:type="gramEnd"/>
      <w:r>
        <w:rPr>
          <w:rFonts w:ascii="Times New Roman" w:hAnsi="Times New Roman" w:cs="Times New Roman"/>
          <w:sz w:val="21"/>
          <w:szCs w:val="21"/>
        </w:rPr>
        <w:t>分类至利息收入，</w:t>
      </w:r>
      <w:r>
        <w:rPr>
          <w:rFonts w:ascii="Times New Roman" w:hAnsi="Times New Roman" w:cs="Times New Roman"/>
          <w:sz w:val="21"/>
          <w:szCs w:val="21"/>
        </w:rPr>
        <w:t>2019</w:t>
      </w:r>
      <w:r>
        <w:rPr>
          <w:rFonts w:ascii="Times New Roman" w:hAnsi="Times New Roman" w:cs="Times New Roman"/>
          <w:sz w:val="21"/>
          <w:szCs w:val="21"/>
        </w:rPr>
        <w:t>年净利差、</w:t>
      </w:r>
      <w:r>
        <w:rPr>
          <w:rFonts w:ascii="Times New Roman" w:hAnsi="Times New Roman" w:cs="Times New Roman" w:hint="eastAsia"/>
          <w:sz w:val="21"/>
          <w:szCs w:val="21"/>
        </w:rPr>
        <w:t>净息差</w:t>
      </w:r>
      <w:r>
        <w:rPr>
          <w:rFonts w:ascii="Times New Roman" w:hAnsi="Times New Roman" w:cs="Times New Roman"/>
          <w:sz w:val="21"/>
          <w:szCs w:val="21"/>
        </w:rPr>
        <w:t>和手续费及佣金净收入</w:t>
      </w:r>
      <w:r>
        <w:rPr>
          <w:rFonts w:ascii="Times New Roman" w:hAnsi="Times New Roman" w:cs="Times New Roman" w:hint="eastAsia"/>
          <w:sz w:val="21"/>
          <w:szCs w:val="21"/>
        </w:rPr>
        <w:t>等</w:t>
      </w:r>
      <w:r>
        <w:rPr>
          <w:rFonts w:ascii="Times New Roman" w:hAnsi="Times New Roman" w:cs="Times New Roman"/>
          <w:sz w:val="21"/>
          <w:szCs w:val="21"/>
        </w:rPr>
        <w:t>指标数据已相应调整</w:t>
      </w:r>
      <w:r>
        <w:rPr>
          <w:rFonts w:ascii="Times New Roman" w:hAnsi="Times New Roman" w:cs="Times New Roman" w:hint="eastAsia"/>
          <w:sz w:val="21"/>
          <w:szCs w:val="21"/>
        </w:rPr>
        <w:t>；</w:t>
      </w:r>
    </w:p>
    <w:p w14:paraId="29C58A03"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sz w:val="21"/>
          <w:szCs w:val="21"/>
        </w:rPr>
        <w:t>净利差＝（利息收入</w:t>
      </w:r>
      <w:r>
        <w:rPr>
          <w:rFonts w:ascii="Times New Roman" w:hAnsi="Times New Roman" w:cs="Times New Roman"/>
          <w:sz w:val="21"/>
          <w:szCs w:val="21"/>
        </w:rPr>
        <w:t>/</w:t>
      </w:r>
      <w:r>
        <w:rPr>
          <w:rFonts w:ascii="Times New Roman" w:hAnsi="Times New Roman" w:cs="Times New Roman"/>
          <w:sz w:val="21"/>
          <w:szCs w:val="21"/>
        </w:rPr>
        <w:t>生息资产平均余额</w:t>
      </w:r>
      <w:r>
        <w:rPr>
          <w:rFonts w:ascii="Times New Roman" w:hAnsi="Times New Roman" w:cs="Times New Roman"/>
          <w:sz w:val="21"/>
          <w:szCs w:val="21"/>
        </w:rPr>
        <w:t>-</w:t>
      </w:r>
      <w:r>
        <w:rPr>
          <w:rFonts w:ascii="Times New Roman" w:hAnsi="Times New Roman" w:cs="Times New Roman"/>
          <w:sz w:val="21"/>
          <w:szCs w:val="21"/>
        </w:rPr>
        <w:t>利息支出</w:t>
      </w:r>
      <w:r>
        <w:rPr>
          <w:rFonts w:ascii="Times New Roman" w:hAnsi="Times New Roman" w:cs="Times New Roman"/>
          <w:sz w:val="21"/>
          <w:szCs w:val="21"/>
        </w:rPr>
        <w:t>/</w:t>
      </w:r>
      <w:r>
        <w:rPr>
          <w:rFonts w:ascii="Times New Roman" w:hAnsi="Times New Roman" w:cs="Times New Roman"/>
          <w:sz w:val="21"/>
          <w:szCs w:val="21"/>
        </w:rPr>
        <w:t>付息负债平均余额）</w:t>
      </w:r>
      <w:r>
        <w:rPr>
          <w:rFonts w:ascii="Times New Roman" w:hAnsi="Times New Roman" w:cs="Times New Roman"/>
          <w:sz w:val="21"/>
          <w:szCs w:val="21"/>
        </w:rPr>
        <w:t>×100%</w:t>
      </w:r>
      <w:r>
        <w:rPr>
          <w:rFonts w:ascii="Times New Roman" w:hAnsi="Times New Roman" w:cs="Times New Roman" w:hint="eastAsia"/>
          <w:sz w:val="21"/>
          <w:szCs w:val="21"/>
        </w:rPr>
        <w:t>；</w:t>
      </w:r>
    </w:p>
    <w:p w14:paraId="1A4C53A8" w14:textId="77777777" w:rsidR="00DE1B44" w:rsidRDefault="00D40582">
      <w:pPr>
        <w:spacing w:beforeLines="0" w:before="0" w:line="240" w:lineRule="auto"/>
        <w:ind w:firstLine="420"/>
        <w:jc w:val="left"/>
        <w:rPr>
          <w:rFonts w:ascii="Times New Roman" w:hAnsi="Times New Roman" w:cs="Times New Roman"/>
          <w:sz w:val="21"/>
          <w:szCs w:val="21"/>
        </w:rPr>
      </w:pPr>
      <w:r>
        <w:rPr>
          <w:rFonts w:ascii="Times New Roman" w:hAnsi="Times New Roman" w:cs="Times New Roman"/>
          <w:sz w:val="21"/>
          <w:szCs w:val="21"/>
        </w:rPr>
        <w:t>净息差＝利息净收入</w:t>
      </w:r>
      <w:r>
        <w:rPr>
          <w:rFonts w:ascii="Times New Roman" w:hAnsi="Times New Roman" w:cs="Times New Roman"/>
          <w:sz w:val="21"/>
          <w:szCs w:val="21"/>
        </w:rPr>
        <w:t>/</w:t>
      </w:r>
      <w:r>
        <w:rPr>
          <w:rFonts w:ascii="Times New Roman" w:hAnsi="Times New Roman" w:cs="Times New Roman"/>
          <w:sz w:val="21"/>
          <w:szCs w:val="21"/>
        </w:rPr>
        <w:t>生息资产平均余额</w:t>
      </w:r>
      <w:r>
        <w:rPr>
          <w:rFonts w:ascii="Times New Roman" w:hAnsi="Times New Roman" w:cs="Times New Roman"/>
          <w:sz w:val="21"/>
          <w:szCs w:val="21"/>
        </w:rPr>
        <w:t>×100%</w:t>
      </w:r>
      <w:r>
        <w:rPr>
          <w:rFonts w:ascii="Times New Roman" w:hAnsi="Times New Roman" w:cs="Times New Roman" w:hint="eastAsia"/>
          <w:sz w:val="21"/>
          <w:szCs w:val="21"/>
        </w:rPr>
        <w:t>。</w:t>
      </w:r>
    </w:p>
    <w:p w14:paraId="7D322134" w14:textId="77777777" w:rsidR="00DE1B44" w:rsidRDefault="00DE1B44">
      <w:pPr>
        <w:spacing w:beforeLines="0" w:before="0" w:line="240" w:lineRule="auto"/>
        <w:ind w:firstLineChars="0" w:firstLine="0"/>
        <w:jc w:val="left"/>
        <w:rPr>
          <w:rFonts w:ascii="Times New Roman" w:hAnsi="Times New Roman" w:cs="Times New Roman"/>
          <w:sz w:val="21"/>
          <w:szCs w:val="21"/>
        </w:rPr>
      </w:pPr>
    </w:p>
    <w:p w14:paraId="0730CB8B"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hint="eastAsia"/>
        </w:rPr>
        <w:t>报告期内，</w:t>
      </w:r>
      <w:r>
        <w:rPr>
          <w:rFonts w:ascii="Times New Roman" w:hAnsi="Times New Roman"/>
        </w:rPr>
        <w:t>本行各项主要监管指标均符合监管要求</w:t>
      </w:r>
      <w:r>
        <w:rPr>
          <w:rFonts w:ascii="Times New Roman" w:hAnsi="Times New Roman" w:hint="eastAsia"/>
        </w:rPr>
        <w:t>。本行主要监管指标分析如下：</w:t>
      </w:r>
    </w:p>
    <w:p w14:paraId="75FD4C83" w14:textId="77777777" w:rsidR="00DE1B44" w:rsidRDefault="00D40582">
      <w:pPr>
        <w:pStyle w:val="58"/>
        <w:spacing w:before="120"/>
        <w:ind w:firstLine="482"/>
        <w:rPr>
          <w:rFonts w:ascii="Times New Roman" w:hAnsi="Times New Roman"/>
        </w:rPr>
      </w:pPr>
      <w:r>
        <w:rPr>
          <w:rFonts w:ascii="Times New Roman" w:hAnsi="Times New Roman" w:hint="eastAsia"/>
        </w:rPr>
        <w:t>1</w:t>
      </w:r>
      <w:r>
        <w:rPr>
          <w:rFonts w:ascii="Times New Roman" w:hAnsi="Times New Roman" w:hint="eastAsia"/>
        </w:rPr>
        <w:t>、资本充足率</w:t>
      </w:r>
    </w:p>
    <w:p w14:paraId="116D4690"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截至</w:t>
      </w:r>
      <w:r>
        <w:rPr>
          <w:rFonts w:ascii="Times New Roman" w:hAnsi="Times New Roman"/>
        </w:rPr>
        <w:t>2019</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w:t>
      </w:r>
      <w:r>
        <w:rPr>
          <w:rFonts w:ascii="Times New Roman" w:hAnsi="Times New Roman"/>
        </w:rPr>
        <w:t>2020</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rPr>
        <w:t>6</w:t>
      </w:r>
      <w:r>
        <w:rPr>
          <w:rFonts w:ascii="Times New Roman" w:hAnsi="Times New Roman" w:hint="eastAsia"/>
        </w:rPr>
        <w:t>月</w:t>
      </w:r>
      <w:r>
        <w:rPr>
          <w:rFonts w:ascii="Times New Roman" w:hAnsi="Times New Roman" w:hint="eastAsia"/>
        </w:rPr>
        <w:t>3</w:t>
      </w:r>
      <w:r>
        <w:rPr>
          <w:rFonts w:ascii="Times New Roman" w:hAnsi="Times New Roman"/>
        </w:rPr>
        <w:t>0</w:t>
      </w:r>
      <w:r>
        <w:rPr>
          <w:rFonts w:ascii="Times New Roman" w:hAnsi="Times New Roman" w:hint="eastAsia"/>
        </w:rPr>
        <w:t>日</w:t>
      </w:r>
      <w:r>
        <w:rPr>
          <w:rFonts w:ascii="Times New Roman" w:hAnsi="Times New Roman"/>
        </w:rPr>
        <w:t>，本行资本充足率分别为</w:t>
      </w:r>
      <w:r>
        <w:rPr>
          <w:rFonts w:ascii="Times New Roman" w:hAnsi="Times New Roman"/>
        </w:rPr>
        <w:t>12.56%</w:t>
      </w:r>
      <w:r>
        <w:rPr>
          <w:rFonts w:ascii="Times New Roman" w:hAnsi="Times New Roman" w:hint="eastAsia"/>
        </w:rPr>
        <w:t>、</w:t>
      </w:r>
      <w:r>
        <w:rPr>
          <w:rFonts w:ascii="Times New Roman" w:hAnsi="Times New Roman"/>
        </w:rPr>
        <w:t>12.50%</w:t>
      </w:r>
      <w:r>
        <w:rPr>
          <w:rFonts w:ascii="Times New Roman" w:hAnsi="Times New Roman" w:hint="eastAsia"/>
        </w:rPr>
        <w:t>和</w:t>
      </w:r>
      <w:r>
        <w:rPr>
          <w:rFonts w:ascii="Times New Roman" w:hAnsi="Times New Roman" w:hint="eastAsia"/>
        </w:rPr>
        <w:t>1</w:t>
      </w:r>
      <w:r>
        <w:rPr>
          <w:rFonts w:ascii="Times New Roman" w:hAnsi="Times New Roman"/>
        </w:rPr>
        <w:t>2.28%</w:t>
      </w:r>
      <w:r>
        <w:rPr>
          <w:rFonts w:ascii="Times New Roman" w:hAnsi="Times New Roman"/>
        </w:rPr>
        <w:t>，一级资本充足率分别为</w:t>
      </w:r>
      <w:r>
        <w:rPr>
          <w:rFonts w:ascii="Times New Roman" w:hAnsi="Times New Roman"/>
        </w:rPr>
        <w:t>10.65%</w:t>
      </w:r>
      <w:r>
        <w:rPr>
          <w:rFonts w:ascii="Times New Roman" w:hAnsi="Times New Roman" w:hint="eastAsia"/>
        </w:rPr>
        <w:t>、</w:t>
      </w:r>
      <w:r>
        <w:rPr>
          <w:rFonts w:ascii="Times New Roman" w:hAnsi="Times New Roman"/>
        </w:rPr>
        <w:t>9.85%</w:t>
      </w:r>
      <w:r>
        <w:rPr>
          <w:rFonts w:ascii="Times New Roman" w:hAnsi="Times New Roman" w:hint="eastAsia"/>
        </w:rPr>
        <w:t>和</w:t>
      </w:r>
      <w:r>
        <w:rPr>
          <w:rFonts w:ascii="Times New Roman" w:hAnsi="Times New Roman" w:hint="eastAsia"/>
        </w:rPr>
        <w:t>9</w:t>
      </w:r>
      <w:r>
        <w:rPr>
          <w:rFonts w:ascii="Times New Roman" w:hAnsi="Times New Roman"/>
        </w:rPr>
        <w:t>.66%</w:t>
      </w:r>
      <w:r>
        <w:rPr>
          <w:rFonts w:ascii="Times New Roman" w:hAnsi="Times New Roman"/>
        </w:rPr>
        <w:t>，核心一级资本充足率分别为</w:t>
      </w:r>
      <w:r>
        <w:rPr>
          <w:rFonts w:ascii="Times New Roman" w:hAnsi="Times New Roman"/>
        </w:rPr>
        <w:t>8.35%</w:t>
      </w:r>
      <w:r>
        <w:rPr>
          <w:rFonts w:ascii="Times New Roman" w:hAnsi="Times New Roman" w:hint="eastAsia"/>
        </w:rPr>
        <w:t>、</w:t>
      </w:r>
      <w:r>
        <w:rPr>
          <w:rFonts w:ascii="Times New Roman" w:hAnsi="Times New Roman"/>
        </w:rPr>
        <w:t>7.80%</w:t>
      </w:r>
      <w:r>
        <w:rPr>
          <w:rFonts w:ascii="Times New Roman" w:hAnsi="Times New Roman" w:hint="eastAsia"/>
        </w:rPr>
        <w:t>和</w:t>
      </w:r>
      <w:r>
        <w:rPr>
          <w:rFonts w:ascii="Times New Roman" w:hAnsi="Times New Roman" w:hint="eastAsia"/>
        </w:rPr>
        <w:t>7</w:t>
      </w:r>
      <w:r>
        <w:rPr>
          <w:rFonts w:ascii="Times New Roman" w:hAnsi="Times New Roman"/>
        </w:rPr>
        <w:t>.74%</w:t>
      </w:r>
      <w:r>
        <w:rPr>
          <w:rFonts w:ascii="Times New Roman" w:hAnsi="Times New Roman"/>
        </w:rPr>
        <w:t>。报告期内，本行通过发行资本补充工具补充资本，</w:t>
      </w:r>
      <w:r>
        <w:rPr>
          <w:rFonts w:ascii="Times New Roman" w:hAnsi="Times New Roman" w:hint="eastAsia"/>
        </w:rPr>
        <w:t>于</w:t>
      </w:r>
      <w:r>
        <w:rPr>
          <w:rFonts w:ascii="Times New Roman" w:hAnsi="Times New Roman" w:hint="eastAsia"/>
        </w:rPr>
        <w:t>2</w:t>
      </w:r>
      <w:r>
        <w:rPr>
          <w:rFonts w:ascii="Times New Roman" w:hAnsi="Times New Roman"/>
        </w:rPr>
        <w:t>019</w:t>
      </w:r>
      <w:r>
        <w:rPr>
          <w:rFonts w:ascii="Times New Roman" w:hAnsi="Times New Roman" w:hint="eastAsia"/>
        </w:rPr>
        <w:t>年</w:t>
      </w:r>
      <w:r>
        <w:rPr>
          <w:rFonts w:ascii="Times New Roman" w:hAnsi="Times New Roman" w:hint="eastAsia"/>
        </w:rPr>
        <w:t>9</w:t>
      </w:r>
      <w:r>
        <w:rPr>
          <w:rFonts w:ascii="Times New Roman" w:hAnsi="Times New Roman" w:hint="eastAsia"/>
        </w:rPr>
        <w:t>月发行了</w:t>
      </w:r>
      <w:r>
        <w:rPr>
          <w:rFonts w:ascii="Times New Roman" w:hAnsi="Times New Roman" w:hint="eastAsia"/>
        </w:rPr>
        <w:t>4</w:t>
      </w:r>
      <w:r>
        <w:rPr>
          <w:rFonts w:ascii="Times New Roman" w:hAnsi="Times New Roman"/>
        </w:rPr>
        <w:t>50</w:t>
      </w:r>
      <w:r>
        <w:rPr>
          <w:rFonts w:ascii="Times New Roman" w:hAnsi="Times New Roman" w:hint="eastAsia"/>
        </w:rPr>
        <w:t>亿元无固定期限资本债券，于</w:t>
      </w:r>
      <w:r>
        <w:rPr>
          <w:rFonts w:ascii="Times New Roman" w:hAnsi="Times New Roman"/>
        </w:rPr>
        <w:t>2020</w:t>
      </w:r>
      <w:r>
        <w:rPr>
          <w:rFonts w:ascii="Times New Roman" w:hAnsi="Times New Roman" w:hint="eastAsia"/>
        </w:rPr>
        <w:t>年</w:t>
      </w:r>
      <w:r>
        <w:rPr>
          <w:rFonts w:ascii="Times New Roman" w:hAnsi="Times New Roman"/>
        </w:rPr>
        <w:t>10</w:t>
      </w:r>
      <w:r>
        <w:rPr>
          <w:rFonts w:ascii="Times New Roman" w:hAnsi="Times New Roman" w:hint="eastAsia"/>
        </w:rPr>
        <w:t>月发行了</w:t>
      </w:r>
      <w:r>
        <w:rPr>
          <w:rFonts w:ascii="Times New Roman" w:hAnsi="Times New Roman"/>
        </w:rPr>
        <w:t>335</w:t>
      </w:r>
      <w:r>
        <w:rPr>
          <w:rFonts w:ascii="Times New Roman" w:hAnsi="Times New Roman" w:hint="eastAsia"/>
        </w:rPr>
        <w:t>亿元的二级资本债券</w:t>
      </w:r>
      <w:r>
        <w:rPr>
          <w:rFonts w:ascii="Times New Roman" w:hAnsi="Times New Roman"/>
        </w:rPr>
        <w:t>，资本充足率持续符合监管要求。</w:t>
      </w:r>
    </w:p>
    <w:p w14:paraId="2838B74A" w14:textId="77777777" w:rsidR="00DE1B44" w:rsidRDefault="00D40582">
      <w:pPr>
        <w:pStyle w:val="58"/>
        <w:spacing w:before="120"/>
        <w:ind w:firstLine="482"/>
        <w:rPr>
          <w:rFonts w:ascii="Times New Roman" w:hAnsi="Times New Roman"/>
        </w:rPr>
      </w:pPr>
      <w:r>
        <w:rPr>
          <w:rFonts w:ascii="Times New Roman" w:hAnsi="Times New Roman" w:hint="eastAsia"/>
        </w:rPr>
        <w:t>2</w:t>
      </w:r>
      <w:r>
        <w:rPr>
          <w:rFonts w:ascii="Times New Roman" w:hAnsi="Times New Roman" w:hint="eastAsia"/>
        </w:rPr>
        <w:t>、不良贷款率、拨备覆盖率</w:t>
      </w:r>
    </w:p>
    <w:p w14:paraId="22DC5578"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截至</w:t>
      </w:r>
      <w:r>
        <w:rPr>
          <w:rFonts w:ascii="Times New Roman" w:hAnsi="Times New Roman"/>
        </w:rPr>
        <w:t>2019</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w:t>
      </w:r>
      <w:r>
        <w:rPr>
          <w:rFonts w:ascii="Times New Roman" w:hAnsi="Times New Roman"/>
        </w:rPr>
        <w:t>2020</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rPr>
        <w:t>6</w:t>
      </w:r>
      <w:r>
        <w:rPr>
          <w:rFonts w:ascii="Times New Roman" w:hAnsi="Times New Roman" w:hint="eastAsia"/>
        </w:rPr>
        <w:t>月</w:t>
      </w:r>
      <w:r>
        <w:rPr>
          <w:rFonts w:ascii="Times New Roman" w:hAnsi="Times New Roman" w:hint="eastAsia"/>
        </w:rPr>
        <w:t>3</w:t>
      </w:r>
      <w:r>
        <w:rPr>
          <w:rFonts w:ascii="Times New Roman" w:hAnsi="Times New Roman"/>
        </w:rPr>
        <w:t>0</w:t>
      </w:r>
      <w:r>
        <w:rPr>
          <w:rFonts w:ascii="Times New Roman" w:hAnsi="Times New Roman" w:hint="eastAsia"/>
        </w:rPr>
        <w:t>日</w:t>
      </w:r>
      <w:r>
        <w:rPr>
          <w:rFonts w:ascii="Times New Roman" w:hAnsi="Times New Roman"/>
        </w:rPr>
        <w:t>，本行不良贷款率分别为</w:t>
      </w:r>
      <w:r>
        <w:rPr>
          <w:rFonts w:ascii="Times New Roman" w:hAnsi="Times New Roman"/>
        </w:rPr>
        <w:t>1.55%</w:t>
      </w:r>
      <w:r>
        <w:rPr>
          <w:rFonts w:ascii="Times New Roman" w:hAnsi="Times New Roman" w:hint="eastAsia"/>
        </w:rPr>
        <w:t>、</w:t>
      </w:r>
      <w:r>
        <w:rPr>
          <w:rFonts w:ascii="Times New Roman" w:hAnsi="Times New Roman"/>
        </w:rPr>
        <w:t>1.55%</w:t>
      </w:r>
      <w:r>
        <w:rPr>
          <w:rFonts w:ascii="Times New Roman" w:hAnsi="Times New Roman" w:hint="eastAsia"/>
        </w:rPr>
        <w:t>和</w:t>
      </w:r>
      <w:r>
        <w:rPr>
          <w:rFonts w:ascii="Times New Roman" w:hAnsi="Times New Roman" w:hint="eastAsia"/>
        </w:rPr>
        <w:t>1</w:t>
      </w:r>
      <w:r>
        <w:rPr>
          <w:rFonts w:ascii="Times New Roman" w:hAnsi="Times New Roman"/>
        </w:rPr>
        <w:t>.25%</w:t>
      </w:r>
      <w:r>
        <w:rPr>
          <w:rFonts w:ascii="Times New Roman" w:hAnsi="Times New Roman"/>
        </w:rPr>
        <w:t>，符合监管要求。</w:t>
      </w:r>
    </w:p>
    <w:p w14:paraId="79C7B049"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报告期内，本行资产质量状况良好，贷款减值计提充足，截至</w:t>
      </w:r>
      <w:r>
        <w:rPr>
          <w:rFonts w:ascii="Times New Roman" w:hAnsi="Times New Roman"/>
        </w:rPr>
        <w:t>2019</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w:t>
      </w:r>
      <w:r>
        <w:rPr>
          <w:rFonts w:ascii="Times New Roman" w:hAnsi="Times New Roman"/>
        </w:rPr>
        <w:t>2020</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6</w:t>
      </w:r>
      <w:r>
        <w:rPr>
          <w:rFonts w:ascii="Times New Roman" w:hAnsi="Times New Roman" w:hint="eastAsia"/>
        </w:rPr>
        <w:t>月</w:t>
      </w:r>
      <w:r>
        <w:rPr>
          <w:rFonts w:ascii="Times New Roman" w:hAnsi="Times New Roman" w:hint="eastAsia"/>
        </w:rPr>
        <w:t>3</w:t>
      </w:r>
      <w:r>
        <w:rPr>
          <w:rFonts w:ascii="Times New Roman" w:hAnsi="Times New Roman"/>
        </w:rPr>
        <w:t>0</w:t>
      </w:r>
      <w:r>
        <w:rPr>
          <w:rFonts w:ascii="Times New Roman" w:hAnsi="Times New Roman" w:hint="eastAsia"/>
        </w:rPr>
        <w:t>日</w:t>
      </w:r>
      <w:r>
        <w:rPr>
          <w:rFonts w:ascii="Times New Roman" w:hAnsi="Times New Roman"/>
        </w:rPr>
        <w:t>，本行拨备覆盖率分别为</w:t>
      </w:r>
      <w:r>
        <w:rPr>
          <w:rFonts w:ascii="Times New Roman" w:hAnsi="Times New Roman"/>
        </w:rPr>
        <w:t>173.41%</w:t>
      </w:r>
      <w:r>
        <w:rPr>
          <w:rFonts w:ascii="Times New Roman" w:hAnsi="Times New Roman" w:hint="eastAsia"/>
        </w:rPr>
        <w:t>、</w:t>
      </w:r>
      <w:r>
        <w:rPr>
          <w:rFonts w:ascii="Times New Roman" w:hAnsi="Times New Roman"/>
        </w:rPr>
        <w:t>178.32%</w:t>
      </w:r>
      <w:r>
        <w:rPr>
          <w:rFonts w:ascii="Times New Roman" w:hAnsi="Times New Roman" w:hint="eastAsia"/>
        </w:rPr>
        <w:t>和</w:t>
      </w:r>
      <w:r>
        <w:rPr>
          <w:rFonts w:ascii="Times New Roman" w:hAnsi="Times New Roman" w:hint="eastAsia"/>
        </w:rPr>
        <w:t>2</w:t>
      </w:r>
      <w:r>
        <w:rPr>
          <w:rFonts w:ascii="Times New Roman" w:hAnsi="Times New Roman"/>
        </w:rPr>
        <w:t>07.38%</w:t>
      </w:r>
      <w:r>
        <w:rPr>
          <w:rFonts w:ascii="Times New Roman" w:hAnsi="Times New Roman"/>
        </w:rPr>
        <w:t>，符合监管要求。</w:t>
      </w:r>
    </w:p>
    <w:p w14:paraId="7CC2DC99" w14:textId="77777777" w:rsidR="00DE1B44" w:rsidRDefault="00D40582">
      <w:pPr>
        <w:pStyle w:val="58"/>
        <w:spacing w:before="120"/>
        <w:ind w:firstLine="482"/>
        <w:rPr>
          <w:rFonts w:ascii="Times New Roman" w:hAnsi="Times New Roman"/>
        </w:rPr>
      </w:pPr>
      <w:r>
        <w:rPr>
          <w:rFonts w:ascii="Times New Roman" w:hAnsi="Times New Roman" w:hint="eastAsia"/>
        </w:rPr>
        <w:t>3</w:t>
      </w:r>
      <w:r>
        <w:rPr>
          <w:rFonts w:ascii="Times New Roman" w:hAnsi="Times New Roman" w:hint="eastAsia"/>
        </w:rPr>
        <w:t>、流动性比例</w:t>
      </w:r>
    </w:p>
    <w:p w14:paraId="5A95D1FE"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截至</w:t>
      </w:r>
      <w:r>
        <w:rPr>
          <w:rFonts w:ascii="Times New Roman" w:hAnsi="Times New Roman"/>
        </w:rPr>
        <w:t>2019</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w:t>
      </w:r>
      <w:r>
        <w:rPr>
          <w:rFonts w:ascii="Times New Roman" w:hAnsi="Times New Roman"/>
        </w:rPr>
        <w:t>2020</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rPr>
        <w:t>6</w:t>
      </w:r>
      <w:r>
        <w:rPr>
          <w:rFonts w:ascii="Times New Roman" w:hAnsi="Times New Roman" w:hint="eastAsia"/>
        </w:rPr>
        <w:t>月</w:t>
      </w:r>
      <w:r>
        <w:rPr>
          <w:rFonts w:ascii="Times New Roman" w:hAnsi="Times New Roman" w:hint="eastAsia"/>
        </w:rPr>
        <w:t>3</w:t>
      </w:r>
      <w:r>
        <w:rPr>
          <w:rFonts w:ascii="Times New Roman" w:hAnsi="Times New Roman"/>
        </w:rPr>
        <w:t>0</w:t>
      </w:r>
      <w:r>
        <w:rPr>
          <w:rFonts w:ascii="Times New Roman" w:hAnsi="Times New Roman" w:hint="eastAsia"/>
        </w:rPr>
        <w:t>日</w:t>
      </w:r>
      <w:r>
        <w:rPr>
          <w:rFonts w:ascii="Times New Roman" w:hAnsi="Times New Roman"/>
        </w:rPr>
        <w:t>，本行</w:t>
      </w:r>
      <w:r>
        <w:rPr>
          <w:rFonts w:ascii="Times New Roman" w:hAnsi="Times New Roman" w:hint="eastAsia"/>
        </w:rPr>
        <w:t>流动性比例分别为</w:t>
      </w:r>
      <w:r>
        <w:rPr>
          <w:rFonts w:ascii="Times New Roman" w:hAnsi="Times New Roman"/>
        </w:rPr>
        <w:t>79.28</w:t>
      </w:r>
      <w:r>
        <w:rPr>
          <w:rFonts w:ascii="Times New Roman" w:hAnsi="Times New Roman" w:hint="eastAsia"/>
        </w:rPr>
        <w:t>%</w:t>
      </w:r>
      <w:r>
        <w:rPr>
          <w:rFonts w:ascii="Times New Roman" w:hAnsi="Times New Roman" w:hint="eastAsia"/>
        </w:rPr>
        <w:t>、</w:t>
      </w:r>
      <w:r>
        <w:rPr>
          <w:rFonts w:ascii="Times New Roman" w:hAnsi="Times New Roman"/>
        </w:rPr>
        <w:t>70.81</w:t>
      </w:r>
      <w:r>
        <w:rPr>
          <w:rFonts w:ascii="Times New Roman" w:hAnsi="Times New Roman" w:hint="eastAsia"/>
        </w:rPr>
        <w:t>%</w:t>
      </w:r>
      <w:r>
        <w:rPr>
          <w:rFonts w:ascii="Times New Roman" w:hAnsi="Times New Roman" w:hint="eastAsia"/>
        </w:rPr>
        <w:t>和</w:t>
      </w:r>
      <w:r>
        <w:rPr>
          <w:rFonts w:ascii="Times New Roman" w:hAnsi="Times New Roman" w:hint="eastAsia"/>
        </w:rPr>
        <w:t>7</w:t>
      </w:r>
      <w:r>
        <w:rPr>
          <w:rFonts w:ascii="Times New Roman" w:hAnsi="Times New Roman"/>
        </w:rPr>
        <w:t>0.26%</w:t>
      </w:r>
      <w:r>
        <w:rPr>
          <w:rFonts w:ascii="Times New Roman" w:hAnsi="Times New Roman" w:hint="eastAsia"/>
        </w:rPr>
        <w:t>，均符合监管要求</w:t>
      </w:r>
      <w:r>
        <w:rPr>
          <w:rFonts w:ascii="Times New Roman" w:hAnsi="Times New Roman"/>
        </w:rPr>
        <w:t>。</w:t>
      </w:r>
    </w:p>
    <w:p w14:paraId="40A5D337" w14:textId="77777777" w:rsidR="00DE1B44" w:rsidRDefault="00D40582">
      <w:pPr>
        <w:pStyle w:val="58"/>
        <w:spacing w:before="120"/>
        <w:ind w:firstLine="482"/>
        <w:rPr>
          <w:rFonts w:ascii="Times New Roman" w:hAnsi="Times New Roman"/>
        </w:rPr>
      </w:pPr>
      <w:r>
        <w:rPr>
          <w:rFonts w:ascii="Times New Roman" w:hAnsi="Times New Roman" w:hint="eastAsia"/>
        </w:rPr>
        <w:lastRenderedPageBreak/>
        <w:t>4</w:t>
      </w:r>
      <w:r>
        <w:rPr>
          <w:rFonts w:ascii="Times New Roman" w:hAnsi="Times New Roman" w:hint="eastAsia"/>
        </w:rPr>
        <w:t>、流动性覆盖率</w:t>
      </w:r>
    </w:p>
    <w:p w14:paraId="34A4CBEF"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截至</w:t>
      </w:r>
      <w:r>
        <w:rPr>
          <w:rFonts w:ascii="Times New Roman" w:hAnsi="Times New Roman"/>
        </w:rPr>
        <w:t>2019</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w:t>
      </w:r>
      <w:r>
        <w:rPr>
          <w:rFonts w:ascii="Times New Roman" w:hAnsi="Times New Roman"/>
        </w:rPr>
        <w:t>2020</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6</w:t>
      </w:r>
      <w:r>
        <w:rPr>
          <w:rFonts w:ascii="Times New Roman" w:hAnsi="Times New Roman" w:hint="eastAsia"/>
        </w:rPr>
        <w:t>月</w:t>
      </w:r>
      <w:r>
        <w:rPr>
          <w:rFonts w:ascii="Times New Roman" w:hAnsi="Times New Roman" w:hint="eastAsia"/>
        </w:rPr>
        <w:t>3</w:t>
      </w:r>
      <w:r>
        <w:rPr>
          <w:rFonts w:ascii="Times New Roman" w:hAnsi="Times New Roman"/>
        </w:rPr>
        <w:t>0</w:t>
      </w:r>
      <w:r>
        <w:rPr>
          <w:rFonts w:ascii="Times New Roman" w:hAnsi="Times New Roman" w:hint="eastAsia"/>
        </w:rPr>
        <w:t>日</w:t>
      </w:r>
      <w:r>
        <w:rPr>
          <w:rFonts w:ascii="Times New Roman" w:hAnsi="Times New Roman"/>
        </w:rPr>
        <w:t>，本行</w:t>
      </w:r>
      <w:r>
        <w:rPr>
          <w:rFonts w:ascii="Times New Roman" w:hAnsi="Times New Roman" w:hint="eastAsia"/>
        </w:rPr>
        <w:t>流动性覆盖率分别为</w:t>
      </w:r>
      <w:r>
        <w:rPr>
          <w:rFonts w:ascii="Times New Roman" w:hAnsi="Times New Roman"/>
        </w:rPr>
        <w:t>139.99</w:t>
      </w:r>
      <w:r>
        <w:rPr>
          <w:rFonts w:ascii="Times New Roman" w:hAnsi="Times New Roman" w:hint="eastAsia"/>
        </w:rPr>
        <w:t>%</w:t>
      </w:r>
      <w:r>
        <w:rPr>
          <w:rFonts w:ascii="Times New Roman" w:hAnsi="Times New Roman" w:hint="eastAsia"/>
        </w:rPr>
        <w:t>、</w:t>
      </w:r>
      <w:r>
        <w:rPr>
          <w:rFonts w:ascii="Times New Roman" w:hAnsi="Times New Roman"/>
        </w:rPr>
        <w:t>144.78</w:t>
      </w:r>
      <w:r>
        <w:rPr>
          <w:rFonts w:ascii="Times New Roman" w:hAnsi="Times New Roman" w:hint="eastAsia"/>
        </w:rPr>
        <w:t>%</w:t>
      </w:r>
      <w:r>
        <w:rPr>
          <w:rFonts w:ascii="Times New Roman" w:hAnsi="Times New Roman" w:hint="eastAsia"/>
        </w:rPr>
        <w:t>和</w:t>
      </w:r>
      <w:r>
        <w:rPr>
          <w:rFonts w:ascii="Times New Roman" w:hAnsi="Times New Roman" w:hint="eastAsia"/>
        </w:rPr>
        <w:t>1</w:t>
      </w:r>
      <w:r>
        <w:rPr>
          <w:rFonts w:ascii="Times New Roman" w:hAnsi="Times New Roman"/>
        </w:rPr>
        <w:t>47.66%</w:t>
      </w:r>
      <w:r>
        <w:rPr>
          <w:rFonts w:ascii="Times New Roman" w:hAnsi="Times New Roman" w:hint="eastAsia"/>
        </w:rPr>
        <w:t>，均符合监管要求</w:t>
      </w:r>
      <w:r>
        <w:rPr>
          <w:rFonts w:ascii="Times New Roman" w:hAnsi="Times New Roman"/>
        </w:rPr>
        <w:t>。</w:t>
      </w:r>
    </w:p>
    <w:p w14:paraId="31305955" w14:textId="77777777" w:rsidR="00DE1B44" w:rsidRDefault="00D40582">
      <w:pPr>
        <w:pStyle w:val="58"/>
        <w:spacing w:before="120"/>
        <w:ind w:firstLine="482"/>
        <w:rPr>
          <w:rFonts w:ascii="Times New Roman" w:hAnsi="Times New Roman"/>
        </w:rPr>
      </w:pPr>
      <w:r>
        <w:rPr>
          <w:rFonts w:ascii="Times New Roman" w:hAnsi="Times New Roman" w:hint="eastAsia"/>
        </w:rPr>
        <w:t>5</w:t>
      </w:r>
      <w:r>
        <w:rPr>
          <w:rFonts w:ascii="Times New Roman" w:hAnsi="Times New Roman" w:hint="eastAsia"/>
        </w:rPr>
        <w:t>、成本收入比</w:t>
      </w:r>
    </w:p>
    <w:p w14:paraId="26DFCCA0"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截至</w:t>
      </w:r>
      <w:r>
        <w:rPr>
          <w:rFonts w:ascii="Times New Roman" w:hAnsi="Times New Roman"/>
        </w:rPr>
        <w:t>2019</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w:t>
      </w:r>
      <w:r>
        <w:rPr>
          <w:rFonts w:ascii="Times New Roman" w:hAnsi="Times New Roman"/>
        </w:rPr>
        <w:t>2020</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6</w:t>
      </w:r>
      <w:r>
        <w:rPr>
          <w:rFonts w:ascii="Times New Roman" w:hAnsi="Times New Roman" w:hint="eastAsia"/>
        </w:rPr>
        <w:t>月</w:t>
      </w:r>
      <w:r>
        <w:rPr>
          <w:rFonts w:ascii="Times New Roman" w:hAnsi="Times New Roman" w:hint="eastAsia"/>
        </w:rPr>
        <w:t>3</w:t>
      </w:r>
      <w:r>
        <w:rPr>
          <w:rFonts w:ascii="Times New Roman" w:hAnsi="Times New Roman"/>
        </w:rPr>
        <w:t>0</w:t>
      </w:r>
      <w:r>
        <w:rPr>
          <w:rFonts w:ascii="Times New Roman" w:hAnsi="Times New Roman" w:hint="eastAsia"/>
        </w:rPr>
        <w:t>日</w:t>
      </w:r>
      <w:r>
        <w:rPr>
          <w:rFonts w:ascii="Times New Roman" w:hAnsi="Times New Roman"/>
        </w:rPr>
        <w:t>，本行</w:t>
      </w:r>
      <w:r>
        <w:rPr>
          <w:rFonts w:ascii="Times New Roman" w:hAnsi="Times New Roman" w:hint="eastAsia"/>
        </w:rPr>
        <w:t>成本收入比分别为</w:t>
      </w:r>
      <w:r>
        <w:rPr>
          <w:rFonts w:ascii="Times New Roman" w:hAnsi="Times New Roman"/>
        </w:rPr>
        <w:t>30.79%</w:t>
      </w:r>
      <w:r>
        <w:rPr>
          <w:rFonts w:ascii="Times New Roman" w:hAnsi="Times New Roman" w:hint="eastAsia"/>
        </w:rPr>
        <w:t>、</w:t>
      </w:r>
      <w:r>
        <w:rPr>
          <w:rFonts w:ascii="Times New Roman" w:hAnsi="Times New Roman" w:hint="eastAsia"/>
        </w:rPr>
        <w:t>2</w:t>
      </w:r>
      <w:r>
        <w:rPr>
          <w:rFonts w:ascii="Times New Roman" w:hAnsi="Times New Roman"/>
        </w:rPr>
        <w:t>8.66%</w:t>
      </w:r>
      <w:r>
        <w:rPr>
          <w:rFonts w:ascii="Times New Roman" w:hAnsi="Times New Roman" w:hint="eastAsia"/>
        </w:rPr>
        <w:t>和</w:t>
      </w:r>
      <w:r>
        <w:rPr>
          <w:rFonts w:ascii="Times New Roman" w:hAnsi="Times New Roman" w:hint="eastAsia"/>
        </w:rPr>
        <w:t>3</w:t>
      </w:r>
      <w:r>
        <w:rPr>
          <w:rFonts w:ascii="Times New Roman" w:hAnsi="Times New Roman"/>
        </w:rPr>
        <w:t>2.67%</w:t>
      </w:r>
      <w:r>
        <w:rPr>
          <w:rFonts w:ascii="Times New Roman" w:hAnsi="Times New Roman" w:hint="eastAsia"/>
        </w:rPr>
        <w:t>，均符合监管要求</w:t>
      </w:r>
      <w:r>
        <w:rPr>
          <w:rFonts w:ascii="Times New Roman" w:hAnsi="Times New Roman"/>
        </w:rPr>
        <w:t>。</w:t>
      </w:r>
    </w:p>
    <w:p w14:paraId="72B9D92F" w14:textId="77777777" w:rsidR="00DE1B44" w:rsidRDefault="00D40582">
      <w:pPr>
        <w:pStyle w:val="58"/>
        <w:spacing w:before="120"/>
        <w:ind w:firstLine="482"/>
        <w:rPr>
          <w:rFonts w:ascii="Times New Roman" w:hAnsi="Times New Roman"/>
        </w:rPr>
      </w:pPr>
      <w:r>
        <w:rPr>
          <w:rFonts w:ascii="Times New Roman" w:hAnsi="Times New Roman" w:hint="eastAsia"/>
        </w:rPr>
        <w:t>6</w:t>
      </w:r>
      <w:r>
        <w:rPr>
          <w:rFonts w:ascii="Times New Roman" w:hAnsi="Times New Roman" w:hint="eastAsia"/>
        </w:rPr>
        <w:t>、净利差、净息差</w:t>
      </w:r>
    </w:p>
    <w:p w14:paraId="5ECDCFB7"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hint="eastAsia"/>
        </w:rPr>
        <w:t>根据财政部《关于严格执行企业会计准则</w:t>
      </w:r>
      <w:r>
        <w:rPr>
          <w:rFonts w:ascii="Times New Roman" w:hAnsi="Times New Roman"/>
        </w:rPr>
        <w:t xml:space="preserve"> </w:t>
      </w:r>
      <w:r>
        <w:rPr>
          <w:rFonts w:ascii="Times New Roman" w:hAnsi="Times New Roman"/>
        </w:rPr>
        <w:t>切实加强企业</w:t>
      </w:r>
      <w:r>
        <w:rPr>
          <w:rFonts w:ascii="Times New Roman" w:hAnsi="Times New Roman"/>
        </w:rPr>
        <w:t>2020</w:t>
      </w:r>
      <w:r>
        <w:rPr>
          <w:rFonts w:ascii="Times New Roman" w:hAnsi="Times New Roman"/>
        </w:rPr>
        <w:t>年年报工作的通知》（财会</w:t>
      </w:r>
      <w:r>
        <w:rPr>
          <w:rFonts w:ascii="Times New Roman" w:hAnsi="Times New Roman"/>
        </w:rPr>
        <w:t>[2021]2</w:t>
      </w:r>
      <w:r>
        <w:rPr>
          <w:rFonts w:ascii="Times New Roman" w:hAnsi="Times New Roman"/>
        </w:rPr>
        <w:t>号），本行将信用卡分期收入从手续费</w:t>
      </w:r>
      <w:proofErr w:type="gramStart"/>
      <w:r>
        <w:rPr>
          <w:rFonts w:ascii="Times New Roman" w:hAnsi="Times New Roman"/>
        </w:rPr>
        <w:t>收入重</w:t>
      </w:r>
      <w:proofErr w:type="gramEnd"/>
      <w:r>
        <w:rPr>
          <w:rFonts w:ascii="Times New Roman" w:hAnsi="Times New Roman"/>
        </w:rPr>
        <w:t>分类至利息收入，</w:t>
      </w:r>
      <w:r>
        <w:rPr>
          <w:rFonts w:ascii="Times New Roman" w:hAnsi="Times New Roman"/>
        </w:rPr>
        <w:t>2019</w:t>
      </w:r>
      <w:r>
        <w:rPr>
          <w:rFonts w:ascii="Times New Roman" w:hAnsi="Times New Roman"/>
        </w:rPr>
        <w:t>年净利息差、净利息收益率和手续费及佣金净收入比营业收入指标数据已相应调整</w:t>
      </w:r>
      <w:r>
        <w:rPr>
          <w:rFonts w:ascii="Times New Roman" w:hAnsi="Times New Roman" w:hint="eastAsia"/>
        </w:rPr>
        <w:t>。</w:t>
      </w:r>
    </w:p>
    <w:p w14:paraId="18A69233"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截至</w:t>
      </w:r>
      <w:r>
        <w:rPr>
          <w:rFonts w:ascii="Times New Roman" w:hAnsi="Times New Roman"/>
        </w:rPr>
        <w:t>2019</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w:t>
      </w:r>
      <w:r>
        <w:rPr>
          <w:rFonts w:ascii="Times New Roman" w:hAnsi="Times New Roman"/>
        </w:rPr>
        <w:t>2020</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rPr>
          <w:rFonts w:ascii="Times New Roman" w:hAnsi="Times New Roman" w:hint="eastAsia"/>
        </w:rPr>
        <w:t>和</w:t>
      </w:r>
      <w:r>
        <w:rPr>
          <w:rFonts w:ascii="Times New Roman" w:hAnsi="Times New Roman" w:hint="eastAsia"/>
        </w:rPr>
        <w:t>2</w:t>
      </w:r>
      <w:r>
        <w:rPr>
          <w:rFonts w:ascii="Times New Roman" w:hAnsi="Times New Roman"/>
        </w:rPr>
        <w:t>021</w:t>
      </w:r>
      <w:r>
        <w:rPr>
          <w:rFonts w:ascii="Times New Roman" w:hAnsi="Times New Roman" w:hint="eastAsia"/>
        </w:rPr>
        <w:t>年</w:t>
      </w:r>
      <w:r>
        <w:rPr>
          <w:rFonts w:ascii="Times New Roman" w:hAnsi="Times New Roman" w:hint="eastAsia"/>
        </w:rPr>
        <w:t>6</w:t>
      </w:r>
      <w:r>
        <w:rPr>
          <w:rFonts w:ascii="Times New Roman" w:hAnsi="Times New Roman" w:hint="eastAsia"/>
        </w:rPr>
        <w:t>月</w:t>
      </w:r>
      <w:r>
        <w:rPr>
          <w:rFonts w:ascii="Times New Roman" w:hAnsi="Times New Roman" w:hint="eastAsia"/>
        </w:rPr>
        <w:t>3</w:t>
      </w:r>
      <w:r>
        <w:rPr>
          <w:rFonts w:ascii="Times New Roman" w:hAnsi="Times New Roman"/>
        </w:rPr>
        <w:t>0</w:t>
      </w:r>
      <w:r>
        <w:rPr>
          <w:rFonts w:ascii="Times New Roman" w:hAnsi="Times New Roman" w:hint="eastAsia"/>
        </w:rPr>
        <w:t>日</w:t>
      </w:r>
      <w:r>
        <w:rPr>
          <w:rFonts w:ascii="Times New Roman" w:hAnsi="Times New Roman"/>
        </w:rPr>
        <w:t>，本行</w:t>
      </w:r>
      <w:r>
        <w:rPr>
          <w:rFonts w:ascii="Times New Roman" w:hAnsi="Times New Roman" w:hint="eastAsia"/>
        </w:rPr>
        <w:t>净利差分别为</w:t>
      </w:r>
      <w:r>
        <w:rPr>
          <w:rFonts w:ascii="Times New Roman" w:hAnsi="Times New Roman"/>
        </w:rPr>
        <w:t>2.53</w:t>
      </w:r>
      <w:r>
        <w:rPr>
          <w:rFonts w:ascii="Times New Roman" w:hAnsi="Times New Roman" w:hint="eastAsia"/>
        </w:rPr>
        <w:t>%</w:t>
      </w:r>
      <w:r>
        <w:rPr>
          <w:rFonts w:ascii="Times New Roman" w:hAnsi="Times New Roman" w:hint="eastAsia"/>
        </w:rPr>
        <w:t>、</w:t>
      </w:r>
      <w:r>
        <w:rPr>
          <w:rFonts w:ascii="Times New Roman" w:hAnsi="Times New Roman"/>
        </w:rPr>
        <w:t>2.21</w:t>
      </w:r>
      <w:r>
        <w:rPr>
          <w:rFonts w:ascii="Times New Roman" w:hAnsi="Times New Roman" w:hint="eastAsia"/>
        </w:rPr>
        <w:t>%</w:t>
      </w:r>
      <w:r>
        <w:rPr>
          <w:rFonts w:ascii="Times New Roman" w:hAnsi="Times New Roman" w:hint="eastAsia"/>
        </w:rPr>
        <w:t>和</w:t>
      </w:r>
      <w:r>
        <w:rPr>
          <w:rFonts w:ascii="Times New Roman" w:hAnsi="Times New Roman" w:hint="eastAsia"/>
        </w:rPr>
        <w:t>1</w:t>
      </w:r>
      <w:r>
        <w:rPr>
          <w:rFonts w:ascii="Times New Roman" w:hAnsi="Times New Roman"/>
        </w:rPr>
        <w:t>.81</w:t>
      </w:r>
      <w:r>
        <w:rPr>
          <w:rFonts w:ascii="Times New Roman" w:hAnsi="Times New Roman" w:hint="eastAsia"/>
        </w:rPr>
        <w:t>%</w:t>
      </w:r>
      <w:r>
        <w:rPr>
          <w:rFonts w:ascii="Times New Roman" w:hAnsi="Times New Roman" w:hint="eastAsia"/>
        </w:rPr>
        <w:t>，净息差分别为</w:t>
      </w:r>
      <w:r>
        <w:rPr>
          <w:rFonts w:ascii="Times New Roman" w:hAnsi="Times New Roman" w:hint="eastAsia"/>
        </w:rPr>
        <w:t>2</w:t>
      </w:r>
      <w:r>
        <w:rPr>
          <w:rFonts w:ascii="Times New Roman" w:hAnsi="Times New Roman"/>
        </w:rPr>
        <w:t>.62</w:t>
      </w:r>
      <w:r>
        <w:rPr>
          <w:rFonts w:ascii="Times New Roman" w:hAnsi="Times New Roman" w:hint="eastAsia"/>
        </w:rPr>
        <w:t>%</w:t>
      </w:r>
      <w:r>
        <w:rPr>
          <w:rFonts w:ascii="Times New Roman" w:hAnsi="Times New Roman" w:hint="eastAsia"/>
        </w:rPr>
        <w:t>、</w:t>
      </w:r>
      <w:r>
        <w:rPr>
          <w:rFonts w:ascii="Times New Roman" w:hAnsi="Times New Roman" w:hint="eastAsia"/>
        </w:rPr>
        <w:t>2</w:t>
      </w:r>
      <w:r>
        <w:rPr>
          <w:rFonts w:ascii="Times New Roman" w:hAnsi="Times New Roman"/>
        </w:rPr>
        <w:t>.34</w:t>
      </w:r>
      <w:r>
        <w:rPr>
          <w:rFonts w:ascii="Times New Roman" w:hAnsi="Times New Roman" w:hint="eastAsia"/>
        </w:rPr>
        <w:t>%</w:t>
      </w:r>
      <w:r>
        <w:rPr>
          <w:rFonts w:ascii="Times New Roman" w:hAnsi="Times New Roman" w:hint="eastAsia"/>
        </w:rPr>
        <w:t>和</w:t>
      </w:r>
      <w:r>
        <w:rPr>
          <w:rFonts w:ascii="Times New Roman" w:hAnsi="Times New Roman" w:hint="eastAsia"/>
        </w:rPr>
        <w:t>1</w:t>
      </w:r>
      <w:r>
        <w:rPr>
          <w:rFonts w:ascii="Times New Roman" w:hAnsi="Times New Roman"/>
        </w:rPr>
        <w:t>.95</w:t>
      </w:r>
      <w:r>
        <w:rPr>
          <w:rFonts w:ascii="Times New Roman" w:hAnsi="Times New Roman" w:hint="eastAsia"/>
        </w:rPr>
        <w:t>%</w:t>
      </w:r>
      <w:r>
        <w:rPr>
          <w:rFonts w:ascii="Times New Roman" w:hAnsi="Times New Roman"/>
        </w:rPr>
        <w:t>。</w:t>
      </w:r>
      <w:r>
        <w:rPr>
          <w:rFonts w:ascii="Times New Roman" w:hAnsi="Times New Roman" w:hint="eastAsia"/>
        </w:rPr>
        <w:t>2</w:t>
      </w:r>
      <w:r>
        <w:rPr>
          <w:rFonts w:ascii="Times New Roman" w:hAnsi="Times New Roman"/>
        </w:rPr>
        <w:t>020</w:t>
      </w:r>
      <w:r>
        <w:rPr>
          <w:rFonts w:ascii="Times New Roman" w:hAnsi="Times New Roman" w:hint="eastAsia"/>
        </w:rPr>
        <w:t>年，本行净利差及净息差有所下降，主要由于</w:t>
      </w:r>
      <w:r>
        <w:rPr>
          <w:rFonts w:ascii="Times New Roman" w:hAnsi="Times New Roman"/>
        </w:rPr>
        <w:t>本行加大支持实体经济、降低实体融资成本，</w:t>
      </w:r>
      <w:r>
        <w:rPr>
          <w:rFonts w:ascii="Times New Roman" w:hAnsi="Times New Roman" w:hint="eastAsia"/>
        </w:rPr>
        <w:t>导致</w:t>
      </w:r>
      <w:r>
        <w:rPr>
          <w:rFonts w:ascii="Times New Roman" w:hAnsi="Times New Roman"/>
        </w:rPr>
        <w:t>生息资产收益率</w:t>
      </w:r>
      <w:r>
        <w:rPr>
          <w:rFonts w:ascii="Times New Roman" w:hAnsi="Times New Roman" w:hint="eastAsia"/>
        </w:rPr>
        <w:t>有所</w:t>
      </w:r>
      <w:r>
        <w:rPr>
          <w:rFonts w:ascii="Times New Roman" w:hAnsi="Times New Roman"/>
        </w:rPr>
        <w:t>下降</w:t>
      </w:r>
      <w:r>
        <w:rPr>
          <w:rFonts w:ascii="Times New Roman" w:hAnsi="Times New Roman" w:hint="eastAsia"/>
        </w:rPr>
        <w:t>。本行加快优化负债结构，有效降低负债成本，付息负债付息率同步下降，</w:t>
      </w:r>
      <w:r>
        <w:rPr>
          <w:rFonts w:ascii="Times New Roman" w:hAnsi="Times New Roman" w:hint="eastAsia"/>
        </w:rPr>
        <w:t>2</w:t>
      </w:r>
      <w:r>
        <w:rPr>
          <w:rFonts w:ascii="Times New Roman" w:hAnsi="Times New Roman"/>
        </w:rPr>
        <w:t>020</w:t>
      </w:r>
      <w:r>
        <w:rPr>
          <w:rFonts w:ascii="Times New Roman" w:hAnsi="Times New Roman" w:hint="eastAsia"/>
        </w:rPr>
        <w:t>年，本行净利差、净息差仍处于同业中等偏上水平。</w:t>
      </w:r>
    </w:p>
    <w:p w14:paraId="49436586" w14:textId="77777777" w:rsidR="00DE1B44" w:rsidRDefault="00D40582">
      <w:pPr>
        <w:pStyle w:val="1ff1"/>
        <w:spacing w:before="120"/>
        <w:ind w:firstLine="720"/>
        <w:rPr>
          <w:rFonts w:ascii="Times New Roman" w:hAnsi="Times New Roman" w:cs="Times New Roman"/>
        </w:rPr>
      </w:pPr>
      <w:bookmarkStart w:id="48" w:name="_Toc89016906"/>
      <w:r>
        <w:rPr>
          <w:rFonts w:ascii="Times New Roman" w:hAnsi="Times New Roman" w:cs="Times New Roman"/>
        </w:rPr>
        <w:lastRenderedPageBreak/>
        <w:t>第</w:t>
      </w:r>
      <w:r>
        <w:rPr>
          <w:rFonts w:ascii="Times New Roman" w:hAnsi="Times New Roman" w:cs="Times New Roman" w:hint="eastAsia"/>
        </w:rPr>
        <w:t>三</w:t>
      </w:r>
      <w:r>
        <w:rPr>
          <w:rFonts w:ascii="Times New Roman" w:hAnsi="Times New Roman" w:cs="Times New Roman"/>
        </w:rPr>
        <w:t>节</w:t>
      </w:r>
      <w:r>
        <w:rPr>
          <w:rFonts w:ascii="Times New Roman" w:hAnsi="Times New Roman" w:cs="Times New Roman"/>
        </w:rPr>
        <w:t xml:space="preserve"> </w:t>
      </w:r>
      <w:r>
        <w:rPr>
          <w:rFonts w:ascii="Times New Roman" w:hAnsi="Times New Roman" w:cs="Times New Roman" w:hint="eastAsia"/>
        </w:rPr>
        <w:t>发行计划</w:t>
      </w:r>
      <w:bookmarkEnd w:id="48"/>
    </w:p>
    <w:p w14:paraId="399AABF5" w14:textId="77777777" w:rsidR="00DE1B44" w:rsidRDefault="00D40582">
      <w:pPr>
        <w:pStyle w:val="2f0"/>
        <w:spacing w:before="120"/>
        <w:rPr>
          <w:rFonts w:ascii="Times New Roman" w:hAnsi="Times New Roman"/>
        </w:rPr>
      </w:pPr>
      <w:bookmarkStart w:id="49" w:name="_Toc89016907"/>
      <w:r>
        <w:rPr>
          <w:rFonts w:hint="eastAsia"/>
        </w:rPr>
        <w:t>一、</w:t>
      </w:r>
      <w:r>
        <w:rPr>
          <w:rFonts w:ascii="Times New Roman" w:hAnsi="Times New Roman" w:hint="eastAsia"/>
        </w:rPr>
        <w:t>本次</w:t>
      </w:r>
      <w:r>
        <w:rPr>
          <w:rFonts w:ascii="Times New Roman" w:hAnsi="Times New Roman"/>
        </w:rPr>
        <w:t>发行</w:t>
      </w:r>
      <w:r>
        <w:rPr>
          <w:rFonts w:ascii="Times New Roman" w:hAnsi="Times New Roman" w:hint="eastAsia"/>
        </w:rPr>
        <w:t>的</w:t>
      </w:r>
      <w:r>
        <w:rPr>
          <w:rFonts w:ascii="Times New Roman" w:hAnsi="Times New Roman"/>
        </w:rPr>
        <w:t>目的</w:t>
      </w:r>
      <w:bookmarkEnd w:id="49"/>
    </w:p>
    <w:p w14:paraId="7DC3AD84"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次发行的目的为有效补充本行核心一级资本，提升资本充足率，持续满足监管要求及业务稳健发展的需要。本行亟需补充资本，进一步增强资本实力，优化资本结构，动态满足监管要求，并预留一定的安全边际；此外，随着中国经济转型发展进程加快，改革开放广度深度不断拓展，本行业务发展面临良好机遇，本次发行能够助力本行进一步提高以服务实体经济为中心的发展能力，增强对系统性金融风险的抵御能力，确保经营战略有效进行，提高协同效应与资源整合力度，稳步提升综合竞争力。</w:t>
      </w:r>
    </w:p>
    <w:p w14:paraId="56E4A726" w14:textId="77777777" w:rsidR="00DE1B44" w:rsidRDefault="00D40582">
      <w:pPr>
        <w:pStyle w:val="2f0"/>
        <w:spacing w:before="120"/>
        <w:rPr>
          <w:rFonts w:ascii="Times New Roman" w:hAnsi="Times New Roman"/>
        </w:rPr>
      </w:pPr>
      <w:bookmarkStart w:id="50" w:name="_Toc89016908"/>
      <w:r>
        <w:rPr>
          <w:rFonts w:hint="eastAsia"/>
        </w:rPr>
        <w:t>二、</w:t>
      </w:r>
      <w:r>
        <w:rPr>
          <w:rFonts w:ascii="Times New Roman" w:hAnsi="Times New Roman"/>
        </w:rPr>
        <w:t>发行对象及</w:t>
      </w:r>
      <w:r>
        <w:rPr>
          <w:rFonts w:ascii="Times New Roman" w:hAnsi="Times New Roman" w:hint="eastAsia"/>
        </w:rPr>
        <w:t>现有股东优先认购安排</w:t>
      </w:r>
      <w:bookmarkEnd w:id="50"/>
    </w:p>
    <w:p w14:paraId="1CED42EF" w14:textId="77777777" w:rsidR="00DE1B44" w:rsidRDefault="00D40582">
      <w:pPr>
        <w:snapToGrid w:val="0"/>
        <w:spacing w:before="120"/>
        <w:ind w:firstLine="482"/>
        <w:rPr>
          <w:rFonts w:ascii="Times New Roman" w:hAnsi="Times New Roman" w:cs="Times New Roman"/>
          <w:b/>
        </w:rPr>
      </w:pPr>
      <w:r>
        <w:rPr>
          <w:rFonts w:ascii="Times New Roman" w:hAnsi="Times New Roman" w:cs="Times New Roman" w:hint="eastAsia"/>
          <w:b/>
        </w:rPr>
        <w:t>（一）股份增发实施安排</w:t>
      </w:r>
    </w:p>
    <w:p w14:paraId="552D9467"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本次股份发行对象为</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23</w:t>
      </w:r>
      <w:r>
        <w:rPr>
          <w:rFonts w:ascii="Times New Roman" w:hAnsi="Times New Roman" w:cs="Times New Roman"/>
        </w:rPr>
        <w:t>日</w:t>
      </w:r>
      <w:r>
        <w:rPr>
          <w:rFonts w:ascii="Times New Roman" w:hAnsi="Times New Roman" w:cs="Times New Roman" w:hint="eastAsia"/>
        </w:rPr>
        <w:t>股权登记日登记于股东名册的符合监管要求的股东。视本行股东对本次股份增发的实际认购情况，如存在未被股东认购的新增发行股份（以下简称“股份余额”），则由经营管理层根据董事会、股东大会的授权由发行人股东或引入符合监管要求的外部意向投资方进行认购。</w:t>
      </w:r>
    </w:p>
    <w:p w14:paraId="50A31B7E"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次定向发行采用以产权交易机构挂牌方式确定定向发行对象，鉴于本行为《非上市公众公司监督管理办法》中规定的非上市公众公司，根据《非上市公众公司监督管理办法》第四十二条的规定，本次股份增发新增股东数量不超过</w:t>
      </w:r>
      <w:r>
        <w:rPr>
          <w:rFonts w:ascii="Times New Roman" w:hAnsi="Times New Roman" w:cs="Times New Roman"/>
        </w:rPr>
        <w:t>35</w:t>
      </w:r>
      <w:r>
        <w:rPr>
          <w:rFonts w:ascii="Times New Roman" w:hAnsi="Times New Roman" w:cs="Times New Roman"/>
        </w:rPr>
        <w:t>名。</w:t>
      </w:r>
    </w:p>
    <w:p w14:paraId="1C629614" w14:textId="77777777" w:rsidR="00DE1B44" w:rsidRDefault="00D40582">
      <w:pPr>
        <w:snapToGrid w:val="0"/>
        <w:spacing w:before="120"/>
        <w:ind w:firstLine="482"/>
        <w:rPr>
          <w:rFonts w:ascii="Times New Roman" w:hAnsi="Times New Roman" w:cs="Times New Roman"/>
          <w:b/>
        </w:rPr>
      </w:pPr>
      <w:r>
        <w:rPr>
          <w:rFonts w:ascii="Times New Roman" w:hAnsi="Times New Roman" w:cs="Times New Roman"/>
          <w:b/>
        </w:rPr>
        <w:t>（</w:t>
      </w:r>
      <w:r>
        <w:rPr>
          <w:rFonts w:ascii="Times New Roman" w:hAnsi="Times New Roman" w:cs="Times New Roman" w:hint="eastAsia"/>
          <w:b/>
        </w:rPr>
        <w:t>二</w:t>
      </w:r>
      <w:r>
        <w:rPr>
          <w:rFonts w:ascii="Times New Roman" w:hAnsi="Times New Roman" w:cs="Times New Roman"/>
          <w:b/>
        </w:rPr>
        <w:t>）</w:t>
      </w:r>
      <w:r>
        <w:rPr>
          <w:rFonts w:ascii="Times New Roman" w:hAnsi="Times New Roman" w:cs="Times New Roman" w:hint="eastAsia"/>
          <w:b/>
        </w:rPr>
        <w:t>本次发行对象的具体认购明细</w:t>
      </w:r>
    </w:p>
    <w:p w14:paraId="0D2446EC"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本次发行对象包括在股权登记日登记于股东名册的符合监管要求的</w:t>
      </w:r>
      <w:r>
        <w:rPr>
          <w:rFonts w:ascii="Times New Roman" w:hAnsi="Times New Roman" w:cs="Times New Roman"/>
        </w:rPr>
        <w:t>31</w:t>
      </w:r>
      <w:r>
        <w:rPr>
          <w:rFonts w:ascii="Times New Roman" w:hAnsi="Times New Roman" w:cs="Times New Roman"/>
        </w:rPr>
        <w:t>位在册股东及</w:t>
      </w:r>
      <w:r>
        <w:rPr>
          <w:rFonts w:ascii="Times New Roman" w:hAnsi="Times New Roman" w:cs="Times New Roman" w:hint="eastAsia"/>
        </w:rPr>
        <w:t>通过产权交易所挂牌</w:t>
      </w:r>
      <w:r>
        <w:rPr>
          <w:rFonts w:ascii="Times New Roman" w:hAnsi="Times New Roman" w:cs="Times New Roman"/>
        </w:rPr>
        <w:t>引入的</w:t>
      </w:r>
      <w:r>
        <w:rPr>
          <w:rFonts w:ascii="Times New Roman" w:hAnsi="Times New Roman" w:cs="Times New Roman"/>
        </w:rPr>
        <w:t>3</w:t>
      </w:r>
      <w:r>
        <w:rPr>
          <w:rFonts w:ascii="Times New Roman" w:hAnsi="Times New Roman" w:cs="Times New Roman"/>
        </w:rPr>
        <w:t>位新增投资者。其中，</w:t>
      </w:r>
      <w:r>
        <w:rPr>
          <w:rFonts w:ascii="Times New Roman" w:hAnsi="Times New Roman" w:cs="Times New Roman" w:hint="eastAsia"/>
        </w:rPr>
        <w:t>3</w:t>
      </w:r>
      <w:r>
        <w:rPr>
          <w:rFonts w:ascii="Times New Roman" w:hAnsi="Times New Roman" w:cs="Times New Roman"/>
        </w:rPr>
        <w:t>1</w:t>
      </w:r>
      <w:r>
        <w:rPr>
          <w:rFonts w:ascii="Times New Roman" w:hAnsi="Times New Roman" w:cs="Times New Roman"/>
        </w:rPr>
        <w:t>位在册股东预计合计认购新增股份</w:t>
      </w:r>
      <w:r>
        <w:rPr>
          <w:rFonts w:ascii="Times New Roman" w:hAnsi="Times New Roman" w:cs="Times New Roman"/>
        </w:rPr>
        <w:t>1,106,413,193</w:t>
      </w:r>
      <w:r>
        <w:rPr>
          <w:rFonts w:ascii="Times New Roman" w:hAnsi="Times New Roman" w:cs="Times New Roman"/>
        </w:rPr>
        <w:t>股，认购金额合计约</w:t>
      </w:r>
      <w:r>
        <w:rPr>
          <w:rFonts w:ascii="Times New Roman" w:hAnsi="Times New Roman" w:cs="Times New Roman"/>
        </w:rPr>
        <w:t>96.6607</w:t>
      </w:r>
      <w:r>
        <w:rPr>
          <w:rFonts w:ascii="Times New Roman" w:hAnsi="Times New Roman" w:cs="Times New Roman"/>
        </w:rPr>
        <w:t>亿元；</w:t>
      </w:r>
      <w:r>
        <w:rPr>
          <w:rFonts w:ascii="Times New Roman" w:hAnsi="Times New Roman" w:cs="Times New Roman"/>
        </w:rPr>
        <w:t>3</w:t>
      </w:r>
      <w:r>
        <w:rPr>
          <w:rFonts w:ascii="Times New Roman" w:hAnsi="Times New Roman" w:cs="Times New Roman"/>
        </w:rPr>
        <w:t>位新增投资者预计合计认购新增股份</w:t>
      </w:r>
      <w:r>
        <w:rPr>
          <w:rFonts w:ascii="Times New Roman" w:hAnsi="Times New Roman" w:cs="Times New Roman"/>
        </w:rPr>
        <w:t>996,251,246</w:t>
      </w:r>
      <w:r>
        <w:rPr>
          <w:rFonts w:ascii="Times New Roman" w:hAnsi="Times New Roman" w:cs="Times New Roman"/>
        </w:rPr>
        <w:t>股，认购金额合计约</w:t>
      </w:r>
      <w:r>
        <w:rPr>
          <w:rFonts w:ascii="Times New Roman" w:hAnsi="Times New Roman" w:cs="Times New Roman"/>
        </w:rPr>
        <w:t>87.0365</w:t>
      </w:r>
      <w:r>
        <w:rPr>
          <w:rFonts w:ascii="Times New Roman" w:hAnsi="Times New Roman" w:cs="Times New Roman"/>
        </w:rPr>
        <w:t>亿元。具体明细如下：</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4304"/>
        <w:gridCol w:w="2166"/>
        <w:gridCol w:w="1834"/>
      </w:tblGrid>
      <w:tr w:rsidR="00DE1B44" w14:paraId="3109F936" w14:textId="77777777">
        <w:trPr>
          <w:trHeight w:val="397"/>
          <w:tblHeader/>
          <w:jc w:val="center"/>
        </w:trPr>
        <w:tc>
          <w:tcPr>
            <w:tcW w:w="712" w:type="dxa"/>
            <w:vAlign w:val="center"/>
          </w:tcPr>
          <w:p w14:paraId="43C1946A" w14:textId="77777777" w:rsidR="00DE1B44" w:rsidRDefault="00D40582">
            <w:pPr>
              <w:pStyle w:val="af6"/>
              <w:spacing w:beforeLines="0" w:before="0" w:after="0" w:line="240" w:lineRule="auto"/>
              <w:ind w:firstLineChars="0" w:firstLine="0"/>
              <w:jc w:val="center"/>
              <w:rPr>
                <w:rFonts w:ascii="Times New Roman" w:hAnsi="Times New Roman"/>
                <w:b/>
                <w:sz w:val="21"/>
              </w:rPr>
            </w:pPr>
            <w:r>
              <w:rPr>
                <w:rFonts w:ascii="Times New Roman" w:hAnsi="Times New Roman"/>
                <w:b/>
                <w:sz w:val="21"/>
              </w:rPr>
              <w:t>序号</w:t>
            </w:r>
          </w:p>
        </w:tc>
        <w:tc>
          <w:tcPr>
            <w:tcW w:w="4304" w:type="dxa"/>
            <w:vAlign w:val="center"/>
          </w:tcPr>
          <w:p w14:paraId="746787B0" w14:textId="77777777" w:rsidR="00DE1B44" w:rsidRDefault="00D40582">
            <w:pPr>
              <w:pStyle w:val="af6"/>
              <w:spacing w:beforeLines="0" w:before="0" w:after="0" w:line="240" w:lineRule="auto"/>
              <w:ind w:firstLineChars="0" w:firstLine="0"/>
              <w:jc w:val="center"/>
              <w:rPr>
                <w:rFonts w:ascii="Times New Roman" w:hAnsi="Times New Roman"/>
                <w:b/>
                <w:sz w:val="21"/>
              </w:rPr>
            </w:pPr>
            <w:r>
              <w:rPr>
                <w:rFonts w:ascii="Times New Roman" w:hAnsi="Times New Roman"/>
                <w:b/>
                <w:sz w:val="21"/>
              </w:rPr>
              <w:t>股东名称</w:t>
            </w:r>
          </w:p>
        </w:tc>
        <w:tc>
          <w:tcPr>
            <w:tcW w:w="2166" w:type="dxa"/>
            <w:vAlign w:val="center"/>
          </w:tcPr>
          <w:p w14:paraId="42CD5B55" w14:textId="77777777" w:rsidR="00DE1B44" w:rsidRDefault="00D40582">
            <w:pPr>
              <w:pStyle w:val="af6"/>
              <w:spacing w:beforeLines="0" w:before="0" w:after="0" w:line="240" w:lineRule="auto"/>
              <w:ind w:firstLineChars="0" w:firstLine="0"/>
              <w:jc w:val="center"/>
              <w:rPr>
                <w:rFonts w:ascii="Times New Roman" w:hAnsi="Times New Roman"/>
                <w:b/>
                <w:sz w:val="21"/>
              </w:rPr>
            </w:pPr>
            <w:r>
              <w:rPr>
                <w:rFonts w:ascii="Times New Roman" w:hAnsi="Times New Roman"/>
                <w:b/>
                <w:sz w:val="21"/>
              </w:rPr>
              <w:t>认购金额</w:t>
            </w:r>
          </w:p>
        </w:tc>
        <w:tc>
          <w:tcPr>
            <w:tcW w:w="1834" w:type="dxa"/>
            <w:vAlign w:val="center"/>
          </w:tcPr>
          <w:p w14:paraId="5B359109" w14:textId="77777777" w:rsidR="00DE1B44" w:rsidRDefault="00D40582">
            <w:pPr>
              <w:pStyle w:val="af6"/>
              <w:spacing w:beforeLines="0" w:before="0" w:after="0" w:line="240" w:lineRule="auto"/>
              <w:ind w:firstLineChars="0" w:firstLine="0"/>
              <w:jc w:val="center"/>
              <w:rPr>
                <w:rFonts w:ascii="Times New Roman" w:hAnsi="Times New Roman"/>
                <w:b/>
                <w:sz w:val="21"/>
              </w:rPr>
            </w:pPr>
            <w:r>
              <w:rPr>
                <w:rFonts w:ascii="Times New Roman" w:hAnsi="Times New Roman"/>
                <w:b/>
                <w:sz w:val="21"/>
              </w:rPr>
              <w:t>认购股数</w:t>
            </w:r>
          </w:p>
        </w:tc>
      </w:tr>
      <w:tr w:rsidR="00DE1B44" w14:paraId="3012C03B" w14:textId="77777777">
        <w:trPr>
          <w:trHeight w:val="397"/>
          <w:jc w:val="center"/>
        </w:trPr>
        <w:tc>
          <w:tcPr>
            <w:tcW w:w="9016" w:type="dxa"/>
            <w:gridSpan w:val="4"/>
            <w:vAlign w:val="center"/>
          </w:tcPr>
          <w:p w14:paraId="66AA5884" w14:textId="77777777" w:rsidR="00DE1B44" w:rsidRDefault="00D40582">
            <w:pPr>
              <w:pStyle w:val="af6"/>
              <w:spacing w:beforeLines="0" w:before="0" w:after="0" w:line="240" w:lineRule="auto"/>
              <w:ind w:firstLineChars="0" w:firstLine="0"/>
              <w:jc w:val="center"/>
              <w:rPr>
                <w:rFonts w:ascii="Times New Roman" w:hAnsi="Times New Roman"/>
                <w:b/>
                <w:bCs/>
                <w:sz w:val="21"/>
              </w:rPr>
            </w:pPr>
            <w:r>
              <w:rPr>
                <w:rFonts w:ascii="Times New Roman" w:hAnsi="Times New Roman" w:hint="eastAsia"/>
                <w:b/>
                <w:bCs/>
                <w:sz w:val="21"/>
              </w:rPr>
              <w:t>原股东认购情况</w:t>
            </w:r>
          </w:p>
        </w:tc>
      </w:tr>
      <w:tr w:rsidR="00DE1B44" w14:paraId="2F6B8872" w14:textId="77777777">
        <w:trPr>
          <w:trHeight w:val="397"/>
          <w:jc w:val="center"/>
        </w:trPr>
        <w:tc>
          <w:tcPr>
            <w:tcW w:w="712" w:type="dxa"/>
            <w:vAlign w:val="center"/>
          </w:tcPr>
          <w:p w14:paraId="5A657013"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1</w:t>
            </w:r>
          </w:p>
        </w:tc>
        <w:tc>
          <w:tcPr>
            <w:tcW w:w="4304" w:type="dxa"/>
          </w:tcPr>
          <w:p w14:paraId="00895E2D"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中国人寿保险股份有限公司</w:t>
            </w:r>
          </w:p>
        </w:tc>
        <w:tc>
          <w:tcPr>
            <w:tcW w:w="2166" w:type="dxa"/>
          </w:tcPr>
          <w:p w14:paraId="30EE8C96"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8,025,072,142.83</w:t>
            </w:r>
          </w:p>
        </w:tc>
        <w:tc>
          <w:tcPr>
            <w:tcW w:w="1834" w:type="dxa"/>
          </w:tcPr>
          <w:p w14:paraId="4A941EB9"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918,578,836</w:t>
            </w:r>
          </w:p>
        </w:tc>
      </w:tr>
      <w:tr w:rsidR="00DE1B44" w14:paraId="244EF613" w14:textId="77777777">
        <w:trPr>
          <w:trHeight w:val="397"/>
          <w:jc w:val="center"/>
        </w:trPr>
        <w:tc>
          <w:tcPr>
            <w:tcW w:w="712" w:type="dxa"/>
            <w:vAlign w:val="center"/>
          </w:tcPr>
          <w:p w14:paraId="4B5E487E"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2</w:t>
            </w:r>
          </w:p>
        </w:tc>
        <w:tc>
          <w:tcPr>
            <w:tcW w:w="4304" w:type="dxa"/>
          </w:tcPr>
          <w:p w14:paraId="7B0FE3C2"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江西省交通投资集团有限责任公司</w:t>
            </w:r>
          </w:p>
        </w:tc>
        <w:tc>
          <w:tcPr>
            <w:tcW w:w="2166" w:type="dxa"/>
          </w:tcPr>
          <w:p w14:paraId="2BA18F73"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1,503,429,594.46</w:t>
            </w:r>
          </w:p>
        </w:tc>
        <w:tc>
          <w:tcPr>
            <w:tcW w:w="1834" w:type="dxa"/>
          </w:tcPr>
          <w:p w14:paraId="7008FFEC"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172,087,999</w:t>
            </w:r>
          </w:p>
        </w:tc>
      </w:tr>
      <w:tr w:rsidR="00DE1B44" w14:paraId="1DA5DC80" w14:textId="77777777">
        <w:trPr>
          <w:trHeight w:val="397"/>
          <w:jc w:val="center"/>
        </w:trPr>
        <w:tc>
          <w:tcPr>
            <w:tcW w:w="712" w:type="dxa"/>
            <w:vAlign w:val="center"/>
          </w:tcPr>
          <w:p w14:paraId="0442FBC4"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lastRenderedPageBreak/>
              <w:t>3</w:t>
            </w:r>
          </w:p>
        </w:tc>
        <w:tc>
          <w:tcPr>
            <w:tcW w:w="4304" w:type="dxa"/>
          </w:tcPr>
          <w:p w14:paraId="18C13EE9"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河南中烟工业有限责任公司</w:t>
            </w:r>
          </w:p>
        </w:tc>
        <w:tc>
          <w:tcPr>
            <w:tcW w:w="2166" w:type="dxa"/>
          </w:tcPr>
          <w:p w14:paraId="489726AB"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47,962,836.00</w:t>
            </w:r>
          </w:p>
        </w:tc>
        <w:tc>
          <w:tcPr>
            <w:tcW w:w="1834" w:type="dxa"/>
          </w:tcPr>
          <w:p w14:paraId="69B34689"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5,490,000</w:t>
            </w:r>
          </w:p>
        </w:tc>
      </w:tr>
      <w:tr w:rsidR="00DE1B44" w14:paraId="5F571639" w14:textId="77777777">
        <w:trPr>
          <w:trHeight w:val="397"/>
          <w:jc w:val="center"/>
        </w:trPr>
        <w:tc>
          <w:tcPr>
            <w:tcW w:w="712" w:type="dxa"/>
            <w:vAlign w:val="center"/>
          </w:tcPr>
          <w:p w14:paraId="7F08CF19"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4</w:t>
            </w:r>
          </w:p>
        </w:tc>
        <w:tc>
          <w:tcPr>
            <w:tcW w:w="4304" w:type="dxa"/>
          </w:tcPr>
          <w:p w14:paraId="0FFDDF8E"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汕头市投资控股集团有限公司</w:t>
            </w:r>
          </w:p>
        </w:tc>
        <w:tc>
          <w:tcPr>
            <w:tcW w:w="2166" w:type="dxa"/>
          </w:tcPr>
          <w:p w14:paraId="19760C9A"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38,447,210.27</w:t>
            </w:r>
          </w:p>
        </w:tc>
        <w:tc>
          <w:tcPr>
            <w:tcW w:w="1834" w:type="dxa"/>
          </w:tcPr>
          <w:p w14:paraId="60CE2465"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4,400,807</w:t>
            </w:r>
          </w:p>
        </w:tc>
      </w:tr>
      <w:tr w:rsidR="00DE1B44" w14:paraId="53E5FFCD" w14:textId="77777777">
        <w:trPr>
          <w:trHeight w:val="397"/>
          <w:jc w:val="center"/>
        </w:trPr>
        <w:tc>
          <w:tcPr>
            <w:tcW w:w="712" w:type="dxa"/>
            <w:vAlign w:val="center"/>
          </w:tcPr>
          <w:p w14:paraId="2AFC7940"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5</w:t>
            </w:r>
          </w:p>
        </w:tc>
        <w:tc>
          <w:tcPr>
            <w:tcW w:w="4304" w:type="dxa"/>
          </w:tcPr>
          <w:p w14:paraId="32C45F59"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proofErr w:type="gramStart"/>
            <w:r>
              <w:rPr>
                <w:rFonts w:ascii="Times New Roman" w:hAnsi="Times New Roman" w:hint="eastAsia"/>
                <w:color w:val="000000"/>
                <w:sz w:val="21"/>
              </w:rPr>
              <w:t>瀚蓝环境</w:t>
            </w:r>
            <w:proofErr w:type="gramEnd"/>
            <w:r>
              <w:rPr>
                <w:rFonts w:ascii="Times New Roman" w:hAnsi="Times New Roman" w:hint="eastAsia"/>
                <w:color w:val="000000"/>
                <w:sz w:val="21"/>
              </w:rPr>
              <w:t>股份有限公司</w:t>
            </w:r>
          </w:p>
        </w:tc>
        <w:tc>
          <w:tcPr>
            <w:tcW w:w="2166" w:type="dxa"/>
          </w:tcPr>
          <w:p w14:paraId="328A9DAB"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10,254,192.24</w:t>
            </w:r>
          </w:p>
        </w:tc>
        <w:tc>
          <w:tcPr>
            <w:tcW w:w="1834" w:type="dxa"/>
          </w:tcPr>
          <w:p w14:paraId="0ACF75C7"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1,173,732</w:t>
            </w:r>
          </w:p>
        </w:tc>
      </w:tr>
      <w:tr w:rsidR="00DE1B44" w14:paraId="48089716" w14:textId="77777777">
        <w:trPr>
          <w:trHeight w:val="397"/>
          <w:jc w:val="center"/>
        </w:trPr>
        <w:tc>
          <w:tcPr>
            <w:tcW w:w="712" w:type="dxa"/>
            <w:vAlign w:val="center"/>
          </w:tcPr>
          <w:p w14:paraId="39933144"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6</w:t>
            </w:r>
          </w:p>
        </w:tc>
        <w:tc>
          <w:tcPr>
            <w:tcW w:w="4304" w:type="dxa"/>
          </w:tcPr>
          <w:p w14:paraId="5ED5D6B7"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广东省外贸开发有限公司</w:t>
            </w:r>
          </w:p>
        </w:tc>
        <w:tc>
          <w:tcPr>
            <w:tcW w:w="2166" w:type="dxa"/>
          </w:tcPr>
          <w:p w14:paraId="4C9B2297"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9,999,997.95</w:t>
            </w:r>
          </w:p>
        </w:tc>
        <w:tc>
          <w:tcPr>
            <w:tcW w:w="1834" w:type="dxa"/>
          </w:tcPr>
          <w:p w14:paraId="768ADB36"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1,144,636</w:t>
            </w:r>
          </w:p>
        </w:tc>
      </w:tr>
      <w:tr w:rsidR="00DE1B44" w14:paraId="3F5A926F" w14:textId="77777777">
        <w:trPr>
          <w:trHeight w:val="397"/>
          <w:jc w:val="center"/>
        </w:trPr>
        <w:tc>
          <w:tcPr>
            <w:tcW w:w="712" w:type="dxa"/>
            <w:vAlign w:val="center"/>
          </w:tcPr>
          <w:p w14:paraId="0C98F333"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7</w:t>
            </w:r>
          </w:p>
        </w:tc>
        <w:tc>
          <w:tcPr>
            <w:tcW w:w="4304" w:type="dxa"/>
          </w:tcPr>
          <w:p w14:paraId="62B69496"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河南烟草投资管理有限公司</w:t>
            </w:r>
          </w:p>
        </w:tc>
        <w:tc>
          <w:tcPr>
            <w:tcW w:w="2166" w:type="dxa"/>
          </w:tcPr>
          <w:p w14:paraId="116F2D04"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7,107,541.90</w:t>
            </w:r>
          </w:p>
        </w:tc>
        <w:tc>
          <w:tcPr>
            <w:tcW w:w="1834" w:type="dxa"/>
          </w:tcPr>
          <w:p w14:paraId="711EA2DB"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813,555</w:t>
            </w:r>
          </w:p>
        </w:tc>
      </w:tr>
      <w:tr w:rsidR="00DE1B44" w14:paraId="4B96AD86" w14:textId="77777777">
        <w:trPr>
          <w:trHeight w:val="397"/>
          <w:jc w:val="center"/>
        </w:trPr>
        <w:tc>
          <w:tcPr>
            <w:tcW w:w="712" w:type="dxa"/>
            <w:vAlign w:val="center"/>
          </w:tcPr>
          <w:p w14:paraId="10B0954D"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8</w:t>
            </w:r>
          </w:p>
        </w:tc>
        <w:tc>
          <w:tcPr>
            <w:tcW w:w="4304" w:type="dxa"/>
          </w:tcPr>
          <w:p w14:paraId="615C70CE"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清远市</w:t>
            </w:r>
            <w:proofErr w:type="gramStart"/>
            <w:r>
              <w:rPr>
                <w:rFonts w:ascii="Times New Roman" w:hAnsi="Times New Roman" w:hint="eastAsia"/>
                <w:color w:val="000000"/>
                <w:sz w:val="21"/>
              </w:rPr>
              <w:t>融达城建</w:t>
            </w:r>
            <w:proofErr w:type="gramEnd"/>
            <w:r>
              <w:rPr>
                <w:rFonts w:ascii="Times New Roman" w:hAnsi="Times New Roman" w:hint="eastAsia"/>
                <w:color w:val="000000"/>
                <w:sz w:val="21"/>
              </w:rPr>
              <w:t>投资有限公司</w:t>
            </w:r>
          </w:p>
        </w:tc>
        <w:tc>
          <w:tcPr>
            <w:tcW w:w="2166" w:type="dxa"/>
          </w:tcPr>
          <w:p w14:paraId="326073C4"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5,007,687.01</w:t>
            </w:r>
          </w:p>
        </w:tc>
        <w:tc>
          <w:tcPr>
            <w:tcW w:w="1834" w:type="dxa"/>
          </w:tcPr>
          <w:p w14:paraId="3945F361"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573,198</w:t>
            </w:r>
          </w:p>
        </w:tc>
      </w:tr>
      <w:tr w:rsidR="00DE1B44" w14:paraId="1AFC891C" w14:textId="77777777">
        <w:trPr>
          <w:trHeight w:val="397"/>
          <w:jc w:val="center"/>
        </w:trPr>
        <w:tc>
          <w:tcPr>
            <w:tcW w:w="712" w:type="dxa"/>
            <w:vAlign w:val="center"/>
          </w:tcPr>
          <w:p w14:paraId="6E8BCCFC"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9</w:t>
            </w:r>
          </w:p>
        </w:tc>
        <w:tc>
          <w:tcPr>
            <w:tcW w:w="4304" w:type="dxa"/>
          </w:tcPr>
          <w:p w14:paraId="0443E18D"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北京城市亮点电气工程有限公司</w:t>
            </w:r>
          </w:p>
        </w:tc>
        <w:tc>
          <w:tcPr>
            <w:tcW w:w="2166" w:type="dxa"/>
          </w:tcPr>
          <w:p w14:paraId="3B309765"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4,999,998.98</w:t>
            </w:r>
          </w:p>
        </w:tc>
        <w:tc>
          <w:tcPr>
            <w:tcW w:w="1834" w:type="dxa"/>
          </w:tcPr>
          <w:p w14:paraId="522CC7DF"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572,318</w:t>
            </w:r>
          </w:p>
        </w:tc>
      </w:tr>
      <w:tr w:rsidR="00DE1B44" w14:paraId="7F09B43E" w14:textId="77777777">
        <w:trPr>
          <w:trHeight w:val="397"/>
          <w:jc w:val="center"/>
        </w:trPr>
        <w:tc>
          <w:tcPr>
            <w:tcW w:w="712" w:type="dxa"/>
            <w:vAlign w:val="center"/>
          </w:tcPr>
          <w:p w14:paraId="6524BB81"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10</w:t>
            </w:r>
          </w:p>
        </w:tc>
        <w:tc>
          <w:tcPr>
            <w:tcW w:w="4304" w:type="dxa"/>
          </w:tcPr>
          <w:p w14:paraId="4D3A36E1"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东莞市贵宇贸易有限公司</w:t>
            </w:r>
          </w:p>
        </w:tc>
        <w:tc>
          <w:tcPr>
            <w:tcW w:w="2166" w:type="dxa"/>
          </w:tcPr>
          <w:p w14:paraId="4D58289C"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2,999,992.40</w:t>
            </w:r>
          </w:p>
        </w:tc>
        <w:tc>
          <w:tcPr>
            <w:tcW w:w="1834" w:type="dxa"/>
          </w:tcPr>
          <w:p w14:paraId="4A1ABE77"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343,390</w:t>
            </w:r>
          </w:p>
        </w:tc>
      </w:tr>
      <w:tr w:rsidR="00DE1B44" w14:paraId="257AFEA5" w14:textId="77777777">
        <w:trPr>
          <w:trHeight w:val="397"/>
          <w:jc w:val="center"/>
        </w:trPr>
        <w:tc>
          <w:tcPr>
            <w:tcW w:w="712" w:type="dxa"/>
            <w:vAlign w:val="center"/>
          </w:tcPr>
          <w:p w14:paraId="3254A6A2"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11</w:t>
            </w:r>
          </w:p>
        </w:tc>
        <w:tc>
          <w:tcPr>
            <w:tcW w:w="4304" w:type="dxa"/>
          </w:tcPr>
          <w:p w14:paraId="74897548"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玉溪市</w:t>
            </w:r>
            <w:proofErr w:type="gramStart"/>
            <w:r>
              <w:rPr>
                <w:rFonts w:ascii="Times New Roman" w:hAnsi="Times New Roman" w:hint="eastAsia"/>
                <w:color w:val="000000"/>
                <w:sz w:val="21"/>
              </w:rPr>
              <w:t>红塔区国有</w:t>
            </w:r>
            <w:proofErr w:type="gramEnd"/>
            <w:r>
              <w:rPr>
                <w:rFonts w:ascii="Times New Roman" w:hAnsi="Times New Roman" w:hint="eastAsia"/>
                <w:color w:val="000000"/>
                <w:sz w:val="21"/>
              </w:rPr>
              <w:t>资产经营有限责任公司</w:t>
            </w:r>
          </w:p>
        </w:tc>
        <w:tc>
          <w:tcPr>
            <w:tcW w:w="2166" w:type="dxa"/>
          </w:tcPr>
          <w:p w14:paraId="58654297"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2,365,310.41</w:t>
            </w:r>
          </w:p>
        </w:tc>
        <w:tc>
          <w:tcPr>
            <w:tcW w:w="1834" w:type="dxa"/>
          </w:tcPr>
          <w:p w14:paraId="3FB88960"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270,742</w:t>
            </w:r>
          </w:p>
        </w:tc>
      </w:tr>
      <w:tr w:rsidR="00DE1B44" w14:paraId="6E803842" w14:textId="77777777">
        <w:trPr>
          <w:trHeight w:val="397"/>
          <w:jc w:val="center"/>
        </w:trPr>
        <w:tc>
          <w:tcPr>
            <w:tcW w:w="712" w:type="dxa"/>
            <w:vAlign w:val="center"/>
          </w:tcPr>
          <w:p w14:paraId="7A87C074"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12</w:t>
            </w:r>
          </w:p>
        </w:tc>
        <w:tc>
          <w:tcPr>
            <w:tcW w:w="4304" w:type="dxa"/>
          </w:tcPr>
          <w:p w14:paraId="44EF0B0A"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韶关市金叶发展有限公司</w:t>
            </w:r>
          </w:p>
        </w:tc>
        <w:tc>
          <w:tcPr>
            <w:tcW w:w="2166" w:type="dxa"/>
          </w:tcPr>
          <w:p w14:paraId="218763DD"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1,650,070.08</w:t>
            </w:r>
          </w:p>
        </w:tc>
        <w:tc>
          <w:tcPr>
            <w:tcW w:w="1834" w:type="dxa"/>
          </w:tcPr>
          <w:p w14:paraId="620ED7F8"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188,873</w:t>
            </w:r>
          </w:p>
        </w:tc>
      </w:tr>
      <w:tr w:rsidR="00DE1B44" w14:paraId="0D2672A6" w14:textId="77777777">
        <w:trPr>
          <w:trHeight w:val="397"/>
          <w:jc w:val="center"/>
        </w:trPr>
        <w:tc>
          <w:tcPr>
            <w:tcW w:w="712" w:type="dxa"/>
            <w:vAlign w:val="center"/>
          </w:tcPr>
          <w:p w14:paraId="47FB1CC9"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13</w:t>
            </w:r>
          </w:p>
        </w:tc>
        <w:tc>
          <w:tcPr>
            <w:tcW w:w="4304" w:type="dxa"/>
          </w:tcPr>
          <w:p w14:paraId="078C1893"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汕头市恒</w:t>
            </w:r>
            <w:proofErr w:type="gramStart"/>
            <w:r>
              <w:rPr>
                <w:rFonts w:ascii="Times New Roman" w:hAnsi="Times New Roman" w:hint="eastAsia"/>
                <w:color w:val="000000"/>
                <w:sz w:val="21"/>
              </w:rPr>
              <w:t>益顺资产</w:t>
            </w:r>
            <w:proofErr w:type="gramEnd"/>
            <w:r>
              <w:rPr>
                <w:rFonts w:ascii="Times New Roman" w:hAnsi="Times New Roman" w:hint="eastAsia"/>
                <w:color w:val="000000"/>
                <w:sz w:val="21"/>
              </w:rPr>
              <w:t>托管中心</w:t>
            </w:r>
          </w:p>
        </w:tc>
        <w:tc>
          <w:tcPr>
            <w:tcW w:w="2166" w:type="dxa"/>
          </w:tcPr>
          <w:p w14:paraId="249772CE"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1,474,049.09</w:t>
            </w:r>
          </w:p>
        </w:tc>
        <w:tc>
          <w:tcPr>
            <w:tcW w:w="1834" w:type="dxa"/>
          </w:tcPr>
          <w:p w14:paraId="611C138A"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168,725</w:t>
            </w:r>
          </w:p>
        </w:tc>
      </w:tr>
      <w:tr w:rsidR="00DE1B44" w14:paraId="45405BF1" w14:textId="77777777">
        <w:trPr>
          <w:trHeight w:val="397"/>
          <w:jc w:val="center"/>
        </w:trPr>
        <w:tc>
          <w:tcPr>
            <w:tcW w:w="712" w:type="dxa"/>
            <w:vAlign w:val="center"/>
          </w:tcPr>
          <w:p w14:paraId="1708F1CB"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14</w:t>
            </w:r>
          </w:p>
        </w:tc>
        <w:tc>
          <w:tcPr>
            <w:tcW w:w="4304" w:type="dxa"/>
          </w:tcPr>
          <w:p w14:paraId="4D30C805"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台山市长江食品有限公司</w:t>
            </w:r>
          </w:p>
        </w:tc>
        <w:tc>
          <w:tcPr>
            <w:tcW w:w="2166" w:type="dxa"/>
          </w:tcPr>
          <w:p w14:paraId="63764866"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999,994.55</w:t>
            </w:r>
          </w:p>
        </w:tc>
        <w:tc>
          <w:tcPr>
            <w:tcW w:w="1834" w:type="dxa"/>
          </w:tcPr>
          <w:p w14:paraId="4BC45010"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114,463</w:t>
            </w:r>
          </w:p>
        </w:tc>
      </w:tr>
      <w:tr w:rsidR="00DE1B44" w14:paraId="20693345" w14:textId="77777777">
        <w:trPr>
          <w:trHeight w:val="397"/>
          <w:jc w:val="center"/>
        </w:trPr>
        <w:tc>
          <w:tcPr>
            <w:tcW w:w="712" w:type="dxa"/>
            <w:vAlign w:val="center"/>
          </w:tcPr>
          <w:p w14:paraId="5113F621"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15</w:t>
            </w:r>
          </w:p>
        </w:tc>
        <w:tc>
          <w:tcPr>
            <w:tcW w:w="4304" w:type="dxa"/>
          </w:tcPr>
          <w:p w14:paraId="05D63811"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韶关市工贸发展集团有限公司</w:t>
            </w:r>
          </w:p>
        </w:tc>
        <w:tc>
          <w:tcPr>
            <w:tcW w:w="2166" w:type="dxa"/>
          </w:tcPr>
          <w:p w14:paraId="0631A31F"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841,061.96</w:t>
            </w:r>
          </w:p>
        </w:tc>
        <w:tc>
          <w:tcPr>
            <w:tcW w:w="1834" w:type="dxa"/>
          </w:tcPr>
          <w:p w14:paraId="394B7F8E"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96,271</w:t>
            </w:r>
          </w:p>
        </w:tc>
      </w:tr>
      <w:tr w:rsidR="00DE1B44" w14:paraId="18AC8058" w14:textId="77777777">
        <w:trPr>
          <w:trHeight w:val="397"/>
          <w:jc w:val="center"/>
        </w:trPr>
        <w:tc>
          <w:tcPr>
            <w:tcW w:w="712" w:type="dxa"/>
            <w:vAlign w:val="center"/>
          </w:tcPr>
          <w:p w14:paraId="7EE098E2"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16</w:t>
            </w:r>
          </w:p>
        </w:tc>
        <w:tc>
          <w:tcPr>
            <w:tcW w:w="4304" w:type="dxa"/>
          </w:tcPr>
          <w:p w14:paraId="0956067F"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广东省第五建筑工程有限公司</w:t>
            </w:r>
          </w:p>
        </w:tc>
        <w:tc>
          <w:tcPr>
            <w:tcW w:w="2166" w:type="dxa"/>
          </w:tcPr>
          <w:p w14:paraId="4443FB4C"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741,825.20</w:t>
            </w:r>
          </w:p>
        </w:tc>
        <w:tc>
          <w:tcPr>
            <w:tcW w:w="1834" w:type="dxa"/>
          </w:tcPr>
          <w:p w14:paraId="7F0C5F2F"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84,912</w:t>
            </w:r>
          </w:p>
        </w:tc>
      </w:tr>
      <w:tr w:rsidR="00DE1B44" w14:paraId="152E0B82" w14:textId="77777777">
        <w:trPr>
          <w:trHeight w:val="397"/>
          <w:jc w:val="center"/>
        </w:trPr>
        <w:tc>
          <w:tcPr>
            <w:tcW w:w="712" w:type="dxa"/>
            <w:vAlign w:val="center"/>
          </w:tcPr>
          <w:p w14:paraId="2CC46399"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17</w:t>
            </w:r>
          </w:p>
        </w:tc>
        <w:tc>
          <w:tcPr>
            <w:tcW w:w="4304" w:type="dxa"/>
          </w:tcPr>
          <w:p w14:paraId="052D9DD5"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佛山市顺德区香江精细化工实业有限公司</w:t>
            </w:r>
          </w:p>
        </w:tc>
        <w:tc>
          <w:tcPr>
            <w:tcW w:w="2166" w:type="dxa"/>
          </w:tcPr>
          <w:p w14:paraId="420C9F2A"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490,225.61</w:t>
            </w:r>
          </w:p>
        </w:tc>
        <w:tc>
          <w:tcPr>
            <w:tcW w:w="1834" w:type="dxa"/>
          </w:tcPr>
          <w:p w14:paraId="7942DD3B"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56,113</w:t>
            </w:r>
          </w:p>
        </w:tc>
      </w:tr>
      <w:tr w:rsidR="00DE1B44" w14:paraId="30CD03A9" w14:textId="77777777">
        <w:trPr>
          <w:trHeight w:val="397"/>
          <w:jc w:val="center"/>
        </w:trPr>
        <w:tc>
          <w:tcPr>
            <w:tcW w:w="712" w:type="dxa"/>
            <w:vAlign w:val="center"/>
          </w:tcPr>
          <w:p w14:paraId="227C436F"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18</w:t>
            </w:r>
          </w:p>
        </w:tc>
        <w:tc>
          <w:tcPr>
            <w:tcW w:w="4304" w:type="dxa"/>
          </w:tcPr>
          <w:p w14:paraId="1433BE90"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茂名市金叶发展有限公司</w:t>
            </w:r>
          </w:p>
        </w:tc>
        <w:tc>
          <w:tcPr>
            <w:tcW w:w="2166" w:type="dxa"/>
          </w:tcPr>
          <w:p w14:paraId="2022477F"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399,996.07</w:t>
            </w:r>
          </w:p>
        </w:tc>
        <w:tc>
          <w:tcPr>
            <w:tcW w:w="1834" w:type="dxa"/>
          </w:tcPr>
          <w:p w14:paraId="5E1D9AEB"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45,785</w:t>
            </w:r>
          </w:p>
        </w:tc>
      </w:tr>
      <w:tr w:rsidR="00DE1B44" w14:paraId="309D2770" w14:textId="77777777">
        <w:trPr>
          <w:trHeight w:val="397"/>
          <w:jc w:val="center"/>
        </w:trPr>
        <w:tc>
          <w:tcPr>
            <w:tcW w:w="712" w:type="dxa"/>
            <w:vAlign w:val="center"/>
          </w:tcPr>
          <w:p w14:paraId="44123F83"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19</w:t>
            </w:r>
          </w:p>
        </w:tc>
        <w:tc>
          <w:tcPr>
            <w:tcW w:w="4304" w:type="dxa"/>
          </w:tcPr>
          <w:p w14:paraId="0B1B6B9F"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广东省林产工业有限公司</w:t>
            </w:r>
          </w:p>
        </w:tc>
        <w:tc>
          <w:tcPr>
            <w:tcW w:w="2166" w:type="dxa"/>
          </w:tcPr>
          <w:p w14:paraId="35FC5CDF"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351,683.78</w:t>
            </w:r>
          </w:p>
        </w:tc>
        <w:tc>
          <w:tcPr>
            <w:tcW w:w="1834" w:type="dxa"/>
          </w:tcPr>
          <w:p w14:paraId="2D83B400"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40,255</w:t>
            </w:r>
          </w:p>
        </w:tc>
      </w:tr>
      <w:tr w:rsidR="00DE1B44" w14:paraId="6809F405" w14:textId="77777777">
        <w:trPr>
          <w:trHeight w:val="397"/>
          <w:jc w:val="center"/>
        </w:trPr>
        <w:tc>
          <w:tcPr>
            <w:tcW w:w="712" w:type="dxa"/>
            <w:vAlign w:val="center"/>
          </w:tcPr>
          <w:p w14:paraId="17FEB973"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20</w:t>
            </w:r>
          </w:p>
        </w:tc>
        <w:tc>
          <w:tcPr>
            <w:tcW w:w="4304" w:type="dxa"/>
          </w:tcPr>
          <w:p w14:paraId="221D2860"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广东广晟有色金属集团有限公司</w:t>
            </w:r>
          </w:p>
        </w:tc>
        <w:tc>
          <w:tcPr>
            <w:tcW w:w="2166" w:type="dxa"/>
          </w:tcPr>
          <w:p w14:paraId="53A2BC2C"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311,566.23</w:t>
            </w:r>
          </w:p>
        </w:tc>
        <w:tc>
          <w:tcPr>
            <w:tcW w:w="1834" w:type="dxa"/>
          </w:tcPr>
          <w:p w14:paraId="2519C0E6"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35,663</w:t>
            </w:r>
          </w:p>
        </w:tc>
      </w:tr>
      <w:tr w:rsidR="00DE1B44" w14:paraId="2E83C82F" w14:textId="77777777">
        <w:trPr>
          <w:trHeight w:val="397"/>
          <w:jc w:val="center"/>
        </w:trPr>
        <w:tc>
          <w:tcPr>
            <w:tcW w:w="712" w:type="dxa"/>
            <w:vAlign w:val="center"/>
          </w:tcPr>
          <w:p w14:paraId="60E3540F"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21</w:t>
            </w:r>
          </w:p>
        </w:tc>
        <w:tc>
          <w:tcPr>
            <w:tcW w:w="4304" w:type="dxa"/>
          </w:tcPr>
          <w:p w14:paraId="0C1CA10A"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惠州市航运有限公司</w:t>
            </w:r>
          </w:p>
        </w:tc>
        <w:tc>
          <w:tcPr>
            <w:tcW w:w="2166" w:type="dxa"/>
          </w:tcPr>
          <w:p w14:paraId="415AAB17"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244,164.91</w:t>
            </w:r>
          </w:p>
        </w:tc>
        <w:tc>
          <w:tcPr>
            <w:tcW w:w="1834" w:type="dxa"/>
          </w:tcPr>
          <w:p w14:paraId="4E625C82"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27,948</w:t>
            </w:r>
          </w:p>
        </w:tc>
      </w:tr>
      <w:tr w:rsidR="00DE1B44" w14:paraId="17A1E1BA" w14:textId="77777777">
        <w:trPr>
          <w:trHeight w:val="397"/>
          <w:jc w:val="center"/>
        </w:trPr>
        <w:tc>
          <w:tcPr>
            <w:tcW w:w="712" w:type="dxa"/>
            <w:vAlign w:val="center"/>
          </w:tcPr>
          <w:p w14:paraId="10A38E91"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22</w:t>
            </w:r>
          </w:p>
        </w:tc>
        <w:tc>
          <w:tcPr>
            <w:tcW w:w="4304" w:type="dxa"/>
          </w:tcPr>
          <w:p w14:paraId="6DA0FBD5"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中</w:t>
            </w:r>
            <w:proofErr w:type="gramStart"/>
            <w:r>
              <w:rPr>
                <w:rFonts w:ascii="Times New Roman" w:hAnsi="Times New Roman" w:hint="eastAsia"/>
                <w:color w:val="000000"/>
                <w:sz w:val="21"/>
              </w:rPr>
              <w:t>鉴认证</w:t>
            </w:r>
            <w:proofErr w:type="gramEnd"/>
            <w:r>
              <w:rPr>
                <w:rFonts w:ascii="Times New Roman" w:hAnsi="Times New Roman" w:hint="eastAsia"/>
                <w:color w:val="000000"/>
                <w:sz w:val="21"/>
              </w:rPr>
              <w:t>有限责任公司</w:t>
            </w:r>
          </w:p>
        </w:tc>
        <w:tc>
          <w:tcPr>
            <w:tcW w:w="2166" w:type="dxa"/>
          </w:tcPr>
          <w:p w14:paraId="53EA0C32"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240,347.10</w:t>
            </w:r>
          </w:p>
        </w:tc>
        <w:tc>
          <w:tcPr>
            <w:tcW w:w="1834" w:type="dxa"/>
          </w:tcPr>
          <w:p w14:paraId="54E2B0B5"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27,511</w:t>
            </w:r>
          </w:p>
        </w:tc>
      </w:tr>
      <w:tr w:rsidR="00DE1B44" w14:paraId="512E456B" w14:textId="77777777">
        <w:trPr>
          <w:trHeight w:val="397"/>
          <w:jc w:val="center"/>
        </w:trPr>
        <w:tc>
          <w:tcPr>
            <w:tcW w:w="712" w:type="dxa"/>
            <w:vAlign w:val="center"/>
          </w:tcPr>
          <w:p w14:paraId="385D6B78"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23</w:t>
            </w:r>
          </w:p>
        </w:tc>
        <w:tc>
          <w:tcPr>
            <w:tcW w:w="4304" w:type="dxa"/>
          </w:tcPr>
          <w:p w14:paraId="72F0BEB2"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南京晓翰科技有限公司</w:t>
            </w:r>
          </w:p>
        </w:tc>
        <w:tc>
          <w:tcPr>
            <w:tcW w:w="2166" w:type="dxa"/>
          </w:tcPr>
          <w:p w14:paraId="18D0A648"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174,728.00</w:t>
            </w:r>
          </w:p>
        </w:tc>
        <w:tc>
          <w:tcPr>
            <w:tcW w:w="1834" w:type="dxa"/>
          </w:tcPr>
          <w:p w14:paraId="1787D620"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20,000</w:t>
            </w:r>
          </w:p>
        </w:tc>
      </w:tr>
      <w:tr w:rsidR="00DE1B44" w14:paraId="000CA0B2" w14:textId="77777777">
        <w:trPr>
          <w:trHeight w:val="397"/>
          <w:jc w:val="center"/>
        </w:trPr>
        <w:tc>
          <w:tcPr>
            <w:tcW w:w="712" w:type="dxa"/>
            <w:vAlign w:val="center"/>
          </w:tcPr>
          <w:p w14:paraId="7729F1C2"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24</w:t>
            </w:r>
          </w:p>
        </w:tc>
        <w:tc>
          <w:tcPr>
            <w:tcW w:w="4304" w:type="dxa"/>
          </w:tcPr>
          <w:p w14:paraId="1F2CA227"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广东中远轻工有限公司</w:t>
            </w:r>
          </w:p>
        </w:tc>
        <w:tc>
          <w:tcPr>
            <w:tcW w:w="2166" w:type="dxa"/>
          </w:tcPr>
          <w:p w14:paraId="0E55839E"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99,996.83</w:t>
            </w:r>
          </w:p>
        </w:tc>
        <w:tc>
          <w:tcPr>
            <w:tcW w:w="1834" w:type="dxa"/>
          </w:tcPr>
          <w:p w14:paraId="01A708E3"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11,446</w:t>
            </w:r>
          </w:p>
        </w:tc>
      </w:tr>
      <w:tr w:rsidR="00DE1B44" w14:paraId="0882588B" w14:textId="77777777">
        <w:trPr>
          <w:trHeight w:val="397"/>
          <w:jc w:val="center"/>
        </w:trPr>
        <w:tc>
          <w:tcPr>
            <w:tcW w:w="712" w:type="dxa"/>
            <w:vAlign w:val="center"/>
          </w:tcPr>
          <w:p w14:paraId="7F7D70ED"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25</w:t>
            </w:r>
          </w:p>
        </w:tc>
        <w:tc>
          <w:tcPr>
            <w:tcW w:w="4304" w:type="dxa"/>
          </w:tcPr>
          <w:p w14:paraId="0A623C82"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湛江市嘉豪汽车运输有限公司</w:t>
            </w:r>
          </w:p>
        </w:tc>
        <w:tc>
          <w:tcPr>
            <w:tcW w:w="2166" w:type="dxa"/>
          </w:tcPr>
          <w:p w14:paraId="75B7ECC3"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96,397.44</w:t>
            </w:r>
          </w:p>
        </w:tc>
        <w:tc>
          <w:tcPr>
            <w:tcW w:w="1834" w:type="dxa"/>
          </w:tcPr>
          <w:p w14:paraId="2C02F51E"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11,034</w:t>
            </w:r>
          </w:p>
        </w:tc>
      </w:tr>
      <w:tr w:rsidR="00DE1B44" w14:paraId="6D01B216" w14:textId="77777777">
        <w:trPr>
          <w:trHeight w:val="397"/>
          <w:jc w:val="center"/>
        </w:trPr>
        <w:tc>
          <w:tcPr>
            <w:tcW w:w="712" w:type="dxa"/>
            <w:vAlign w:val="center"/>
          </w:tcPr>
          <w:p w14:paraId="0B8B7B68"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26</w:t>
            </w:r>
          </w:p>
        </w:tc>
        <w:tc>
          <w:tcPr>
            <w:tcW w:w="4304" w:type="dxa"/>
          </w:tcPr>
          <w:p w14:paraId="0109ED06"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东莞市协同企业服务有限公司</w:t>
            </w:r>
          </w:p>
        </w:tc>
        <w:tc>
          <w:tcPr>
            <w:tcW w:w="2166" w:type="dxa"/>
          </w:tcPr>
          <w:p w14:paraId="74D6A10B"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95,593.69</w:t>
            </w:r>
          </w:p>
        </w:tc>
        <w:tc>
          <w:tcPr>
            <w:tcW w:w="1834" w:type="dxa"/>
          </w:tcPr>
          <w:p w14:paraId="68ED2718"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10,942</w:t>
            </w:r>
          </w:p>
        </w:tc>
      </w:tr>
      <w:tr w:rsidR="00DE1B44" w14:paraId="497EBC84" w14:textId="77777777">
        <w:trPr>
          <w:trHeight w:val="397"/>
          <w:jc w:val="center"/>
        </w:trPr>
        <w:tc>
          <w:tcPr>
            <w:tcW w:w="712" w:type="dxa"/>
            <w:vAlign w:val="center"/>
          </w:tcPr>
          <w:p w14:paraId="7519E52F"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27</w:t>
            </w:r>
          </w:p>
        </w:tc>
        <w:tc>
          <w:tcPr>
            <w:tcW w:w="4304" w:type="dxa"/>
          </w:tcPr>
          <w:p w14:paraId="7D7A2B31"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肇庆市水</w:t>
            </w:r>
            <w:proofErr w:type="gramStart"/>
            <w:r>
              <w:rPr>
                <w:rFonts w:ascii="Times New Roman" w:hAnsi="Times New Roman" w:hint="eastAsia"/>
                <w:color w:val="000000"/>
                <w:sz w:val="21"/>
              </w:rPr>
              <w:t>务</w:t>
            </w:r>
            <w:proofErr w:type="gramEnd"/>
            <w:r>
              <w:rPr>
                <w:rFonts w:ascii="Times New Roman" w:hAnsi="Times New Roman" w:hint="eastAsia"/>
                <w:color w:val="000000"/>
                <w:sz w:val="21"/>
              </w:rPr>
              <w:t>集团有限公司</w:t>
            </w:r>
          </w:p>
        </w:tc>
        <w:tc>
          <w:tcPr>
            <w:tcW w:w="2166" w:type="dxa"/>
          </w:tcPr>
          <w:p w14:paraId="52D7DF06"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86,263.21</w:t>
            </w:r>
          </w:p>
        </w:tc>
        <w:tc>
          <w:tcPr>
            <w:tcW w:w="1834" w:type="dxa"/>
          </w:tcPr>
          <w:p w14:paraId="3E93DC7F"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9,874</w:t>
            </w:r>
          </w:p>
        </w:tc>
      </w:tr>
      <w:tr w:rsidR="00DE1B44" w14:paraId="1BDD5840" w14:textId="77777777">
        <w:trPr>
          <w:trHeight w:val="397"/>
          <w:jc w:val="center"/>
        </w:trPr>
        <w:tc>
          <w:tcPr>
            <w:tcW w:w="712" w:type="dxa"/>
            <w:vAlign w:val="center"/>
          </w:tcPr>
          <w:p w14:paraId="1E12FFA1"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28</w:t>
            </w:r>
          </w:p>
        </w:tc>
        <w:tc>
          <w:tcPr>
            <w:tcW w:w="4304" w:type="dxa"/>
          </w:tcPr>
          <w:p w14:paraId="59E577A3"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韶关市东南工贸有限公司</w:t>
            </w:r>
          </w:p>
        </w:tc>
        <w:tc>
          <w:tcPr>
            <w:tcW w:w="2166" w:type="dxa"/>
          </w:tcPr>
          <w:p w14:paraId="532B923D"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46,067.04</w:t>
            </w:r>
          </w:p>
        </w:tc>
        <w:tc>
          <w:tcPr>
            <w:tcW w:w="1834" w:type="dxa"/>
          </w:tcPr>
          <w:p w14:paraId="499608D3"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5,273</w:t>
            </w:r>
          </w:p>
        </w:tc>
      </w:tr>
      <w:tr w:rsidR="00DE1B44" w14:paraId="33DE11F2" w14:textId="77777777">
        <w:trPr>
          <w:trHeight w:val="397"/>
          <w:jc w:val="center"/>
        </w:trPr>
        <w:tc>
          <w:tcPr>
            <w:tcW w:w="712" w:type="dxa"/>
            <w:vAlign w:val="center"/>
          </w:tcPr>
          <w:p w14:paraId="158F61AD"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29</w:t>
            </w:r>
          </w:p>
        </w:tc>
        <w:tc>
          <w:tcPr>
            <w:tcW w:w="4304" w:type="dxa"/>
          </w:tcPr>
          <w:p w14:paraId="38A2D5D5"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广东本草药业集团有限公司</w:t>
            </w:r>
          </w:p>
        </w:tc>
        <w:tc>
          <w:tcPr>
            <w:tcW w:w="2166" w:type="dxa"/>
          </w:tcPr>
          <w:p w14:paraId="59F217C1"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37,243.27</w:t>
            </w:r>
          </w:p>
        </w:tc>
        <w:tc>
          <w:tcPr>
            <w:tcW w:w="1834" w:type="dxa"/>
          </w:tcPr>
          <w:p w14:paraId="37863CFA"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4,263</w:t>
            </w:r>
          </w:p>
        </w:tc>
      </w:tr>
      <w:tr w:rsidR="00DE1B44" w14:paraId="71C739D7" w14:textId="77777777">
        <w:trPr>
          <w:trHeight w:val="397"/>
          <w:jc w:val="center"/>
        </w:trPr>
        <w:tc>
          <w:tcPr>
            <w:tcW w:w="712" w:type="dxa"/>
            <w:vAlign w:val="center"/>
          </w:tcPr>
          <w:p w14:paraId="6963438F"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30</w:t>
            </w:r>
          </w:p>
        </w:tc>
        <w:tc>
          <w:tcPr>
            <w:tcW w:w="4304" w:type="dxa"/>
          </w:tcPr>
          <w:p w14:paraId="2023AC34"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广东省医药进出口有限公司</w:t>
            </w:r>
          </w:p>
        </w:tc>
        <w:tc>
          <w:tcPr>
            <w:tcW w:w="2166" w:type="dxa"/>
          </w:tcPr>
          <w:p w14:paraId="139205E9"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22,749.59</w:t>
            </w:r>
          </w:p>
        </w:tc>
        <w:tc>
          <w:tcPr>
            <w:tcW w:w="1834" w:type="dxa"/>
          </w:tcPr>
          <w:p w14:paraId="63F965E7"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2,604</w:t>
            </w:r>
          </w:p>
        </w:tc>
      </w:tr>
      <w:tr w:rsidR="00DE1B44" w14:paraId="6FA5D7F9" w14:textId="77777777">
        <w:trPr>
          <w:trHeight w:val="397"/>
          <w:jc w:val="center"/>
        </w:trPr>
        <w:tc>
          <w:tcPr>
            <w:tcW w:w="712" w:type="dxa"/>
            <w:vAlign w:val="center"/>
          </w:tcPr>
          <w:p w14:paraId="0302CEAB" w14:textId="77777777" w:rsidR="00DE1B44" w:rsidRDefault="00D40582">
            <w:pPr>
              <w:pStyle w:val="af6"/>
              <w:spacing w:beforeLines="0" w:before="0" w:after="0" w:line="240" w:lineRule="auto"/>
              <w:ind w:firstLineChars="0" w:firstLine="0"/>
              <w:jc w:val="center"/>
              <w:rPr>
                <w:rFonts w:ascii="Times New Roman" w:hAnsi="Times New Roman"/>
                <w:sz w:val="21"/>
              </w:rPr>
            </w:pPr>
            <w:r>
              <w:rPr>
                <w:rFonts w:ascii="Times New Roman" w:hAnsi="Times New Roman"/>
                <w:sz w:val="21"/>
              </w:rPr>
              <w:t>31</w:t>
            </w:r>
          </w:p>
        </w:tc>
        <w:tc>
          <w:tcPr>
            <w:tcW w:w="4304" w:type="dxa"/>
          </w:tcPr>
          <w:p w14:paraId="1DBF166B"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广东省制药工业有限公司</w:t>
            </w:r>
          </w:p>
        </w:tc>
        <w:tc>
          <w:tcPr>
            <w:tcW w:w="2166" w:type="dxa"/>
          </w:tcPr>
          <w:p w14:paraId="46CBC55D"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17,691.21</w:t>
            </w:r>
          </w:p>
        </w:tc>
        <w:tc>
          <w:tcPr>
            <w:tcW w:w="1834" w:type="dxa"/>
          </w:tcPr>
          <w:p w14:paraId="125F5E00"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2,025</w:t>
            </w:r>
          </w:p>
        </w:tc>
      </w:tr>
      <w:tr w:rsidR="00DE1B44" w14:paraId="3576F1DA" w14:textId="77777777">
        <w:trPr>
          <w:trHeight w:val="397"/>
          <w:jc w:val="center"/>
        </w:trPr>
        <w:tc>
          <w:tcPr>
            <w:tcW w:w="5016" w:type="dxa"/>
            <w:gridSpan w:val="2"/>
            <w:vAlign w:val="center"/>
          </w:tcPr>
          <w:p w14:paraId="485B7194" w14:textId="77777777" w:rsidR="00DE1B44" w:rsidRDefault="00D40582">
            <w:pPr>
              <w:pStyle w:val="af6"/>
              <w:spacing w:beforeLines="0" w:before="0" w:after="0" w:line="240" w:lineRule="auto"/>
              <w:ind w:firstLineChars="0" w:firstLine="0"/>
              <w:jc w:val="center"/>
              <w:rPr>
                <w:rFonts w:ascii="Times New Roman" w:hAnsi="Times New Roman"/>
                <w:b/>
                <w:bCs/>
                <w:color w:val="000000"/>
                <w:sz w:val="21"/>
              </w:rPr>
            </w:pPr>
            <w:r>
              <w:rPr>
                <w:rFonts w:ascii="Times New Roman" w:hAnsi="Times New Roman" w:hint="eastAsia"/>
                <w:b/>
                <w:bCs/>
                <w:color w:val="000000"/>
                <w:sz w:val="21"/>
              </w:rPr>
              <w:t>小</w:t>
            </w:r>
            <w:r>
              <w:rPr>
                <w:rFonts w:ascii="Times New Roman" w:hAnsi="Times New Roman"/>
                <w:b/>
                <w:bCs/>
                <w:color w:val="000000"/>
                <w:sz w:val="21"/>
              </w:rPr>
              <w:t>计</w:t>
            </w:r>
          </w:p>
        </w:tc>
        <w:tc>
          <w:tcPr>
            <w:tcW w:w="2166" w:type="dxa"/>
            <w:vAlign w:val="center"/>
          </w:tcPr>
          <w:p w14:paraId="772119FF" w14:textId="77777777" w:rsidR="00DE1B44" w:rsidRDefault="00D40582">
            <w:pPr>
              <w:pStyle w:val="af6"/>
              <w:spacing w:beforeLines="0" w:before="0" w:after="0" w:line="240" w:lineRule="auto"/>
              <w:ind w:firstLineChars="0" w:firstLine="0"/>
              <w:jc w:val="right"/>
              <w:rPr>
                <w:rFonts w:ascii="Times New Roman" w:hAnsi="Times New Roman"/>
                <w:b/>
                <w:bCs/>
                <w:color w:val="000000"/>
                <w:sz w:val="21"/>
              </w:rPr>
            </w:pPr>
            <w:r>
              <w:rPr>
                <w:rFonts w:ascii="Times New Roman" w:hAnsi="Times New Roman"/>
                <w:b/>
                <w:bCs/>
                <w:color w:val="000000"/>
                <w:sz w:val="21"/>
              </w:rPr>
              <w:t>9,666,068,219.31</w:t>
            </w:r>
          </w:p>
        </w:tc>
        <w:tc>
          <w:tcPr>
            <w:tcW w:w="1834" w:type="dxa"/>
            <w:vAlign w:val="center"/>
          </w:tcPr>
          <w:p w14:paraId="4BEF46AB" w14:textId="77777777" w:rsidR="00DE1B44" w:rsidRDefault="00D40582">
            <w:pPr>
              <w:pStyle w:val="af6"/>
              <w:spacing w:beforeLines="0" w:before="0" w:after="0" w:line="240" w:lineRule="auto"/>
              <w:ind w:firstLineChars="0" w:firstLine="0"/>
              <w:jc w:val="right"/>
              <w:rPr>
                <w:rFonts w:ascii="Times New Roman" w:hAnsi="Times New Roman"/>
                <w:b/>
                <w:bCs/>
                <w:color w:val="000000"/>
                <w:sz w:val="21"/>
              </w:rPr>
            </w:pPr>
            <w:r>
              <w:rPr>
                <w:rFonts w:ascii="Times New Roman" w:hAnsi="Times New Roman"/>
                <w:b/>
                <w:bCs/>
                <w:color w:val="000000"/>
                <w:sz w:val="21"/>
              </w:rPr>
              <w:t>1,106,413,193</w:t>
            </w:r>
          </w:p>
        </w:tc>
      </w:tr>
      <w:tr w:rsidR="00DE1B44" w14:paraId="5449E497" w14:textId="77777777">
        <w:trPr>
          <w:trHeight w:val="397"/>
          <w:jc w:val="center"/>
        </w:trPr>
        <w:tc>
          <w:tcPr>
            <w:tcW w:w="9016" w:type="dxa"/>
            <w:gridSpan w:val="4"/>
            <w:vAlign w:val="center"/>
          </w:tcPr>
          <w:p w14:paraId="2F2908F8"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b/>
                <w:bCs/>
                <w:sz w:val="21"/>
              </w:rPr>
              <w:t>新增投资者认购情况</w:t>
            </w:r>
          </w:p>
        </w:tc>
      </w:tr>
      <w:tr w:rsidR="00DE1B44" w14:paraId="035B4870" w14:textId="77777777">
        <w:trPr>
          <w:trHeight w:val="397"/>
          <w:jc w:val="center"/>
        </w:trPr>
        <w:tc>
          <w:tcPr>
            <w:tcW w:w="712" w:type="dxa"/>
          </w:tcPr>
          <w:p w14:paraId="31D34E2C"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color w:val="000000"/>
                <w:sz w:val="21"/>
              </w:rPr>
              <w:t>1</w:t>
            </w:r>
          </w:p>
        </w:tc>
        <w:tc>
          <w:tcPr>
            <w:tcW w:w="4304" w:type="dxa"/>
          </w:tcPr>
          <w:p w14:paraId="126AB53F"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color w:val="000000"/>
                <w:sz w:val="21"/>
              </w:rPr>
              <w:t>广州市城市建设投资集团有限公司</w:t>
            </w:r>
          </w:p>
        </w:tc>
        <w:tc>
          <w:tcPr>
            <w:tcW w:w="2166" w:type="dxa"/>
          </w:tcPr>
          <w:p w14:paraId="22B7DB66"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6,499,999,995.69</w:t>
            </w:r>
          </w:p>
        </w:tc>
        <w:tc>
          <w:tcPr>
            <w:tcW w:w="1834" w:type="dxa"/>
          </w:tcPr>
          <w:p w14:paraId="0268A3A9"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744,013,552</w:t>
            </w:r>
          </w:p>
        </w:tc>
      </w:tr>
      <w:tr w:rsidR="00DE1B44" w14:paraId="01E916DB" w14:textId="77777777">
        <w:trPr>
          <w:trHeight w:val="397"/>
          <w:jc w:val="center"/>
        </w:trPr>
        <w:tc>
          <w:tcPr>
            <w:tcW w:w="712" w:type="dxa"/>
          </w:tcPr>
          <w:p w14:paraId="5FF6B373"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color w:val="000000"/>
                <w:sz w:val="21"/>
              </w:rPr>
              <w:lastRenderedPageBreak/>
              <w:t>2</w:t>
            </w:r>
          </w:p>
        </w:tc>
        <w:tc>
          <w:tcPr>
            <w:tcW w:w="4304" w:type="dxa"/>
          </w:tcPr>
          <w:p w14:paraId="164F2D8B"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color w:val="000000"/>
                <w:sz w:val="21"/>
              </w:rPr>
              <w:t>湖南湘江新区发展集团有限公司</w:t>
            </w:r>
          </w:p>
        </w:tc>
        <w:tc>
          <w:tcPr>
            <w:tcW w:w="2166" w:type="dxa"/>
          </w:tcPr>
          <w:p w14:paraId="7692F1D4"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1,903,649,390.19</w:t>
            </w:r>
          </w:p>
        </w:tc>
        <w:tc>
          <w:tcPr>
            <w:tcW w:w="1834" w:type="dxa"/>
          </w:tcPr>
          <w:p w14:paraId="7E544507"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217,898,607</w:t>
            </w:r>
          </w:p>
        </w:tc>
      </w:tr>
      <w:tr w:rsidR="00DE1B44" w14:paraId="4B288B3D" w14:textId="77777777">
        <w:trPr>
          <w:trHeight w:val="397"/>
          <w:jc w:val="center"/>
        </w:trPr>
        <w:tc>
          <w:tcPr>
            <w:tcW w:w="712" w:type="dxa"/>
          </w:tcPr>
          <w:p w14:paraId="661E8608"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r>
              <w:rPr>
                <w:rFonts w:ascii="Times New Roman" w:hAnsi="Times New Roman" w:hint="eastAsia"/>
                <w:color w:val="000000"/>
                <w:sz w:val="21"/>
              </w:rPr>
              <w:t>3</w:t>
            </w:r>
          </w:p>
        </w:tc>
        <w:tc>
          <w:tcPr>
            <w:tcW w:w="4304" w:type="dxa"/>
          </w:tcPr>
          <w:p w14:paraId="3C08BCC5" w14:textId="77777777" w:rsidR="00DE1B44" w:rsidRDefault="00D40582">
            <w:pPr>
              <w:pStyle w:val="af6"/>
              <w:spacing w:beforeLines="0" w:before="0" w:after="0" w:line="240" w:lineRule="auto"/>
              <w:ind w:firstLineChars="0" w:firstLine="0"/>
              <w:jc w:val="center"/>
              <w:rPr>
                <w:rFonts w:ascii="Times New Roman" w:hAnsi="Times New Roman"/>
                <w:color w:val="000000"/>
                <w:sz w:val="21"/>
              </w:rPr>
            </w:pPr>
            <w:proofErr w:type="gramStart"/>
            <w:r>
              <w:rPr>
                <w:rFonts w:ascii="Times New Roman" w:hAnsi="Times New Roman"/>
                <w:color w:val="000000"/>
                <w:sz w:val="21"/>
              </w:rPr>
              <w:t>绵阳科</w:t>
            </w:r>
            <w:proofErr w:type="gramEnd"/>
            <w:r>
              <w:rPr>
                <w:rFonts w:ascii="Times New Roman" w:hAnsi="Times New Roman"/>
                <w:color w:val="000000"/>
                <w:sz w:val="21"/>
              </w:rPr>
              <w:t>发长泰实业有限公司</w:t>
            </w:r>
          </w:p>
        </w:tc>
        <w:tc>
          <w:tcPr>
            <w:tcW w:w="2166" w:type="dxa"/>
          </w:tcPr>
          <w:p w14:paraId="363EB692"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299,999,999.67</w:t>
            </w:r>
          </w:p>
        </w:tc>
        <w:tc>
          <w:tcPr>
            <w:tcW w:w="1834" w:type="dxa"/>
          </w:tcPr>
          <w:p w14:paraId="1EEED330" w14:textId="77777777" w:rsidR="00DE1B44" w:rsidRDefault="00D40582">
            <w:pPr>
              <w:pStyle w:val="af6"/>
              <w:spacing w:beforeLines="0" w:before="0" w:after="0" w:line="240" w:lineRule="auto"/>
              <w:ind w:firstLineChars="0" w:firstLine="0"/>
              <w:jc w:val="right"/>
              <w:rPr>
                <w:rFonts w:ascii="Times New Roman" w:hAnsi="Times New Roman"/>
                <w:color w:val="000000"/>
                <w:sz w:val="21"/>
              </w:rPr>
            </w:pPr>
            <w:r>
              <w:rPr>
                <w:rFonts w:ascii="Times New Roman" w:hAnsi="Times New Roman"/>
                <w:color w:val="000000"/>
                <w:sz w:val="21"/>
              </w:rPr>
              <w:t>34,339,087</w:t>
            </w:r>
          </w:p>
        </w:tc>
      </w:tr>
      <w:tr w:rsidR="00DE1B44" w14:paraId="73521C6A" w14:textId="77777777">
        <w:trPr>
          <w:trHeight w:val="397"/>
          <w:jc w:val="center"/>
        </w:trPr>
        <w:tc>
          <w:tcPr>
            <w:tcW w:w="5016" w:type="dxa"/>
            <w:gridSpan w:val="2"/>
            <w:vAlign w:val="center"/>
          </w:tcPr>
          <w:p w14:paraId="6D7282D7" w14:textId="77777777" w:rsidR="00DE1B44" w:rsidRDefault="00D40582">
            <w:pPr>
              <w:pStyle w:val="af6"/>
              <w:spacing w:beforeLines="0" w:before="0" w:after="0" w:line="240" w:lineRule="auto"/>
              <w:ind w:firstLineChars="0" w:firstLine="0"/>
              <w:jc w:val="center"/>
              <w:rPr>
                <w:rFonts w:ascii="Times New Roman" w:hAnsi="Times New Roman"/>
                <w:b/>
                <w:bCs/>
                <w:color w:val="000000"/>
                <w:sz w:val="21"/>
              </w:rPr>
            </w:pPr>
            <w:r>
              <w:rPr>
                <w:rFonts w:ascii="Times New Roman" w:hAnsi="Times New Roman" w:hint="eastAsia"/>
                <w:b/>
                <w:bCs/>
                <w:color w:val="000000"/>
                <w:sz w:val="21"/>
              </w:rPr>
              <w:t>小计</w:t>
            </w:r>
          </w:p>
        </w:tc>
        <w:tc>
          <w:tcPr>
            <w:tcW w:w="2166" w:type="dxa"/>
          </w:tcPr>
          <w:p w14:paraId="5D127095" w14:textId="77777777" w:rsidR="00DE1B44" w:rsidRDefault="00D40582">
            <w:pPr>
              <w:pStyle w:val="af6"/>
              <w:spacing w:beforeLines="0" w:before="0" w:after="0" w:line="240" w:lineRule="auto"/>
              <w:ind w:firstLineChars="0" w:firstLine="0"/>
              <w:jc w:val="right"/>
              <w:rPr>
                <w:rFonts w:ascii="Times New Roman" w:hAnsi="Times New Roman"/>
                <w:b/>
                <w:bCs/>
                <w:color w:val="000000"/>
                <w:sz w:val="21"/>
              </w:rPr>
            </w:pPr>
            <w:r>
              <w:rPr>
                <w:rFonts w:ascii="Times New Roman" w:hAnsi="Times New Roman"/>
                <w:b/>
                <w:bCs/>
                <w:color w:val="000000"/>
                <w:sz w:val="21"/>
              </w:rPr>
              <w:t>8,703,649,385.55</w:t>
            </w:r>
          </w:p>
        </w:tc>
        <w:tc>
          <w:tcPr>
            <w:tcW w:w="1834" w:type="dxa"/>
          </w:tcPr>
          <w:p w14:paraId="2775F559" w14:textId="77777777" w:rsidR="00DE1B44" w:rsidRDefault="00D40582">
            <w:pPr>
              <w:pStyle w:val="af6"/>
              <w:spacing w:beforeLines="0" w:before="0" w:after="0" w:line="240" w:lineRule="auto"/>
              <w:ind w:firstLineChars="0" w:firstLine="0"/>
              <w:jc w:val="right"/>
              <w:rPr>
                <w:rFonts w:ascii="Times New Roman" w:hAnsi="Times New Roman"/>
                <w:b/>
                <w:bCs/>
                <w:color w:val="000000"/>
                <w:sz w:val="21"/>
              </w:rPr>
            </w:pPr>
            <w:r>
              <w:rPr>
                <w:rFonts w:ascii="Times New Roman" w:hAnsi="Times New Roman"/>
                <w:b/>
                <w:bCs/>
                <w:color w:val="000000"/>
                <w:sz w:val="21"/>
              </w:rPr>
              <w:t>996,251,246</w:t>
            </w:r>
          </w:p>
        </w:tc>
      </w:tr>
      <w:tr w:rsidR="00DE1B44" w14:paraId="75F4884C" w14:textId="77777777">
        <w:trPr>
          <w:trHeight w:val="397"/>
          <w:jc w:val="center"/>
        </w:trPr>
        <w:tc>
          <w:tcPr>
            <w:tcW w:w="5016" w:type="dxa"/>
            <w:gridSpan w:val="2"/>
            <w:vAlign w:val="center"/>
          </w:tcPr>
          <w:p w14:paraId="3018FA7B" w14:textId="77777777" w:rsidR="00DE1B44" w:rsidRDefault="00D40582">
            <w:pPr>
              <w:pStyle w:val="af6"/>
              <w:spacing w:beforeLines="0" w:before="0" w:after="0" w:line="240" w:lineRule="auto"/>
              <w:ind w:firstLineChars="0" w:firstLine="0"/>
              <w:jc w:val="center"/>
              <w:rPr>
                <w:rFonts w:ascii="Times New Roman" w:hAnsi="Times New Roman"/>
                <w:b/>
                <w:bCs/>
                <w:color w:val="000000"/>
                <w:sz w:val="21"/>
              </w:rPr>
            </w:pPr>
            <w:r>
              <w:rPr>
                <w:rFonts w:ascii="Times New Roman" w:hAnsi="Times New Roman" w:hint="eastAsia"/>
                <w:b/>
                <w:bCs/>
                <w:color w:val="000000"/>
                <w:sz w:val="21"/>
              </w:rPr>
              <w:t>全部认购合计</w:t>
            </w:r>
          </w:p>
        </w:tc>
        <w:tc>
          <w:tcPr>
            <w:tcW w:w="2166" w:type="dxa"/>
          </w:tcPr>
          <w:p w14:paraId="494E10C8" w14:textId="77777777" w:rsidR="00DE1B44" w:rsidRDefault="00D40582">
            <w:pPr>
              <w:pStyle w:val="af6"/>
              <w:spacing w:beforeLines="0" w:before="0" w:after="0" w:line="240" w:lineRule="auto"/>
              <w:ind w:firstLineChars="0" w:firstLine="0"/>
              <w:jc w:val="right"/>
              <w:rPr>
                <w:rFonts w:ascii="Times New Roman" w:hAnsi="Times New Roman"/>
                <w:b/>
                <w:bCs/>
                <w:color w:val="000000"/>
                <w:sz w:val="21"/>
              </w:rPr>
            </w:pPr>
            <w:r>
              <w:rPr>
                <w:rFonts w:ascii="Times New Roman" w:hAnsi="Times New Roman"/>
                <w:b/>
                <w:bCs/>
                <w:color w:val="000000"/>
                <w:sz w:val="21"/>
              </w:rPr>
              <w:t xml:space="preserve">18,369,717,604.86 </w:t>
            </w:r>
          </w:p>
        </w:tc>
        <w:tc>
          <w:tcPr>
            <w:tcW w:w="1834" w:type="dxa"/>
          </w:tcPr>
          <w:p w14:paraId="52E6A92A" w14:textId="77777777" w:rsidR="00DE1B44" w:rsidRDefault="00D40582">
            <w:pPr>
              <w:pStyle w:val="af6"/>
              <w:spacing w:beforeLines="0" w:before="0" w:after="0" w:line="240" w:lineRule="auto"/>
              <w:ind w:firstLineChars="0" w:firstLine="0"/>
              <w:jc w:val="right"/>
              <w:rPr>
                <w:rFonts w:ascii="Times New Roman" w:hAnsi="Times New Roman"/>
                <w:b/>
                <w:bCs/>
                <w:color w:val="000000"/>
                <w:sz w:val="21"/>
              </w:rPr>
            </w:pPr>
            <w:r>
              <w:rPr>
                <w:rFonts w:ascii="Times New Roman" w:hAnsi="Times New Roman"/>
                <w:b/>
                <w:bCs/>
                <w:color w:val="000000"/>
                <w:sz w:val="21"/>
              </w:rPr>
              <w:t xml:space="preserve">2,102,664,439.00 </w:t>
            </w:r>
          </w:p>
        </w:tc>
      </w:tr>
    </w:tbl>
    <w:p w14:paraId="411DB5DC" w14:textId="77777777" w:rsidR="00DE1B44" w:rsidRDefault="00D40582">
      <w:pPr>
        <w:snapToGrid w:val="0"/>
        <w:spacing w:before="120"/>
        <w:ind w:firstLine="482"/>
        <w:rPr>
          <w:rFonts w:ascii="Times New Roman" w:hAnsi="Times New Roman" w:cs="Times New Roman"/>
          <w:b/>
        </w:rPr>
      </w:pPr>
      <w:r>
        <w:rPr>
          <w:rFonts w:ascii="Times New Roman" w:hAnsi="Times New Roman" w:cs="Times New Roman" w:hint="eastAsia"/>
          <w:b/>
        </w:rPr>
        <w:t>（三）新增投资者介绍</w:t>
      </w:r>
    </w:p>
    <w:p w14:paraId="2BD68247" w14:textId="77777777" w:rsidR="00DE1B44" w:rsidRDefault="00D40582">
      <w:pPr>
        <w:pStyle w:val="58"/>
        <w:spacing w:before="120"/>
        <w:ind w:firstLine="482"/>
        <w:rPr>
          <w:rFonts w:ascii="Times New Roman" w:hAnsi="Times New Roman"/>
        </w:rPr>
      </w:pPr>
      <w:r>
        <w:rPr>
          <w:rFonts w:ascii="Times New Roman" w:hAnsi="Times New Roman" w:hint="eastAsia"/>
        </w:rPr>
        <w:t>1</w:t>
      </w:r>
      <w:r>
        <w:rPr>
          <w:rFonts w:ascii="Times New Roman" w:hAnsi="Times New Roman" w:hint="eastAsia"/>
        </w:rPr>
        <w:t>、广州市城市建设投资集团有限公司</w:t>
      </w:r>
    </w:p>
    <w:p w14:paraId="5F50B0F6"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广州市城市建设投资集团有限公司（以下简称“广州城投”）是广州市城市基础设施建设和资产运营的主要实体，承担了广州市政府指定的基础设施项目投融资建设、运营管理和维护、国有资产运营管理等职能，在广州产业投资基金管理有限公司无偿划入后，承担了广州市政策性投资业务。近年来，广州市经济保持增长，广州城投在财政资金投入及资产划转等方面得到有力的外部支持，资金实力雄厚。</w:t>
      </w:r>
    </w:p>
    <w:p w14:paraId="35A1BF09" w14:textId="77777777" w:rsidR="00DE1B44" w:rsidRDefault="00D40582">
      <w:pPr>
        <w:pStyle w:val="58"/>
        <w:spacing w:before="120"/>
        <w:ind w:firstLine="482"/>
        <w:rPr>
          <w:rFonts w:ascii="Times New Roman" w:hAnsi="Times New Roman"/>
        </w:rPr>
      </w:pPr>
      <w:r>
        <w:rPr>
          <w:rFonts w:ascii="Times New Roman" w:hAnsi="Times New Roman"/>
        </w:rPr>
        <w:t>2</w:t>
      </w:r>
      <w:r>
        <w:rPr>
          <w:rFonts w:ascii="Times New Roman" w:hAnsi="Times New Roman" w:hint="eastAsia"/>
        </w:rPr>
        <w:t>、湖南湘江新区发展集团有限公司</w:t>
      </w:r>
    </w:p>
    <w:p w14:paraId="192A84CE"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湖南湘江新区发展集团有限公司（以下简称“湘江集团”）</w:t>
      </w:r>
      <w:r>
        <w:rPr>
          <w:rFonts w:ascii="Times New Roman" w:hAnsi="Times New Roman" w:cs="Times New Roman"/>
        </w:rPr>
        <w:t>是涵盖片区开发、城市运营、金融服务、产业投资的大型国有投资公司，是湖南湘江新区基础设施建设、片区开发、现代产业体系构建、生态环境开发和治理、两型社会建设的重要载体。</w:t>
      </w:r>
      <w:r>
        <w:rPr>
          <w:rFonts w:ascii="Times New Roman" w:hAnsi="Times New Roman" w:cs="Times New Roman" w:hint="eastAsia"/>
        </w:rPr>
        <w:t>湘江集团</w:t>
      </w:r>
      <w:r>
        <w:rPr>
          <w:rFonts w:ascii="Times New Roman" w:hAnsi="Times New Roman" w:cs="Times New Roman"/>
        </w:rPr>
        <w:t>注册资本</w:t>
      </w:r>
      <w:r>
        <w:rPr>
          <w:rFonts w:ascii="Times New Roman" w:hAnsi="Times New Roman" w:cs="Times New Roman"/>
        </w:rPr>
        <w:t>360</w:t>
      </w:r>
      <w:r>
        <w:rPr>
          <w:rFonts w:ascii="Times New Roman" w:hAnsi="Times New Roman" w:cs="Times New Roman"/>
        </w:rPr>
        <w:t>亿元，现有</w:t>
      </w:r>
      <w:r>
        <w:rPr>
          <w:rFonts w:ascii="Times New Roman" w:hAnsi="Times New Roman" w:cs="Times New Roman"/>
        </w:rPr>
        <w:t>11</w:t>
      </w:r>
      <w:r>
        <w:rPr>
          <w:rFonts w:ascii="Times New Roman" w:hAnsi="Times New Roman" w:cs="Times New Roman"/>
        </w:rPr>
        <w:t>个中心，</w:t>
      </w:r>
      <w:r>
        <w:rPr>
          <w:rFonts w:ascii="Times New Roman" w:hAnsi="Times New Roman" w:cs="Times New Roman"/>
        </w:rPr>
        <w:t>11</w:t>
      </w:r>
      <w:r>
        <w:rPr>
          <w:rFonts w:ascii="Times New Roman" w:hAnsi="Times New Roman" w:cs="Times New Roman"/>
        </w:rPr>
        <w:t>家全资子公司，</w:t>
      </w:r>
      <w:r>
        <w:rPr>
          <w:rFonts w:ascii="Times New Roman" w:hAnsi="Times New Roman" w:cs="Times New Roman"/>
        </w:rPr>
        <w:t>2</w:t>
      </w:r>
      <w:r>
        <w:rPr>
          <w:rFonts w:ascii="Times New Roman" w:hAnsi="Times New Roman" w:cs="Times New Roman"/>
        </w:rPr>
        <w:t>家控股子公司。</w:t>
      </w:r>
    </w:p>
    <w:p w14:paraId="0F357FB9" w14:textId="77777777" w:rsidR="00DE1B44" w:rsidRDefault="00D40582">
      <w:pPr>
        <w:pStyle w:val="58"/>
        <w:spacing w:before="120"/>
        <w:ind w:firstLine="482"/>
        <w:rPr>
          <w:rFonts w:ascii="Times New Roman" w:hAnsi="Times New Roman"/>
        </w:rPr>
      </w:pPr>
      <w:r>
        <w:rPr>
          <w:rFonts w:ascii="Times New Roman" w:hAnsi="Times New Roman"/>
        </w:rPr>
        <w:t>3</w:t>
      </w:r>
      <w:r>
        <w:rPr>
          <w:rFonts w:ascii="Times New Roman" w:hAnsi="Times New Roman" w:hint="eastAsia"/>
        </w:rPr>
        <w:t>、</w:t>
      </w:r>
      <w:proofErr w:type="gramStart"/>
      <w:r>
        <w:rPr>
          <w:rFonts w:ascii="Times New Roman" w:hAnsi="Times New Roman" w:hint="eastAsia"/>
        </w:rPr>
        <w:t>绵阳科</w:t>
      </w:r>
      <w:proofErr w:type="gramEnd"/>
      <w:r>
        <w:rPr>
          <w:rFonts w:ascii="Times New Roman" w:hAnsi="Times New Roman" w:hint="eastAsia"/>
        </w:rPr>
        <w:t>发长泰实业有限公司</w:t>
      </w:r>
    </w:p>
    <w:p w14:paraId="1271881E" w14:textId="77777777" w:rsidR="00DE1B44" w:rsidRDefault="00D40582">
      <w:pPr>
        <w:snapToGrid w:val="0"/>
        <w:spacing w:before="120"/>
        <w:ind w:firstLine="480"/>
        <w:rPr>
          <w:rFonts w:ascii="Times New Roman" w:hAnsi="Times New Roman" w:cs="Times New Roman"/>
        </w:rPr>
      </w:pPr>
      <w:proofErr w:type="gramStart"/>
      <w:r>
        <w:rPr>
          <w:rFonts w:ascii="Times New Roman" w:hAnsi="Times New Roman" w:cs="Times New Roman" w:hint="eastAsia"/>
        </w:rPr>
        <w:t>绵阳科</w:t>
      </w:r>
      <w:proofErr w:type="gramEnd"/>
      <w:r>
        <w:rPr>
          <w:rFonts w:ascii="Times New Roman" w:hAnsi="Times New Roman" w:cs="Times New Roman" w:hint="eastAsia"/>
        </w:rPr>
        <w:t>发长泰实业有限公司（以下简称“科发长泰”）是四川省绵阳市国有企业绵阳科技城发展投资（集团）有限公司（以下简称“科发集团”）下属资产管理营运平台，以资产经营和实业发展为主线。科发长泰特色经营主要体现在</w:t>
      </w:r>
      <w:proofErr w:type="gramStart"/>
      <w:r>
        <w:rPr>
          <w:rFonts w:ascii="Times New Roman" w:hAnsi="Times New Roman" w:cs="Times New Roman" w:hint="eastAsia"/>
        </w:rPr>
        <w:t>整合科</w:t>
      </w:r>
      <w:proofErr w:type="gramEnd"/>
      <w:r>
        <w:rPr>
          <w:rFonts w:ascii="Times New Roman" w:hAnsi="Times New Roman" w:cs="Times New Roman" w:hint="eastAsia"/>
        </w:rPr>
        <w:t>发集团土地、房产及其他实物资产，通过授权经营、租赁、不良资产处置、工业</w:t>
      </w:r>
      <w:proofErr w:type="gramStart"/>
      <w:r>
        <w:rPr>
          <w:rFonts w:ascii="Times New Roman" w:hAnsi="Times New Roman" w:cs="Times New Roman" w:hint="eastAsia"/>
        </w:rPr>
        <w:t>园产业</w:t>
      </w:r>
      <w:proofErr w:type="gramEnd"/>
      <w:r>
        <w:rPr>
          <w:rFonts w:ascii="Times New Roman" w:hAnsi="Times New Roman" w:cs="Times New Roman" w:hint="eastAsia"/>
        </w:rPr>
        <w:t>增值服务（广告、投融资、中介）等方式盘活国有资产。同时，利用资源禀赋开展建材、工业品、苗木等商贸业务，投资兴办商业、现代服务业、农业生态、信息安全、新能源汽车产业，实现科发集团实业发展目标。</w:t>
      </w:r>
    </w:p>
    <w:p w14:paraId="287FAB4F" w14:textId="77777777" w:rsidR="00DE1B44" w:rsidRDefault="00D40582">
      <w:pPr>
        <w:snapToGrid w:val="0"/>
        <w:spacing w:before="120"/>
        <w:ind w:firstLine="482"/>
        <w:rPr>
          <w:rFonts w:ascii="Times New Roman" w:hAnsi="Times New Roman" w:cs="Times New Roman"/>
          <w:b/>
        </w:rPr>
      </w:pPr>
      <w:r>
        <w:rPr>
          <w:rFonts w:ascii="Times New Roman" w:hAnsi="Times New Roman" w:cs="Times New Roman"/>
          <w:b/>
        </w:rPr>
        <w:t>（</w:t>
      </w:r>
      <w:r>
        <w:rPr>
          <w:rFonts w:ascii="Times New Roman" w:hAnsi="Times New Roman" w:cs="Times New Roman" w:hint="eastAsia"/>
          <w:b/>
        </w:rPr>
        <w:t>四</w:t>
      </w:r>
      <w:r>
        <w:rPr>
          <w:rFonts w:ascii="Times New Roman" w:hAnsi="Times New Roman" w:cs="Times New Roman"/>
          <w:b/>
        </w:rPr>
        <w:t>）关于发行对象的核查结论</w:t>
      </w:r>
    </w:p>
    <w:p w14:paraId="44DBC952" w14:textId="77777777" w:rsidR="00DE1B44" w:rsidRDefault="00D40582">
      <w:pPr>
        <w:pStyle w:val="58"/>
        <w:spacing w:before="120"/>
        <w:ind w:firstLine="482"/>
        <w:rPr>
          <w:rFonts w:ascii="Times New Roman" w:hAnsi="Times New Roman"/>
        </w:rPr>
      </w:pPr>
      <w:r>
        <w:rPr>
          <w:rFonts w:ascii="Times New Roman" w:hAnsi="Times New Roman"/>
        </w:rPr>
        <w:lastRenderedPageBreak/>
        <w:t>1</w:t>
      </w:r>
      <w:r>
        <w:rPr>
          <w:rFonts w:ascii="Times New Roman" w:hAnsi="Times New Roman"/>
        </w:rPr>
        <w:t>、</w:t>
      </w:r>
      <w:r>
        <w:rPr>
          <w:rFonts w:ascii="Times New Roman" w:hAnsi="Times New Roman" w:hint="eastAsia"/>
        </w:rPr>
        <w:t>本次</w:t>
      </w:r>
      <w:r>
        <w:rPr>
          <w:rFonts w:ascii="Times New Roman" w:hAnsi="Times New Roman"/>
        </w:rPr>
        <w:t>发行</w:t>
      </w:r>
      <w:r>
        <w:rPr>
          <w:rFonts w:ascii="Times New Roman" w:hAnsi="Times New Roman" w:hint="eastAsia"/>
        </w:rPr>
        <w:t>新增投资者未超过</w:t>
      </w:r>
      <w:r>
        <w:rPr>
          <w:rFonts w:ascii="Times New Roman" w:hAnsi="Times New Roman" w:hint="eastAsia"/>
        </w:rPr>
        <w:t>35</w:t>
      </w:r>
      <w:r>
        <w:rPr>
          <w:rFonts w:ascii="Times New Roman" w:hAnsi="Times New Roman" w:hint="eastAsia"/>
        </w:rPr>
        <w:t>名</w:t>
      </w:r>
    </w:p>
    <w:p w14:paraId="3EC71D8A"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本次股份发行对象为</w:t>
      </w:r>
      <w:r>
        <w:rPr>
          <w:rFonts w:ascii="Times New Roman" w:hAnsi="Times New Roman" w:cs="Times New Roman" w:hint="eastAsia"/>
        </w:rPr>
        <w:t>中国人寿保险股份有限公司等</w:t>
      </w:r>
      <w:r>
        <w:rPr>
          <w:rFonts w:ascii="Times New Roman" w:hAnsi="Times New Roman" w:cs="Times New Roman"/>
        </w:rPr>
        <w:t>在</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23</w:t>
      </w:r>
      <w:r>
        <w:rPr>
          <w:rFonts w:ascii="Times New Roman" w:hAnsi="Times New Roman" w:cs="Times New Roman"/>
        </w:rPr>
        <w:t>日股权登记日登记于本行股东名册的符合监管要求的本行股东，以及</w:t>
      </w:r>
      <w:r>
        <w:rPr>
          <w:rFonts w:ascii="Times New Roman" w:hAnsi="Times New Roman" w:cs="Times New Roman" w:hint="eastAsia"/>
        </w:rPr>
        <w:t>通过产权交易所挂牌引入</w:t>
      </w:r>
      <w:r>
        <w:rPr>
          <w:rFonts w:ascii="Times New Roman" w:hAnsi="Times New Roman" w:cs="Times New Roman"/>
        </w:rPr>
        <w:t>的投资者</w:t>
      </w:r>
      <w:r>
        <w:rPr>
          <w:rFonts w:ascii="Times New Roman" w:hAnsi="Times New Roman" w:cs="Times New Roman" w:hint="eastAsia"/>
        </w:rPr>
        <w:t>广州市城市建设投资集团有限公司、湖南湘江新区发展集团有限公司及</w:t>
      </w:r>
      <w:proofErr w:type="gramStart"/>
      <w:r>
        <w:rPr>
          <w:rFonts w:ascii="Times New Roman" w:hAnsi="Times New Roman" w:cs="Times New Roman" w:hint="eastAsia"/>
        </w:rPr>
        <w:t>绵阳科</w:t>
      </w:r>
      <w:proofErr w:type="gramEnd"/>
      <w:r>
        <w:rPr>
          <w:rFonts w:ascii="Times New Roman" w:hAnsi="Times New Roman" w:cs="Times New Roman" w:hint="eastAsia"/>
        </w:rPr>
        <w:t>发长泰实业有限公司</w:t>
      </w:r>
      <w:r>
        <w:rPr>
          <w:rFonts w:ascii="Times New Roman" w:hAnsi="Times New Roman" w:cs="Times New Roman"/>
        </w:rPr>
        <w:t>。上述原股东均不属于本行的董事</w:t>
      </w:r>
      <w:r>
        <w:rPr>
          <w:rFonts w:ascii="Times New Roman" w:hAnsi="Times New Roman" w:cs="Times New Roman" w:hint="eastAsia"/>
        </w:rPr>
        <w:t>、</w:t>
      </w:r>
      <w:r>
        <w:rPr>
          <w:rFonts w:ascii="Times New Roman" w:hAnsi="Times New Roman" w:cs="Times New Roman"/>
        </w:rPr>
        <w:t>监事</w:t>
      </w:r>
      <w:r>
        <w:rPr>
          <w:rFonts w:ascii="Times New Roman" w:hAnsi="Times New Roman" w:cs="Times New Roman" w:hint="eastAsia"/>
        </w:rPr>
        <w:t>、</w:t>
      </w:r>
      <w:r>
        <w:rPr>
          <w:rFonts w:ascii="Times New Roman" w:hAnsi="Times New Roman" w:cs="Times New Roman"/>
        </w:rPr>
        <w:t>高级管理</w:t>
      </w:r>
      <w:r>
        <w:rPr>
          <w:rFonts w:ascii="Times New Roman" w:hAnsi="Times New Roman" w:cs="Times New Roman" w:hint="eastAsia"/>
        </w:rPr>
        <w:t>人员。</w:t>
      </w:r>
      <w:r>
        <w:rPr>
          <w:rFonts w:ascii="Times New Roman" w:hAnsi="Times New Roman" w:cs="Times New Roman"/>
        </w:rPr>
        <w:t>除本行原股东外</w:t>
      </w:r>
      <w:r>
        <w:rPr>
          <w:rFonts w:ascii="Times New Roman" w:hAnsi="Times New Roman" w:cs="Times New Roman" w:hint="eastAsia"/>
        </w:rPr>
        <w:t>，</w:t>
      </w:r>
      <w:r>
        <w:rPr>
          <w:rFonts w:ascii="Times New Roman" w:hAnsi="Times New Roman" w:cs="Times New Roman"/>
        </w:rPr>
        <w:t>本次股份发行的对象未超过</w:t>
      </w:r>
      <w:r>
        <w:rPr>
          <w:rFonts w:ascii="Times New Roman" w:hAnsi="Times New Roman" w:cs="Times New Roman" w:hint="eastAsia"/>
        </w:rPr>
        <w:t>35</w:t>
      </w:r>
      <w:r>
        <w:rPr>
          <w:rFonts w:ascii="Times New Roman" w:hAnsi="Times New Roman" w:cs="Times New Roman" w:hint="eastAsia"/>
        </w:rPr>
        <w:t>名。</w:t>
      </w:r>
    </w:p>
    <w:p w14:paraId="77C50D4C" w14:textId="77777777" w:rsidR="00DE1B44" w:rsidRDefault="00D40582">
      <w:pPr>
        <w:pStyle w:val="58"/>
        <w:spacing w:before="120"/>
        <w:ind w:firstLine="482"/>
        <w:rPr>
          <w:rFonts w:ascii="Times New Roman" w:hAnsi="Times New Roman"/>
        </w:rPr>
      </w:pPr>
      <w:r>
        <w:rPr>
          <w:rFonts w:ascii="Times New Roman" w:hAnsi="Times New Roman"/>
        </w:rPr>
        <w:t>2</w:t>
      </w:r>
      <w:r>
        <w:rPr>
          <w:rFonts w:ascii="Times New Roman" w:hAnsi="Times New Roman"/>
        </w:rPr>
        <w:t>、</w:t>
      </w:r>
      <w:r>
        <w:rPr>
          <w:rFonts w:ascii="Times New Roman" w:hAnsi="Times New Roman" w:hint="eastAsia"/>
        </w:rPr>
        <w:t>新增投资者</w:t>
      </w:r>
      <w:r>
        <w:rPr>
          <w:rFonts w:ascii="Times New Roman" w:hAnsi="Times New Roman"/>
        </w:rPr>
        <w:t>是否为私募基金或私募基金管理人</w:t>
      </w:r>
    </w:p>
    <w:p w14:paraId="5D9C1877" w14:textId="77777777" w:rsidR="00DE1B44" w:rsidRDefault="00D40582">
      <w:pPr>
        <w:snapToGrid w:val="0"/>
        <w:spacing w:before="120"/>
        <w:ind w:firstLine="482"/>
        <w:rPr>
          <w:rFonts w:ascii="Times New Roman" w:hAnsi="Times New Roman" w:cs="Times New Roman"/>
          <w:b/>
          <w:bCs/>
        </w:rPr>
      </w:pPr>
      <w:r>
        <w:rPr>
          <w:rFonts w:ascii="Times New Roman" w:hAnsi="Times New Roman" w:cs="Times New Roman" w:hint="eastAsia"/>
          <w:b/>
          <w:bCs/>
        </w:rPr>
        <w:t>（</w:t>
      </w:r>
      <w:r>
        <w:rPr>
          <w:rFonts w:ascii="Times New Roman" w:hAnsi="Times New Roman" w:cs="Times New Roman" w:hint="eastAsia"/>
          <w:b/>
          <w:bCs/>
        </w:rPr>
        <w:t>1</w:t>
      </w:r>
      <w:r>
        <w:rPr>
          <w:rFonts w:ascii="Times New Roman" w:hAnsi="Times New Roman" w:cs="Times New Roman" w:hint="eastAsia"/>
          <w:b/>
          <w:bCs/>
        </w:rPr>
        <w:t>）广州城投</w:t>
      </w:r>
    </w:p>
    <w:p w14:paraId="486370CF"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根据国家企业信用信息公示系统的工商公示信息，广州城</w:t>
      </w:r>
      <w:proofErr w:type="gramStart"/>
      <w:r>
        <w:rPr>
          <w:rFonts w:ascii="Times New Roman" w:hAnsi="Times New Roman" w:cs="Times New Roman" w:hint="eastAsia"/>
        </w:rPr>
        <w:t>投成立</w:t>
      </w:r>
      <w:proofErr w:type="gramEnd"/>
      <w:r>
        <w:rPr>
          <w:rFonts w:ascii="Times New Roman" w:hAnsi="Times New Roman" w:cs="Times New Roman" w:hint="eastAsia"/>
        </w:rPr>
        <w:t>于</w:t>
      </w:r>
      <w:r>
        <w:rPr>
          <w:rFonts w:ascii="Times New Roman" w:hAnsi="Times New Roman" w:cs="Times New Roman"/>
        </w:rPr>
        <w:t>2008</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hint="eastAsia"/>
        </w:rPr>
        <w:t>9</w:t>
      </w:r>
      <w:r>
        <w:rPr>
          <w:rFonts w:ascii="Times New Roman" w:hAnsi="Times New Roman" w:cs="Times New Roman"/>
        </w:rPr>
        <w:t>日，其统一社会信用代码为</w:t>
      </w:r>
      <w:r>
        <w:rPr>
          <w:rFonts w:ascii="Times New Roman" w:hAnsi="Times New Roman" w:cs="Times New Roman"/>
        </w:rPr>
        <w:t>914401016832608047</w:t>
      </w:r>
      <w:r>
        <w:rPr>
          <w:rFonts w:ascii="Times New Roman" w:hAnsi="Times New Roman" w:cs="Times New Roman"/>
        </w:rPr>
        <w:t>；截至本</w:t>
      </w:r>
      <w:r>
        <w:rPr>
          <w:rFonts w:ascii="Times New Roman" w:hAnsi="Times New Roman" w:cs="Times New Roman" w:hint="eastAsia"/>
        </w:rPr>
        <w:t>定向发行说明书签署日</w:t>
      </w:r>
      <w:r>
        <w:rPr>
          <w:rFonts w:ascii="Times New Roman" w:hAnsi="Times New Roman" w:cs="Times New Roman"/>
        </w:rPr>
        <w:t>，其注册资本为人民币</w:t>
      </w:r>
      <w:r>
        <w:rPr>
          <w:rFonts w:ascii="Times New Roman" w:hAnsi="Times New Roman" w:cs="Times New Roman"/>
        </w:rPr>
        <w:t>1,752</w:t>
      </w:r>
      <w:r>
        <w:rPr>
          <w:rFonts w:ascii="Times New Roman" w:hAnsi="Times New Roman" w:cs="Times New Roman" w:hint="eastAsia"/>
        </w:rPr>
        <w:t>,</w:t>
      </w:r>
      <w:r>
        <w:rPr>
          <w:rFonts w:ascii="Times New Roman" w:hAnsi="Times New Roman" w:cs="Times New Roman"/>
        </w:rPr>
        <w:t>424.2473</w:t>
      </w:r>
      <w:r>
        <w:rPr>
          <w:rFonts w:ascii="Times New Roman" w:hAnsi="Times New Roman" w:cs="Times New Roman" w:hint="eastAsia"/>
        </w:rPr>
        <w:t>万</w:t>
      </w:r>
      <w:r>
        <w:rPr>
          <w:rFonts w:ascii="Times New Roman" w:hAnsi="Times New Roman" w:cs="Times New Roman"/>
        </w:rPr>
        <w:t>元，经营范围为</w:t>
      </w:r>
      <w:r>
        <w:rPr>
          <w:rFonts w:ascii="Times New Roman" w:hAnsi="Times New Roman" w:cs="Times New Roman" w:hint="eastAsia"/>
        </w:rPr>
        <w:t>“资产管理（不含许可审批项目）</w:t>
      </w:r>
      <w:r>
        <w:rPr>
          <w:rFonts w:ascii="Times New Roman" w:hAnsi="Times New Roman" w:cs="Times New Roman"/>
        </w:rPr>
        <w:t>;</w:t>
      </w:r>
      <w:r>
        <w:rPr>
          <w:rFonts w:ascii="Times New Roman" w:hAnsi="Times New Roman" w:cs="Times New Roman"/>
        </w:rPr>
        <w:t>旅游景区规划设计、开发、管理</w:t>
      </w:r>
      <w:r>
        <w:rPr>
          <w:rFonts w:ascii="Times New Roman" w:hAnsi="Times New Roman" w:cs="Times New Roman"/>
        </w:rPr>
        <w:t>;</w:t>
      </w:r>
      <w:r>
        <w:rPr>
          <w:rFonts w:ascii="Times New Roman" w:hAnsi="Times New Roman" w:cs="Times New Roman"/>
        </w:rPr>
        <w:t>企业自有资金投资</w:t>
      </w:r>
      <w:r>
        <w:rPr>
          <w:rFonts w:ascii="Times New Roman" w:hAnsi="Times New Roman" w:cs="Times New Roman"/>
        </w:rPr>
        <w:t>;</w:t>
      </w:r>
      <w:r>
        <w:rPr>
          <w:rFonts w:ascii="Times New Roman" w:hAnsi="Times New Roman" w:cs="Times New Roman"/>
        </w:rPr>
        <w:t>停车场经营</w:t>
      </w:r>
      <w:r>
        <w:rPr>
          <w:rFonts w:ascii="Times New Roman" w:hAnsi="Times New Roman" w:cs="Times New Roman"/>
        </w:rPr>
        <w:t>;</w:t>
      </w:r>
      <w:r>
        <w:rPr>
          <w:rFonts w:ascii="Times New Roman" w:hAnsi="Times New Roman" w:cs="Times New Roman"/>
        </w:rPr>
        <w:t>市政设施管理</w:t>
      </w:r>
      <w:r>
        <w:rPr>
          <w:rFonts w:ascii="Times New Roman" w:hAnsi="Times New Roman" w:cs="Times New Roman"/>
        </w:rPr>
        <w:t>;</w:t>
      </w:r>
      <w:r>
        <w:rPr>
          <w:rFonts w:ascii="Times New Roman" w:hAnsi="Times New Roman" w:cs="Times New Roman"/>
        </w:rPr>
        <w:t>投资管理服务</w:t>
      </w:r>
      <w:r>
        <w:rPr>
          <w:rFonts w:ascii="Times New Roman" w:hAnsi="Times New Roman" w:cs="Times New Roman"/>
        </w:rPr>
        <w:t>;</w:t>
      </w:r>
      <w:r>
        <w:rPr>
          <w:rFonts w:ascii="Times New Roman" w:hAnsi="Times New Roman" w:cs="Times New Roman"/>
        </w:rPr>
        <w:t>自有房地产经营活动</w:t>
      </w:r>
      <w:r>
        <w:rPr>
          <w:rFonts w:ascii="Times New Roman" w:hAnsi="Times New Roman" w:cs="Times New Roman"/>
        </w:rPr>
        <w:t>;</w:t>
      </w:r>
      <w:r>
        <w:rPr>
          <w:rFonts w:ascii="Times New Roman" w:hAnsi="Times New Roman" w:cs="Times New Roman"/>
        </w:rPr>
        <w:t>房地产开发经营</w:t>
      </w:r>
      <w:r>
        <w:rPr>
          <w:rFonts w:ascii="Times New Roman" w:hAnsi="Times New Roman" w:cs="Times New Roman"/>
        </w:rPr>
        <w:t>;</w:t>
      </w:r>
      <w:r>
        <w:rPr>
          <w:rFonts w:ascii="Times New Roman" w:hAnsi="Times New Roman" w:cs="Times New Roman"/>
        </w:rPr>
        <w:t>艺术表演场馆管理服务</w:t>
      </w:r>
      <w:r>
        <w:rPr>
          <w:rFonts w:ascii="Times New Roman" w:hAnsi="Times New Roman" w:cs="Times New Roman"/>
        </w:rPr>
        <w:t>;</w:t>
      </w:r>
      <w:r>
        <w:rPr>
          <w:rFonts w:ascii="Times New Roman" w:hAnsi="Times New Roman" w:cs="Times New Roman"/>
        </w:rPr>
        <w:t>工程项目管理服务</w:t>
      </w:r>
      <w:r>
        <w:rPr>
          <w:rFonts w:ascii="Times New Roman" w:hAnsi="Times New Roman" w:cs="Times New Roman"/>
        </w:rPr>
        <w:t>;</w:t>
      </w:r>
      <w:r>
        <w:rPr>
          <w:rFonts w:ascii="Times New Roman" w:hAnsi="Times New Roman" w:cs="Times New Roman"/>
        </w:rPr>
        <w:t>风险投资</w:t>
      </w:r>
      <w:r>
        <w:rPr>
          <w:rFonts w:ascii="Times New Roman" w:hAnsi="Times New Roman" w:cs="Times New Roman"/>
        </w:rPr>
        <w:t>;</w:t>
      </w:r>
      <w:r>
        <w:rPr>
          <w:rFonts w:ascii="Times New Roman" w:hAnsi="Times New Roman" w:cs="Times New Roman"/>
        </w:rPr>
        <w:t>投资咨询服务</w:t>
      </w:r>
      <w:r>
        <w:rPr>
          <w:rFonts w:ascii="Times New Roman" w:hAnsi="Times New Roman" w:cs="Times New Roman"/>
        </w:rPr>
        <w:t>;</w:t>
      </w:r>
      <w:r>
        <w:rPr>
          <w:rFonts w:ascii="Times New Roman" w:hAnsi="Times New Roman" w:cs="Times New Roman"/>
        </w:rPr>
        <w:t>信息技术咨询服务</w:t>
      </w:r>
      <w:r>
        <w:rPr>
          <w:rFonts w:ascii="Times New Roman" w:hAnsi="Times New Roman" w:cs="Times New Roman"/>
        </w:rPr>
        <w:t>;</w:t>
      </w:r>
      <w:r>
        <w:rPr>
          <w:rFonts w:ascii="Times New Roman" w:hAnsi="Times New Roman" w:cs="Times New Roman"/>
        </w:rPr>
        <w:t>信息系统集成服务</w:t>
      </w:r>
      <w:r>
        <w:rPr>
          <w:rFonts w:ascii="Times New Roman" w:hAnsi="Times New Roman" w:cs="Times New Roman"/>
        </w:rPr>
        <w:t>;</w:t>
      </w:r>
      <w:r>
        <w:rPr>
          <w:rFonts w:ascii="Times New Roman" w:hAnsi="Times New Roman" w:cs="Times New Roman"/>
        </w:rPr>
        <w:t>数据处理和存储服务</w:t>
      </w:r>
      <w:r>
        <w:rPr>
          <w:rFonts w:ascii="Times New Roman" w:hAnsi="Times New Roman" w:cs="Times New Roman"/>
        </w:rPr>
        <w:t>;</w:t>
      </w:r>
      <w:r>
        <w:rPr>
          <w:rFonts w:ascii="Times New Roman" w:hAnsi="Times New Roman" w:cs="Times New Roman"/>
        </w:rPr>
        <w:t>电气机械设备销售</w:t>
      </w:r>
      <w:r>
        <w:rPr>
          <w:rFonts w:ascii="Times New Roman" w:hAnsi="Times New Roman" w:cs="Times New Roman"/>
        </w:rPr>
        <w:t>;</w:t>
      </w:r>
      <w:r>
        <w:rPr>
          <w:rFonts w:ascii="Times New Roman" w:hAnsi="Times New Roman" w:cs="Times New Roman"/>
        </w:rPr>
        <w:t>五金产品批发</w:t>
      </w:r>
      <w:r>
        <w:rPr>
          <w:rFonts w:ascii="Times New Roman" w:hAnsi="Times New Roman" w:cs="Times New Roman"/>
        </w:rPr>
        <w:t>;</w:t>
      </w:r>
      <w:r>
        <w:rPr>
          <w:rFonts w:ascii="Times New Roman" w:hAnsi="Times New Roman" w:cs="Times New Roman"/>
        </w:rPr>
        <w:t>通讯设备及配套设备批发</w:t>
      </w:r>
      <w:r>
        <w:rPr>
          <w:rFonts w:ascii="Times New Roman" w:hAnsi="Times New Roman" w:cs="Times New Roman"/>
        </w:rPr>
        <w:t>;</w:t>
      </w:r>
      <w:r>
        <w:rPr>
          <w:rFonts w:ascii="Times New Roman" w:hAnsi="Times New Roman" w:cs="Times New Roman"/>
        </w:rPr>
        <w:t>广播设备及其配件批发</w:t>
      </w:r>
      <w:r>
        <w:rPr>
          <w:rFonts w:ascii="Times New Roman" w:hAnsi="Times New Roman" w:cs="Times New Roman"/>
        </w:rPr>
        <w:t>;</w:t>
      </w:r>
      <w:r>
        <w:rPr>
          <w:rFonts w:ascii="Times New Roman" w:hAnsi="Times New Roman" w:cs="Times New Roman"/>
        </w:rPr>
        <w:t>电视设备及其配件批发</w:t>
      </w:r>
      <w:r>
        <w:rPr>
          <w:rFonts w:ascii="Times New Roman" w:hAnsi="Times New Roman" w:cs="Times New Roman"/>
        </w:rPr>
        <w:t>;</w:t>
      </w:r>
      <w:r>
        <w:rPr>
          <w:rFonts w:ascii="Times New Roman" w:hAnsi="Times New Roman" w:cs="Times New Roman"/>
        </w:rPr>
        <w:t>电子产品批发</w:t>
      </w:r>
      <w:r>
        <w:rPr>
          <w:rFonts w:ascii="Times New Roman" w:hAnsi="Times New Roman" w:cs="Times New Roman"/>
        </w:rPr>
        <w:t>;</w:t>
      </w:r>
      <w:r>
        <w:rPr>
          <w:rFonts w:ascii="Times New Roman" w:hAnsi="Times New Roman" w:cs="Times New Roman"/>
        </w:rPr>
        <w:t>软件批发</w:t>
      </w:r>
      <w:r>
        <w:rPr>
          <w:rFonts w:ascii="Times New Roman" w:hAnsi="Times New Roman" w:cs="Times New Roman"/>
        </w:rPr>
        <w:t>;</w:t>
      </w:r>
      <w:r>
        <w:rPr>
          <w:rFonts w:ascii="Times New Roman" w:hAnsi="Times New Roman" w:cs="Times New Roman"/>
        </w:rPr>
        <w:t>计算机零配件批发</w:t>
      </w:r>
      <w:r>
        <w:rPr>
          <w:rFonts w:ascii="Times New Roman" w:hAnsi="Times New Roman" w:cs="Times New Roman"/>
        </w:rPr>
        <w:t>;</w:t>
      </w:r>
      <w:r>
        <w:rPr>
          <w:rFonts w:ascii="Times New Roman" w:hAnsi="Times New Roman" w:cs="Times New Roman"/>
        </w:rPr>
        <w:t>软件开发</w:t>
      </w:r>
      <w:r>
        <w:rPr>
          <w:rFonts w:ascii="Times New Roman" w:hAnsi="Times New Roman" w:cs="Times New Roman"/>
        </w:rPr>
        <w:t>;</w:t>
      </w:r>
      <w:r>
        <w:rPr>
          <w:rFonts w:ascii="Times New Roman" w:hAnsi="Times New Roman" w:cs="Times New Roman"/>
        </w:rPr>
        <w:t>计算机房维护服务</w:t>
      </w:r>
      <w:r>
        <w:rPr>
          <w:rFonts w:ascii="Times New Roman" w:hAnsi="Times New Roman" w:cs="Times New Roman"/>
        </w:rPr>
        <w:t>;</w:t>
      </w:r>
      <w:r>
        <w:rPr>
          <w:rFonts w:ascii="Times New Roman" w:hAnsi="Times New Roman" w:cs="Times New Roman"/>
        </w:rPr>
        <w:t>物业管理</w:t>
      </w:r>
      <w:r>
        <w:rPr>
          <w:rFonts w:ascii="Times New Roman" w:hAnsi="Times New Roman" w:cs="Times New Roman"/>
        </w:rPr>
        <w:t>;</w:t>
      </w:r>
      <w:r>
        <w:rPr>
          <w:rFonts w:ascii="Times New Roman" w:hAnsi="Times New Roman" w:cs="Times New Roman"/>
        </w:rPr>
        <w:t>受托管理股权投资基金（具体经营项目以金融管理部门核发批文为</w:t>
      </w:r>
      <w:r>
        <w:rPr>
          <w:rFonts w:ascii="Times New Roman" w:hAnsi="Times New Roman" w:cs="Times New Roman" w:hint="eastAsia"/>
        </w:rPr>
        <w:t>准）</w:t>
      </w:r>
      <w:r>
        <w:rPr>
          <w:rFonts w:ascii="Times New Roman" w:hAnsi="Times New Roman" w:cs="Times New Roman"/>
        </w:rPr>
        <w:t>;</w:t>
      </w:r>
      <w:r>
        <w:rPr>
          <w:rFonts w:ascii="Times New Roman" w:hAnsi="Times New Roman" w:cs="Times New Roman"/>
        </w:rPr>
        <w:t>股权投资</w:t>
      </w:r>
      <w:r>
        <w:rPr>
          <w:rFonts w:ascii="Times New Roman" w:hAnsi="Times New Roman" w:cs="Times New Roman"/>
        </w:rPr>
        <w:t>;</w:t>
      </w:r>
      <w:r>
        <w:rPr>
          <w:rFonts w:ascii="Times New Roman" w:hAnsi="Times New Roman" w:cs="Times New Roman"/>
        </w:rPr>
        <w:t>股权投资管理</w:t>
      </w:r>
      <w:r>
        <w:rPr>
          <w:rFonts w:ascii="Times New Roman" w:hAnsi="Times New Roman" w:cs="Times New Roman"/>
        </w:rPr>
        <w:t>;</w:t>
      </w:r>
      <w:r>
        <w:rPr>
          <w:rFonts w:ascii="Times New Roman" w:hAnsi="Times New Roman" w:cs="Times New Roman"/>
        </w:rPr>
        <w:t>物联网服务</w:t>
      </w:r>
      <w:r>
        <w:rPr>
          <w:rFonts w:ascii="Times New Roman" w:hAnsi="Times New Roman" w:cs="Times New Roman" w:hint="eastAsia"/>
        </w:rPr>
        <w:t>”。</w:t>
      </w:r>
    </w:p>
    <w:p w14:paraId="29EB9E66"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经在中国证券投资基金业协会官方网站查询，截至本定向发行说明书签署日，该公示系统当中并无信息显示广州城</w:t>
      </w:r>
      <w:proofErr w:type="gramStart"/>
      <w:r>
        <w:rPr>
          <w:rFonts w:ascii="Times New Roman" w:hAnsi="Times New Roman" w:cs="Times New Roman" w:hint="eastAsia"/>
        </w:rPr>
        <w:t>投属于</w:t>
      </w:r>
      <w:proofErr w:type="gramEnd"/>
      <w:r>
        <w:rPr>
          <w:rFonts w:ascii="Times New Roman" w:hAnsi="Times New Roman" w:cs="Times New Roman" w:hint="eastAsia"/>
        </w:rPr>
        <w:t>私募投资基金或私募基金管理人。</w:t>
      </w:r>
    </w:p>
    <w:p w14:paraId="4F2889CB" w14:textId="77777777" w:rsidR="00DE1B44" w:rsidRDefault="00D40582">
      <w:pPr>
        <w:snapToGrid w:val="0"/>
        <w:spacing w:before="120"/>
        <w:ind w:firstLine="482"/>
        <w:rPr>
          <w:rFonts w:ascii="Times New Roman" w:hAnsi="Times New Roman" w:cs="Times New Roman"/>
          <w:b/>
          <w:bCs/>
        </w:rPr>
      </w:pPr>
      <w:r>
        <w:rPr>
          <w:rFonts w:ascii="Times New Roman" w:hAnsi="Times New Roman" w:cs="Times New Roman" w:hint="eastAsia"/>
          <w:b/>
          <w:bCs/>
        </w:rPr>
        <w:t>（</w:t>
      </w:r>
      <w:r>
        <w:rPr>
          <w:rFonts w:ascii="Times New Roman" w:hAnsi="Times New Roman" w:cs="Times New Roman" w:hint="eastAsia"/>
          <w:b/>
          <w:bCs/>
        </w:rPr>
        <w:t>2</w:t>
      </w:r>
      <w:r>
        <w:rPr>
          <w:rFonts w:ascii="Times New Roman" w:hAnsi="Times New Roman" w:cs="Times New Roman" w:hint="eastAsia"/>
          <w:b/>
          <w:bCs/>
        </w:rPr>
        <w:t>）湘江集团</w:t>
      </w:r>
    </w:p>
    <w:p w14:paraId="613B094F"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根据国家企业信用信息公示系统的工商公示信息，湘江集团成立于</w:t>
      </w:r>
      <w:r>
        <w:rPr>
          <w:rFonts w:ascii="Times New Roman" w:hAnsi="Times New Roman" w:cs="Times New Roman"/>
        </w:rPr>
        <w:t>2016</w:t>
      </w:r>
      <w:r>
        <w:rPr>
          <w:rFonts w:ascii="Times New Roman" w:hAnsi="Times New Roman" w:cs="Times New Roman"/>
        </w:rPr>
        <w:t>年</w:t>
      </w:r>
      <w:r>
        <w:rPr>
          <w:rFonts w:ascii="Times New Roman" w:hAnsi="Times New Roman" w:cs="Times New Roman" w:hint="eastAsia"/>
        </w:rPr>
        <w:t>4</w:t>
      </w:r>
      <w:r>
        <w:rPr>
          <w:rFonts w:ascii="Times New Roman" w:hAnsi="Times New Roman" w:cs="Times New Roman"/>
        </w:rPr>
        <w:t>月</w:t>
      </w:r>
      <w:r>
        <w:rPr>
          <w:rFonts w:ascii="Times New Roman" w:hAnsi="Times New Roman" w:cs="Times New Roman" w:hint="eastAsia"/>
        </w:rPr>
        <w:t>1</w:t>
      </w:r>
      <w:r>
        <w:rPr>
          <w:rFonts w:ascii="Times New Roman" w:hAnsi="Times New Roman" w:cs="Times New Roman"/>
        </w:rPr>
        <w:t>9</w:t>
      </w:r>
      <w:r>
        <w:rPr>
          <w:rFonts w:ascii="Times New Roman" w:hAnsi="Times New Roman" w:cs="Times New Roman"/>
        </w:rPr>
        <w:t>日，其统一社会信用代码为</w:t>
      </w:r>
      <w:r>
        <w:rPr>
          <w:rFonts w:ascii="Times New Roman" w:hAnsi="Times New Roman" w:cs="Times New Roman"/>
        </w:rPr>
        <w:t>91430100MA4L3UJ37Q</w:t>
      </w:r>
      <w:r>
        <w:rPr>
          <w:rFonts w:ascii="Times New Roman" w:hAnsi="Times New Roman" w:cs="Times New Roman"/>
        </w:rPr>
        <w:t>；截至</w:t>
      </w:r>
      <w:r>
        <w:rPr>
          <w:rFonts w:ascii="Times New Roman" w:hAnsi="Times New Roman" w:cs="Times New Roman" w:hint="eastAsia"/>
        </w:rPr>
        <w:t>本定向发行说明书签署日</w:t>
      </w:r>
      <w:r>
        <w:rPr>
          <w:rFonts w:ascii="Times New Roman" w:hAnsi="Times New Roman" w:cs="Times New Roman"/>
        </w:rPr>
        <w:t>，其注册资本为人民币</w:t>
      </w:r>
      <w:r>
        <w:rPr>
          <w:rFonts w:ascii="Times New Roman" w:hAnsi="Times New Roman" w:cs="Times New Roman"/>
        </w:rPr>
        <w:t>3,600,000</w:t>
      </w:r>
      <w:r>
        <w:rPr>
          <w:rFonts w:ascii="Times New Roman" w:hAnsi="Times New Roman" w:cs="Times New Roman" w:hint="eastAsia"/>
        </w:rPr>
        <w:t>.</w:t>
      </w:r>
      <w:r>
        <w:rPr>
          <w:rFonts w:ascii="Times New Roman" w:hAnsi="Times New Roman" w:cs="Times New Roman"/>
        </w:rPr>
        <w:t>0000</w:t>
      </w:r>
      <w:r>
        <w:rPr>
          <w:rFonts w:ascii="Times New Roman" w:hAnsi="Times New Roman" w:cs="Times New Roman" w:hint="eastAsia"/>
        </w:rPr>
        <w:t>万</w:t>
      </w:r>
      <w:r>
        <w:rPr>
          <w:rFonts w:ascii="Times New Roman" w:hAnsi="Times New Roman" w:cs="Times New Roman"/>
        </w:rPr>
        <w:t>元，经营范围为</w:t>
      </w:r>
      <w:r>
        <w:rPr>
          <w:rFonts w:ascii="Times New Roman" w:hAnsi="Times New Roman" w:cs="Times New Roman" w:hint="eastAsia"/>
        </w:rPr>
        <w:t>“</w:t>
      </w:r>
      <w:r>
        <w:rPr>
          <w:rFonts w:ascii="Times New Roman" w:hAnsi="Times New Roman" w:cs="Times New Roman"/>
        </w:rPr>
        <w:t>城市公共基础设施项目投资建设运营和管理；生态保护与环境治理；土地管理服务；工程管理服务；广告服务；物业管理；产业投资；文化旅游资源投资与管理；医疗健康产业投资与管理；产业平台投资与管理；城镇资源投资与管理；智能制造产业投资与管理；科技研发产业投资与管理；</w:t>
      </w:r>
      <w:r>
        <w:rPr>
          <w:rFonts w:ascii="Times New Roman" w:hAnsi="Times New Roman" w:cs="Times New Roman"/>
        </w:rPr>
        <w:lastRenderedPageBreak/>
        <w:t>酒店管理；商业管理；企业总部管理；金融服务（不得从事吸收存款、集资收款、受托贷款、发行票据、发放贷款等国家金融监管及财政信用业务）；创业投资；股权投资；资产管理；资本投资服务。（依法须经批准的项目，经相关部门批准后方可开展经营活动）</w:t>
      </w:r>
      <w:r>
        <w:rPr>
          <w:rFonts w:ascii="Times New Roman" w:hAnsi="Times New Roman" w:cs="Times New Roman" w:hint="eastAsia"/>
        </w:rPr>
        <w:t>”</w:t>
      </w:r>
      <w:r>
        <w:rPr>
          <w:rFonts w:ascii="Times New Roman" w:hAnsi="Times New Roman" w:cs="Times New Roman"/>
        </w:rPr>
        <w:t>。</w:t>
      </w:r>
    </w:p>
    <w:p w14:paraId="30E1105D"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经在中国证券投资基金业协会官方网站查询，截至本定向发行说明书签署日，该公示系统当中并无信息显示湘江集团属于私募投资基金或私募基金管理人。</w:t>
      </w:r>
    </w:p>
    <w:p w14:paraId="453D9282" w14:textId="77777777" w:rsidR="00DE1B44" w:rsidRDefault="00D40582">
      <w:pPr>
        <w:snapToGrid w:val="0"/>
        <w:spacing w:before="120"/>
        <w:ind w:firstLine="482"/>
        <w:rPr>
          <w:rFonts w:ascii="Times New Roman" w:hAnsi="Times New Roman" w:cs="Times New Roman"/>
          <w:b/>
          <w:bCs/>
        </w:rPr>
      </w:pPr>
      <w:r>
        <w:rPr>
          <w:rFonts w:ascii="Times New Roman" w:hAnsi="Times New Roman" w:cs="Times New Roman" w:hint="eastAsia"/>
          <w:b/>
          <w:bCs/>
        </w:rPr>
        <w:t>（</w:t>
      </w:r>
      <w:r>
        <w:rPr>
          <w:rFonts w:ascii="Times New Roman" w:hAnsi="Times New Roman" w:cs="Times New Roman"/>
          <w:b/>
          <w:bCs/>
        </w:rPr>
        <w:t>3</w:t>
      </w:r>
      <w:r>
        <w:rPr>
          <w:rFonts w:ascii="Times New Roman" w:hAnsi="Times New Roman" w:cs="Times New Roman" w:hint="eastAsia"/>
          <w:b/>
          <w:bCs/>
        </w:rPr>
        <w:t>）科发长泰</w:t>
      </w:r>
    </w:p>
    <w:p w14:paraId="662A4D15"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根据国家企业信用信息公示系统的工商公示信息，科发长泰成立于</w:t>
      </w:r>
      <w:r>
        <w:rPr>
          <w:rFonts w:ascii="Times New Roman" w:hAnsi="Times New Roman" w:cs="Times New Roman"/>
        </w:rPr>
        <w:t>2001</w:t>
      </w:r>
      <w:r>
        <w:rPr>
          <w:rFonts w:ascii="Times New Roman" w:hAnsi="Times New Roman" w:cs="Times New Roman"/>
        </w:rPr>
        <w:t>年</w:t>
      </w:r>
      <w:r>
        <w:rPr>
          <w:rFonts w:ascii="Times New Roman" w:hAnsi="Times New Roman" w:cs="Times New Roman"/>
        </w:rPr>
        <w:t>11</w:t>
      </w:r>
      <w:r>
        <w:rPr>
          <w:rFonts w:ascii="Times New Roman" w:hAnsi="Times New Roman" w:cs="Times New Roman"/>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rPr>
        <w:t>日，其统一社会信用代码为</w:t>
      </w:r>
      <w:r>
        <w:rPr>
          <w:rFonts w:ascii="Times New Roman" w:hAnsi="Times New Roman" w:cs="Times New Roman"/>
        </w:rPr>
        <w:t>9151070073341311XX</w:t>
      </w:r>
      <w:r>
        <w:rPr>
          <w:rFonts w:ascii="Times New Roman" w:hAnsi="Times New Roman" w:cs="Times New Roman"/>
        </w:rPr>
        <w:t>；截至</w:t>
      </w:r>
      <w:r>
        <w:rPr>
          <w:rFonts w:ascii="Times New Roman" w:hAnsi="Times New Roman" w:cs="Times New Roman" w:hint="eastAsia"/>
        </w:rPr>
        <w:t>本定向发行说明书签署日</w:t>
      </w:r>
      <w:r>
        <w:rPr>
          <w:rFonts w:ascii="Times New Roman" w:hAnsi="Times New Roman" w:cs="Times New Roman"/>
        </w:rPr>
        <w:t>，其注册资本为人民币</w:t>
      </w:r>
      <w:r>
        <w:rPr>
          <w:rFonts w:ascii="Times New Roman" w:hAnsi="Times New Roman" w:cs="Times New Roman"/>
        </w:rPr>
        <w:t>43,775.9</w:t>
      </w:r>
      <w:r>
        <w:rPr>
          <w:rFonts w:ascii="Times New Roman" w:hAnsi="Times New Roman" w:cs="Times New Roman"/>
        </w:rPr>
        <w:t>万</w:t>
      </w:r>
      <w:r>
        <w:rPr>
          <w:rFonts w:ascii="Times New Roman" w:hAnsi="Times New Roman" w:cs="Times New Roman" w:hint="eastAsia"/>
        </w:rPr>
        <w:t>元</w:t>
      </w:r>
      <w:r>
        <w:rPr>
          <w:rFonts w:ascii="Times New Roman" w:hAnsi="Times New Roman" w:cs="Times New Roman"/>
        </w:rPr>
        <w:t>，经营范围为</w:t>
      </w:r>
      <w:r>
        <w:rPr>
          <w:rFonts w:ascii="Times New Roman" w:hAnsi="Times New Roman" w:cs="Times New Roman" w:hint="eastAsia"/>
        </w:rPr>
        <w:t>“对进入经济技术开发区的工业科技项目或科技企业的投资，对高新技术产业、工业、商业、生物工程、医药、医疗器械、计算机软件及网络技术的投资，对经济技术开发区土地综合开发的投资，辖区土地综合开发，房地产开发与经营，建筑材料、电子产品、通讯器材（不含无线电发射设备）、化工产品（易燃易爆品除外）的销售、园林绿化服务、售电服务，汽车及汽车配件销售，二手车经纪、信息咨询服务（不得经纪报废和无所有权、处置权及其它非法二手车）；车辆上户、审验代理服务；煤炭（仅限票据交易）、水泥、钢材销售。（</w:t>
      </w:r>
      <w:r>
        <w:rPr>
          <w:rFonts w:ascii="Times New Roman" w:hAnsi="Times New Roman" w:cs="Times New Roman"/>
        </w:rPr>
        <w:t>依法须经批准的项目，经相关部门批准后</w:t>
      </w:r>
      <w:r>
        <w:rPr>
          <w:rFonts w:ascii="Times New Roman" w:hAnsi="Times New Roman" w:cs="Times New Roman" w:hint="eastAsia"/>
        </w:rPr>
        <w:t>方可开展经营活动）”</w:t>
      </w:r>
      <w:r>
        <w:rPr>
          <w:rFonts w:ascii="Times New Roman" w:hAnsi="Times New Roman" w:cs="Times New Roman"/>
        </w:rPr>
        <w:t>。</w:t>
      </w:r>
    </w:p>
    <w:p w14:paraId="7FDBFFE2"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经在中国证券投资基金业协会官方网站查询，截至本定向发行说明书签署日，该公示系统当中并无信息显示科发长泰属于私募投资基金或私募基金管理人。</w:t>
      </w:r>
    </w:p>
    <w:p w14:paraId="35F47877" w14:textId="77777777" w:rsidR="00DE1B44" w:rsidRDefault="00D40582">
      <w:pPr>
        <w:pStyle w:val="58"/>
        <w:spacing w:before="120"/>
        <w:ind w:firstLine="482"/>
        <w:rPr>
          <w:rFonts w:ascii="Times New Roman" w:hAnsi="Times New Roman"/>
        </w:rPr>
      </w:pPr>
      <w:r>
        <w:rPr>
          <w:rFonts w:ascii="Times New Roman" w:hAnsi="Times New Roman"/>
        </w:rPr>
        <w:t>3</w:t>
      </w:r>
      <w:r>
        <w:rPr>
          <w:rFonts w:ascii="Times New Roman" w:hAnsi="Times New Roman"/>
        </w:rPr>
        <w:t>、发行对象与本行的关联关系</w:t>
      </w:r>
    </w:p>
    <w:p w14:paraId="7EBE2E57"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本次发行对象中，</w:t>
      </w:r>
      <w:r>
        <w:rPr>
          <w:rFonts w:ascii="Times New Roman" w:hAnsi="Times New Roman" w:cs="Times New Roman" w:hint="eastAsia"/>
        </w:rPr>
        <w:t>中国人寿保险股份有限公司等</w:t>
      </w:r>
      <w:r>
        <w:rPr>
          <w:rFonts w:ascii="Times New Roman" w:hAnsi="Times New Roman" w:cs="Times New Roman"/>
        </w:rPr>
        <w:t>为本行原股东；除前述股东关系外，其他</w:t>
      </w:r>
      <w:r>
        <w:rPr>
          <w:rFonts w:ascii="Times New Roman" w:hAnsi="Times New Roman" w:cs="Times New Roman"/>
        </w:rPr>
        <w:t>3</w:t>
      </w:r>
      <w:r>
        <w:rPr>
          <w:rFonts w:ascii="Times New Roman" w:hAnsi="Times New Roman" w:cs="Times New Roman"/>
        </w:rPr>
        <w:t>名投资者为新增投资者，与本行均无关联关系。</w:t>
      </w:r>
    </w:p>
    <w:p w14:paraId="6104B9E3" w14:textId="77777777" w:rsidR="00DE1B44" w:rsidRDefault="00D40582">
      <w:pPr>
        <w:pStyle w:val="2f0"/>
        <w:spacing w:before="120"/>
        <w:rPr>
          <w:rFonts w:ascii="Times New Roman" w:hAnsi="Times New Roman"/>
        </w:rPr>
      </w:pPr>
      <w:bookmarkStart w:id="51" w:name="_Toc89016909"/>
      <w:bookmarkStart w:id="52" w:name="_Toc528264281"/>
      <w:r>
        <w:rPr>
          <w:rFonts w:ascii="Times New Roman" w:hAnsi="Times New Roman"/>
        </w:rPr>
        <w:t>三、发行价格及定价原则</w:t>
      </w:r>
      <w:bookmarkEnd w:id="51"/>
      <w:bookmarkEnd w:id="52"/>
    </w:p>
    <w:p w14:paraId="0D5C2417" w14:textId="77777777" w:rsidR="00DE1B44" w:rsidRDefault="00D40582">
      <w:pPr>
        <w:snapToGrid w:val="0"/>
        <w:spacing w:before="120"/>
        <w:ind w:firstLine="482"/>
        <w:rPr>
          <w:rFonts w:ascii="Times New Roman" w:hAnsi="Times New Roman" w:cs="Times New Roman"/>
          <w:b/>
        </w:rPr>
      </w:pPr>
      <w:r>
        <w:rPr>
          <w:rFonts w:ascii="Times New Roman" w:hAnsi="Times New Roman" w:cs="Times New Roman" w:hint="eastAsia"/>
          <w:b/>
        </w:rPr>
        <w:t>（一）定价原则</w:t>
      </w:r>
    </w:p>
    <w:p w14:paraId="22E14C0A"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本次股份增发定价基准日为</w:t>
      </w:r>
      <w:r>
        <w:rPr>
          <w:rFonts w:ascii="Times New Roman" w:hAnsi="Times New Roman" w:cs="Times New Roman" w:hint="eastAsia"/>
        </w:rPr>
        <w:t>2020</w:t>
      </w:r>
      <w:r>
        <w:rPr>
          <w:rFonts w:ascii="Times New Roman" w:hAnsi="Times New Roman" w:cs="Times New Roman" w:hint="eastAsia"/>
        </w:rPr>
        <w:t>年</w:t>
      </w:r>
      <w:r>
        <w:rPr>
          <w:rFonts w:ascii="Times New Roman" w:hAnsi="Times New Roman" w:cs="Times New Roman" w:hint="eastAsia"/>
        </w:rPr>
        <w:t>12</w:t>
      </w:r>
      <w:r>
        <w:rPr>
          <w:rFonts w:ascii="Times New Roman" w:hAnsi="Times New Roman" w:cs="Times New Roman" w:hint="eastAsia"/>
        </w:rPr>
        <w:t>月</w:t>
      </w:r>
      <w:r>
        <w:rPr>
          <w:rFonts w:ascii="Times New Roman" w:hAnsi="Times New Roman" w:cs="Times New Roman" w:hint="eastAsia"/>
        </w:rPr>
        <w:t>31</w:t>
      </w:r>
      <w:r>
        <w:rPr>
          <w:rFonts w:ascii="Times New Roman" w:hAnsi="Times New Roman" w:cs="Times New Roman" w:hint="eastAsia"/>
        </w:rPr>
        <w:t>日，本次股份增发价格在不低于发行人截至</w:t>
      </w:r>
      <w:r>
        <w:rPr>
          <w:rFonts w:ascii="Times New Roman" w:hAnsi="Times New Roman" w:cs="Times New Roman" w:hint="eastAsia"/>
        </w:rPr>
        <w:t>2020</w:t>
      </w:r>
      <w:r>
        <w:rPr>
          <w:rFonts w:ascii="Times New Roman" w:hAnsi="Times New Roman" w:cs="Times New Roman" w:hint="eastAsia"/>
        </w:rPr>
        <w:t>年</w:t>
      </w:r>
      <w:r>
        <w:rPr>
          <w:rFonts w:ascii="Times New Roman" w:hAnsi="Times New Roman" w:cs="Times New Roman" w:hint="eastAsia"/>
        </w:rPr>
        <w:t>12</w:t>
      </w:r>
      <w:r>
        <w:rPr>
          <w:rFonts w:ascii="Times New Roman" w:hAnsi="Times New Roman" w:cs="Times New Roman" w:hint="eastAsia"/>
        </w:rPr>
        <w:t>月</w:t>
      </w:r>
      <w:r>
        <w:rPr>
          <w:rFonts w:ascii="Times New Roman" w:hAnsi="Times New Roman" w:cs="Times New Roman" w:hint="eastAsia"/>
        </w:rPr>
        <w:t>31</w:t>
      </w:r>
      <w:r>
        <w:rPr>
          <w:rFonts w:ascii="Times New Roman" w:hAnsi="Times New Roman" w:cs="Times New Roman" w:hint="eastAsia"/>
        </w:rPr>
        <w:t>日的归属于普通股股东的每股净资产以及国有资产评估备案价格的前提下，由董事会根据股东大会的授权确定最终发行价格。若发行人在本次股份增</w:t>
      </w:r>
      <w:r>
        <w:rPr>
          <w:rFonts w:ascii="Times New Roman" w:hAnsi="Times New Roman" w:cs="Times New Roman" w:hint="eastAsia"/>
        </w:rPr>
        <w:lastRenderedPageBreak/>
        <w:t>发定价基准日后至工商变更登记期间已有经股东大会决议生效的派息、送股、配股、资本公积转增股本等除权、除息事项，则上述发行价格将做相应调整。</w:t>
      </w:r>
    </w:p>
    <w:p w14:paraId="382EF2A0" w14:textId="77777777" w:rsidR="00DE1B44" w:rsidRDefault="00D40582">
      <w:pPr>
        <w:snapToGrid w:val="0"/>
        <w:spacing w:before="120"/>
        <w:ind w:firstLine="482"/>
        <w:rPr>
          <w:rFonts w:ascii="Times New Roman" w:hAnsi="Times New Roman" w:cs="Times New Roman"/>
          <w:b/>
        </w:rPr>
      </w:pPr>
      <w:r>
        <w:rPr>
          <w:rFonts w:ascii="Times New Roman" w:hAnsi="Times New Roman" w:cs="Times New Roman" w:hint="eastAsia"/>
          <w:b/>
        </w:rPr>
        <w:t>（二）发行价格</w:t>
      </w:r>
    </w:p>
    <w:p w14:paraId="7C1EB98A"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本行已选聘安永华明会计师事务所（特殊普通合伙）出具《广发银行股份有限公司</w:t>
      </w:r>
      <w:r>
        <w:rPr>
          <w:rFonts w:ascii="Times New Roman" w:hAnsi="Times New Roman" w:cs="Times New Roman"/>
        </w:rPr>
        <w:t>2020</w:t>
      </w:r>
      <w:r>
        <w:rPr>
          <w:rFonts w:ascii="Times New Roman" w:hAnsi="Times New Roman" w:cs="Times New Roman"/>
        </w:rPr>
        <w:t>年度审计报告》，截至</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日，本行经审计归属于普通股股东的每股净资产为</w:t>
      </w:r>
      <w:r>
        <w:rPr>
          <w:rFonts w:ascii="Times New Roman" w:hAnsi="Times New Roman" w:cs="Times New Roman"/>
        </w:rPr>
        <w:t>8.80</w:t>
      </w:r>
      <w:r>
        <w:rPr>
          <w:rFonts w:ascii="Times New Roman" w:hAnsi="Times New Roman" w:cs="Times New Roman"/>
        </w:rPr>
        <w:t>元</w:t>
      </w:r>
      <w:r>
        <w:rPr>
          <w:rFonts w:ascii="Times New Roman" w:hAnsi="Times New Roman" w:cs="Times New Roman"/>
        </w:rPr>
        <w:t>/</w:t>
      </w:r>
      <w:r>
        <w:rPr>
          <w:rFonts w:ascii="Times New Roman" w:hAnsi="Times New Roman" w:cs="Times New Roman"/>
        </w:rPr>
        <w:t>股。</w:t>
      </w:r>
    </w:p>
    <w:p w14:paraId="41C0E608"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根据中国人寿保险股份有限公司对本行聘请第三方资产评估机构并开展相关工作的授权，本行已选聘北京天健兴业资产评估有限公司出具《广发银行股份有限公司所有者权益价值资产评估报告》（天兴评报字〔</w:t>
      </w:r>
      <w:r>
        <w:rPr>
          <w:rFonts w:ascii="Times New Roman" w:hAnsi="Times New Roman" w:cs="Times New Roman"/>
        </w:rPr>
        <w:t>2021</w:t>
      </w:r>
      <w:r>
        <w:rPr>
          <w:rFonts w:ascii="Times New Roman" w:hAnsi="Times New Roman" w:cs="Times New Roman"/>
        </w:rPr>
        <w:t>〕第</w:t>
      </w:r>
      <w:r>
        <w:rPr>
          <w:rFonts w:ascii="Times New Roman" w:hAnsi="Times New Roman" w:cs="Times New Roman"/>
        </w:rPr>
        <w:t>0257</w:t>
      </w:r>
      <w:r>
        <w:rPr>
          <w:rFonts w:ascii="Times New Roman" w:hAnsi="Times New Roman" w:cs="Times New Roman"/>
        </w:rPr>
        <w:t>号），截至</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proofErr w:type="gramStart"/>
      <w:r>
        <w:rPr>
          <w:rFonts w:ascii="Times New Roman" w:hAnsi="Times New Roman" w:cs="Times New Roman"/>
        </w:rPr>
        <w:t>经收益法</w:t>
      </w:r>
      <w:proofErr w:type="gramEnd"/>
      <w:r>
        <w:rPr>
          <w:rFonts w:ascii="Times New Roman" w:hAnsi="Times New Roman" w:cs="Times New Roman"/>
        </w:rPr>
        <w:t>评估，本行所有者权益评估值为</w:t>
      </w:r>
      <w:r>
        <w:rPr>
          <w:rFonts w:ascii="Times New Roman" w:hAnsi="Times New Roman" w:cs="Times New Roman"/>
        </w:rPr>
        <w:t>21,851,200.00</w:t>
      </w:r>
      <w:r>
        <w:rPr>
          <w:rFonts w:ascii="Times New Roman" w:hAnsi="Times New Roman" w:cs="Times New Roman"/>
        </w:rPr>
        <w:t>万元（含永续债价值），其中普通股股东全部权益价值为</w:t>
      </w:r>
      <w:r>
        <w:rPr>
          <w:rFonts w:ascii="Times New Roman" w:hAnsi="Times New Roman" w:cs="Times New Roman"/>
        </w:rPr>
        <w:t>17,351,200.00</w:t>
      </w:r>
      <w:r>
        <w:rPr>
          <w:rFonts w:ascii="Times New Roman" w:hAnsi="Times New Roman" w:cs="Times New Roman"/>
        </w:rPr>
        <w:t>万元。按总股数</w:t>
      </w:r>
      <w:r>
        <w:rPr>
          <w:rFonts w:ascii="Times New Roman" w:hAnsi="Times New Roman" w:cs="Times New Roman"/>
        </w:rPr>
        <w:t>196.87</w:t>
      </w:r>
      <w:r>
        <w:rPr>
          <w:rFonts w:ascii="Times New Roman" w:hAnsi="Times New Roman" w:cs="Times New Roman"/>
        </w:rPr>
        <w:t>亿股计算，经评估归属于普通股股东的每股权益价值为</w:t>
      </w:r>
      <w:r>
        <w:rPr>
          <w:rFonts w:ascii="Times New Roman" w:hAnsi="Times New Roman" w:cs="Times New Roman"/>
        </w:rPr>
        <w:t>8.8134</w:t>
      </w:r>
      <w:r>
        <w:rPr>
          <w:rFonts w:ascii="Times New Roman" w:hAnsi="Times New Roman" w:cs="Times New Roman"/>
        </w:rPr>
        <w:t>元</w:t>
      </w:r>
      <w:r>
        <w:rPr>
          <w:rFonts w:ascii="Times New Roman" w:hAnsi="Times New Roman" w:cs="Times New Roman"/>
        </w:rPr>
        <w:t>/</w:t>
      </w:r>
      <w:r>
        <w:rPr>
          <w:rFonts w:ascii="Times New Roman" w:hAnsi="Times New Roman" w:cs="Times New Roman"/>
        </w:rPr>
        <w:t>股。前述资产评估结果</w:t>
      </w:r>
      <w:r>
        <w:rPr>
          <w:rFonts w:ascii="Times New Roman" w:hAnsi="Times New Roman" w:cs="Times New Roman" w:hint="eastAsia"/>
        </w:rPr>
        <w:t>已于</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1</w:t>
      </w:r>
      <w:r>
        <w:rPr>
          <w:rFonts w:ascii="Times New Roman" w:hAnsi="Times New Roman" w:cs="Times New Roman"/>
        </w:rPr>
        <w:t>1</w:t>
      </w:r>
      <w:r>
        <w:rPr>
          <w:rFonts w:ascii="Times New Roman" w:hAnsi="Times New Roman" w:cs="Times New Roman" w:hint="eastAsia"/>
        </w:rPr>
        <w:t>日经</w:t>
      </w:r>
      <w:r>
        <w:rPr>
          <w:rFonts w:ascii="Times New Roman" w:hAnsi="Times New Roman" w:cs="Times New Roman"/>
        </w:rPr>
        <w:t>财政部备</w:t>
      </w:r>
      <w:r>
        <w:rPr>
          <w:rFonts w:ascii="Times New Roman" w:hAnsi="Times New Roman" w:cs="Times New Roman" w:hint="eastAsia"/>
        </w:rPr>
        <w:t>案。</w:t>
      </w:r>
    </w:p>
    <w:p w14:paraId="2045A756"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日，本行</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年度股东大会审议并通过《关于广发银行</w:t>
      </w:r>
      <w:r>
        <w:rPr>
          <w:rFonts w:ascii="Times New Roman" w:hAnsi="Times New Roman" w:cs="Times New Roman"/>
        </w:rPr>
        <w:t>2020</w:t>
      </w:r>
      <w:r>
        <w:rPr>
          <w:rFonts w:ascii="Times New Roman" w:hAnsi="Times New Roman" w:cs="Times New Roman"/>
        </w:rPr>
        <w:t>年度利润分配预案的议案》</w:t>
      </w:r>
      <w:r>
        <w:rPr>
          <w:rFonts w:ascii="Times New Roman" w:hAnsi="Times New Roman" w:cs="Times New Roman" w:hint="eastAsia"/>
        </w:rPr>
        <w:t>，向截至</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日（以下简称</w:t>
      </w:r>
      <w:r>
        <w:rPr>
          <w:rFonts w:ascii="Times New Roman" w:hAnsi="Times New Roman" w:cs="Times New Roman" w:hint="eastAsia"/>
        </w:rPr>
        <w:t>“</w:t>
      </w:r>
      <w:r>
        <w:rPr>
          <w:rFonts w:ascii="Times New Roman" w:hAnsi="Times New Roman" w:cs="Times New Roman"/>
        </w:rPr>
        <w:t>分红基准日</w:t>
      </w:r>
      <w:r>
        <w:rPr>
          <w:rFonts w:ascii="Times New Roman" w:hAnsi="Times New Roman" w:cs="Times New Roman" w:hint="eastAsia"/>
        </w:rPr>
        <w:t>”</w:t>
      </w:r>
      <w:r>
        <w:rPr>
          <w:rFonts w:ascii="Times New Roman" w:hAnsi="Times New Roman" w:cs="Times New Roman"/>
        </w:rPr>
        <w:t>）本行股权登记部门营业时间结束时（即下午</w:t>
      </w:r>
      <w:r>
        <w:rPr>
          <w:rFonts w:ascii="Times New Roman" w:hAnsi="Times New Roman" w:cs="Times New Roman"/>
        </w:rPr>
        <w:t>17:30</w:t>
      </w:r>
      <w:r>
        <w:rPr>
          <w:rFonts w:ascii="Times New Roman" w:hAnsi="Times New Roman" w:cs="Times New Roman"/>
        </w:rPr>
        <w:t>）登记在册的本行股东，</w:t>
      </w:r>
      <w:r>
        <w:rPr>
          <w:rFonts w:ascii="Times New Roman" w:hAnsi="Times New Roman" w:cs="Times New Roman" w:hint="eastAsia"/>
        </w:rPr>
        <w:t>按每股</w:t>
      </w:r>
      <w:r>
        <w:rPr>
          <w:rFonts w:ascii="Times New Roman" w:hAnsi="Times New Roman" w:cs="Times New Roman"/>
        </w:rPr>
        <w:t>0.077</w:t>
      </w:r>
      <w:r>
        <w:rPr>
          <w:rFonts w:ascii="Times New Roman" w:hAnsi="Times New Roman" w:cs="Times New Roman"/>
        </w:rPr>
        <w:t>元（含税）派发现金股利</w:t>
      </w:r>
      <w:r>
        <w:rPr>
          <w:rFonts w:ascii="Times New Roman" w:hAnsi="Times New Roman" w:cs="Times New Roman" w:hint="eastAsia"/>
        </w:rPr>
        <w:t>。将上述拟派发的现金股利扣除后，归属于普通股股东的每股权益价值为</w:t>
      </w:r>
      <w:r>
        <w:rPr>
          <w:rFonts w:ascii="Times New Roman" w:hAnsi="Times New Roman" w:cs="Times New Roman"/>
        </w:rPr>
        <w:t>8.7364</w:t>
      </w:r>
      <w:r>
        <w:rPr>
          <w:rFonts w:ascii="Times New Roman" w:hAnsi="Times New Roman" w:cs="Times New Roman"/>
        </w:rPr>
        <w:t>元</w:t>
      </w:r>
      <w:r>
        <w:rPr>
          <w:rFonts w:ascii="Times New Roman" w:hAnsi="Times New Roman" w:cs="Times New Roman"/>
        </w:rPr>
        <w:t>/</w:t>
      </w:r>
      <w:r>
        <w:rPr>
          <w:rFonts w:ascii="Times New Roman" w:hAnsi="Times New Roman" w:cs="Times New Roman"/>
        </w:rPr>
        <w:t>股</w:t>
      </w:r>
      <w:r>
        <w:rPr>
          <w:rFonts w:ascii="Times New Roman" w:hAnsi="Times New Roman" w:cs="Times New Roman" w:hint="eastAsia"/>
        </w:rPr>
        <w:t>。上述资产评估结果及发行价格均已获财政部认可。</w:t>
      </w:r>
    </w:p>
    <w:p w14:paraId="2B314D55" w14:textId="77777777" w:rsidR="00DE1B44" w:rsidRDefault="00D40582">
      <w:pPr>
        <w:pStyle w:val="2f0"/>
        <w:spacing w:before="120"/>
        <w:rPr>
          <w:rFonts w:ascii="Times New Roman" w:hAnsi="Times New Roman"/>
        </w:rPr>
      </w:pPr>
      <w:bookmarkStart w:id="53" w:name="_Toc89016910"/>
      <w:bookmarkStart w:id="54" w:name="_Toc528264282"/>
      <w:r>
        <w:rPr>
          <w:rFonts w:ascii="Times New Roman" w:hAnsi="Times New Roman"/>
        </w:rPr>
        <w:t>四、发行股份数量</w:t>
      </w:r>
      <w:r>
        <w:rPr>
          <w:rFonts w:ascii="Times New Roman" w:hAnsi="Times New Roman" w:hint="eastAsia"/>
        </w:rPr>
        <w:t>上限</w:t>
      </w:r>
      <w:bookmarkEnd w:id="53"/>
      <w:bookmarkEnd w:id="54"/>
    </w:p>
    <w:p w14:paraId="1D708D79"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本次股份增发募集资金合计约</w:t>
      </w:r>
      <w:r>
        <w:rPr>
          <w:rFonts w:ascii="Times New Roman" w:hAnsi="Times New Roman" w:cs="Times New Roman"/>
        </w:rPr>
        <w:t>183.70</w:t>
      </w:r>
      <w:r>
        <w:rPr>
          <w:rFonts w:ascii="Times New Roman" w:hAnsi="Times New Roman" w:cs="Times New Roman"/>
        </w:rPr>
        <w:t>亿元，</w:t>
      </w:r>
      <w:r>
        <w:rPr>
          <w:rFonts w:ascii="Times New Roman" w:hAnsi="Times New Roman" w:cs="Times New Roman" w:hint="eastAsia"/>
        </w:rPr>
        <w:t>对应发行股数不超过</w:t>
      </w:r>
      <w:r>
        <w:rPr>
          <w:rFonts w:ascii="Times New Roman" w:hAnsi="Times New Roman" w:cs="Times New Roman"/>
        </w:rPr>
        <w:t>2,102,664,439</w:t>
      </w:r>
      <w:r>
        <w:rPr>
          <w:rFonts w:ascii="Times New Roman" w:hAnsi="Times New Roman" w:cs="Times New Roman"/>
        </w:rPr>
        <w:t>股</w:t>
      </w:r>
      <w:r>
        <w:rPr>
          <w:rFonts w:ascii="Times New Roman" w:hAnsi="Times New Roman" w:cs="Times New Roman" w:hint="eastAsia"/>
        </w:rPr>
        <w:t>，约占增发后本行总股本的</w:t>
      </w:r>
      <w:r>
        <w:rPr>
          <w:rFonts w:ascii="Times New Roman" w:hAnsi="Times New Roman" w:cs="Times New Roman"/>
        </w:rPr>
        <w:t>9.65%</w:t>
      </w:r>
      <w:r>
        <w:rPr>
          <w:rFonts w:ascii="Times New Roman" w:hAnsi="Times New Roman" w:cs="Times New Roman" w:hint="eastAsia"/>
        </w:rPr>
        <w:t>，实际发行数量以最终监管机构批复为准。</w:t>
      </w:r>
    </w:p>
    <w:p w14:paraId="01F01B66" w14:textId="77777777" w:rsidR="00DE1B44" w:rsidRDefault="00D40582">
      <w:pPr>
        <w:pStyle w:val="2f0"/>
        <w:spacing w:before="120"/>
        <w:rPr>
          <w:rFonts w:ascii="Times New Roman" w:hAnsi="Times New Roman"/>
        </w:rPr>
      </w:pPr>
      <w:bookmarkStart w:id="55" w:name="_Toc89016911"/>
      <w:r>
        <w:rPr>
          <w:rFonts w:ascii="Times New Roman" w:hAnsi="Times New Roman" w:hint="eastAsia"/>
        </w:rPr>
        <w:t>五</w:t>
      </w:r>
      <w:r>
        <w:rPr>
          <w:rFonts w:ascii="Times New Roman" w:hAnsi="Times New Roman"/>
        </w:rPr>
        <w:t>、限售安排及自愿锁定承诺</w:t>
      </w:r>
      <w:bookmarkEnd w:id="55"/>
    </w:p>
    <w:p w14:paraId="7357D39F"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根据中国银保监会的相关规定，商业银行的主要股东</w:t>
      </w:r>
      <w:r>
        <w:rPr>
          <w:rFonts w:ascii="Times New Roman" w:hAnsi="Times New Roman" w:hint="eastAsia"/>
          <w:bCs/>
        </w:rPr>
        <w:t>（持有或控制商业银行</w:t>
      </w:r>
      <w:r>
        <w:rPr>
          <w:rFonts w:ascii="Times New Roman" w:hAnsi="Times New Roman" w:hint="eastAsia"/>
          <w:bCs/>
        </w:rPr>
        <w:t>5%</w:t>
      </w:r>
      <w:r>
        <w:rPr>
          <w:rFonts w:ascii="Times New Roman" w:hAnsi="Times New Roman" w:hint="eastAsia"/>
          <w:bCs/>
        </w:rPr>
        <w:t>以上股份或表决权，或持有资本总额或股份总额不足</w:t>
      </w:r>
      <w:r>
        <w:rPr>
          <w:rFonts w:ascii="Times New Roman" w:hAnsi="Times New Roman" w:hint="eastAsia"/>
          <w:bCs/>
        </w:rPr>
        <w:t>5%</w:t>
      </w:r>
      <w:r>
        <w:rPr>
          <w:rFonts w:ascii="Times New Roman" w:hAnsi="Times New Roman" w:hint="eastAsia"/>
          <w:bCs/>
        </w:rPr>
        <w:t>但对商业银行经营管理有重大影响的股东）</w:t>
      </w:r>
      <w:r>
        <w:rPr>
          <w:rFonts w:ascii="Times New Roman" w:hAnsi="Times New Roman" w:cs="Times New Roman" w:hint="eastAsia"/>
        </w:rPr>
        <w:t>自取得股权之日起五年内不得转让。参与本次发行的原股东中，中国人寿保险股份有限公司、江西省交通投资集团有限责任公司为主要股东，其已就认购的本次发行的股票将自其取得股权之日起五年内不转让等事宜</w:t>
      </w:r>
      <w:proofErr w:type="gramStart"/>
      <w:r>
        <w:rPr>
          <w:rFonts w:ascii="Times New Roman" w:hAnsi="Times New Roman" w:cs="Times New Roman" w:hint="eastAsia"/>
        </w:rPr>
        <w:t>作出</w:t>
      </w:r>
      <w:proofErr w:type="gramEnd"/>
      <w:r>
        <w:rPr>
          <w:rFonts w:ascii="Times New Roman" w:hAnsi="Times New Roman" w:cs="Times New Roman" w:hint="eastAsia"/>
        </w:rPr>
        <w:t>承诺。</w:t>
      </w:r>
    </w:p>
    <w:p w14:paraId="0B5E641E"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lastRenderedPageBreak/>
        <w:t>本次增资完成后，若有意向投资方成为本行的主要股东，则其认购的本次发行的股票将自其取得股权之日起五年内不转让。</w:t>
      </w:r>
    </w:p>
    <w:p w14:paraId="3F3385ED" w14:textId="77777777" w:rsidR="00DE1B44" w:rsidRDefault="00D40582">
      <w:pPr>
        <w:pStyle w:val="2f0"/>
        <w:spacing w:before="120"/>
        <w:rPr>
          <w:rFonts w:ascii="Times New Roman" w:hAnsi="Times New Roman"/>
        </w:rPr>
      </w:pPr>
      <w:bookmarkStart w:id="56" w:name="_Toc89016912"/>
      <w:r>
        <w:rPr>
          <w:rFonts w:ascii="Times New Roman" w:hAnsi="Times New Roman" w:hint="eastAsia"/>
        </w:rPr>
        <w:t>六</w:t>
      </w:r>
      <w:r>
        <w:rPr>
          <w:rFonts w:ascii="Times New Roman" w:hAnsi="Times New Roman"/>
        </w:rPr>
        <w:t>、报告期内募集资金使用情况</w:t>
      </w:r>
      <w:bookmarkEnd w:id="56"/>
    </w:p>
    <w:p w14:paraId="36A5A353"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2018</w:t>
      </w:r>
      <w:r>
        <w:rPr>
          <w:rFonts w:ascii="Times New Roman" w:hAnsi="Times New Roman" w:cs="Times New Roman" w:hint="eastAsia"/>
        </w:rPr>
        <w:t>年度，本行发行实施定向增发，募集资金已于当期全部用于补充本行核心一级资本。报告期内，</w:t>
      </w:r>
      <w:r>
        <w:rPr>
          <w:rFonts w:ascii="Times New Roman" w:hAnsi="Times New Roman" w:cs="Times New Roman"/>
        </w:rPr>
        <w:t>本行不存在通过发行股份募集资金的情形。因此，本行报告期内不存在违规使用募集资金的情形</w:t>
      </w:r>
      <w:r>
        <w:rPr>
          <w:rFonts w:ascii="Times New Roman" w:hAnsi="Times New Roman" w:cs="Times New Roman" w:hint="eastAsia"/>
        </w:rPr>
        <w:t>。</w:t>
      </w:r>
    </w:p>
    <w:p w14:paraId="0B7772E9" w14:textId="77777777" w:rsidR="00DE1B44" w:rsidRDefault="00D40582">
      <w:pPr>
        <w:pStyle w:val="2f0"/>
        <w:spacing w:before="120"/>
        <w:rPr>
          <w:rFonts w:ascii="Times New Roman" w:hAnsi="Times New Roman"/>
        </w:rPr>
      </w:pPr>
      <w:bookmarkStart w:id="57" w:name="_Toc89016913"/>
      <w:bookmarkStart w:id="58" w:name="_Toc528264283"/>
      <w:r>
        <w:rPr>
          <w:rFonts w:ascii="Times New Roman" w:hAnsi="Times New Roman" w:hint="eastAsia"/>
        </w:rPr>
        <w:t>七</w:t>
      </w:r>
      <w:r>
        <w:rPr>
          <w:rFonts w:ascii="Times New Roman" w:hAnsi="Times New Roman"/>
        </w:rPr>
        <w:t>、本次募集资金用途</w:t>
      </w:r>
      <w:bookmarkEnd w:id="57"/>
      <w:bookmarkEnd w:id="58"/>
    </w:p>
    <w:p w14:paraId="007FFA43" w14:textId="77777777" w:rsidR="00DE1B44" w:rsidRDefault="00D40582">
      <w:pPr>
        <w:pStyle w:val="4a"/>
        <w:spacing w:before="120"/>
        <w:rPr>
          <w:rFonts w:ascii="Times New Roman" w:hAnsi="Times New Roman"/>
        </w:rPr>
      </w:pPr>
      <w:r>
        <w:rPr>
          <w:rFonts w:ascii="Times New Roman" w:hAnsi="Times New Roman"/>
        </w:rPr>
        <w:t>（一）本次募集资金用途</w:t>
      </w:r>
    </w:p>
    <w:p w14:paraId="48B096DC"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本次股份增发拟募集资金总额</w:t>
      </w:r>
      <w:r>
        <w:rPr>
          <w:rFonts w:ascii="Times New Roman" w:hAnsi="Times New Roman" w:cs="Times New Roman" w:hint="eastAsia"/>
        </w:rPr>
        <w:t>1</w:t>
      </w:r>
      <w:r>
        <w:rPr>
          <w:rFonts w:ascii="Times New Roman" w:hAnsi="Times New Roman" w:cs="Times New Roman"/>
        </w:rPr>
        <w:t>83.70</w:t>
      </w:r>
      <w:r>
        <w:rPr>
          <w:rFonts w:ascii="Times New Roman" w:hAnsi="Times New Roman" w:cs="Times New Roman"/>
        </w:rPr>
        <w:t>亿元。</w:t>
      </w:r>
      <w:r>
        <w:rPr>
          <w:rFonts w:ascii="Times New Roman" w:hAnsi="Times New Roman" w:cs="Times New Roman" w:hint="eastAsia"/>
        </w:rPr>
        <w:t>本次股份增发募集的资金扣除发行费用后，将全部用于补充本行核心一级资本，提高资本充足率，支持本行业务发展。</w:t>
      </w:r>
    </w:p>
    <w:p w14:paraId="39984A71" w14:textId="77777777" w:rsidR="00DE1B44" w:rsidRDefault="00D40582">
      <w:pPr>
        <w:pStyle w:val="4a"/>
        <w:spacing w:before="120"/>
        <w:rPr>
          <w:rFonts w:ascii="Times New Roman" w:hAnsi="Times New Roman"/>
        </w:rPr>
      </w:pPr>
      <w:r>
        <w:rPr>
          <w:rFonts w:ascii="Times New Roman" w:hAnsi="Times New Roman"/>
        </w:rPr>
        <w:t>（二）本次募集资金的必要性及合理性</w:t>
      </w:r>
    </w:p>
    <w:p w14:paraId="226CB229" w14:textId="77777777" w:rsidR="00DE1B44" w:rsidRDefault="00D40582">
      <w:pPr>
        <w:pStyle w:val="58"/>
        <w:spacing w:before="120"/>
        <w:ind w:firstLine="482"/>
        <w:rPr>
          <w:rFonts w:ascii="Times New Roman" w:hAnsi="Times New Roman"/>
        </w:rPr>
      </w:pPr>
      <w:r>
        <w:rPr>
          <w:rFonts w:ascii="Times New Roman" w:hAnsi="Times New Roman"/>
        </w:rPr>
        <w:t>1</w:t>
      </w:r>
      <w:r>
        <w:rPr>
          <w:rFonts w:ascii="Times New Roman" w:hAnsi="Times New Roman"/>
        </w:rPr>
        <w:t>、</w:t>
      </w:r>
      <w:r>
        <w:rPr>
          <w:rFonts w:ascii="Times New Roman" w:hAnsi="Times New Roman" w:hint="eastAsia"/>
        </w:rPr>
        <w:t>持续满足资本监管要求</w:t>
      </w:r>
    </w:p>
    <w:p w14:paraId="3EFB91F5"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2013</w:t>
      </w:r>
      <w:r>
        <w:rPr>
          <w:rFonts w:ascii="Times New Roman" w:hAnsi="Times New Roman" w:cs="Times New Roman"/>
        </w:rPr>
        <w:t>年，《商业银行资本管理办法（试行）》正式发布实施，对各类资本的合格标准和计量要求进行了更为严格审慎的规定，进一步加强了对商业银行的资本监管要求。自</w:t>
      </w:r>
      <w:r>
        <w:rPr>
          <w:rFonts w:ascii="Times New Roman" w:hAnsi="Times New Roman" w:cs="Times New Roman"/>
        </w:rPr>
        <w:t>2016</w:t>
      </w:r>
      <w:r>
        <w:rPr>
          <w:rFonts w:ascii="Times New Roman" w:hAnsi="Times New Roman" w:cs="Times New Roman"/>
        </w:rPr>
        <w:t>年起，中国人民银行实施</w:t>
      </w:r>
      <w:r>
        <w:rPr>
          <w:rFonts w:ascii="Times New Roman" w:hAnsi="Times New Roman" w:cs="Times New Roman" w:hint="eastAsia"/>
        </w:rPr>
        <w:t>“</w:t>
      </w:r>
      <w:r>
        <w:rPr>
          <w:rFonts w:ascii="Times New Roman" w:hAnsi="Times New Roman" w:cs="Times New Roman"/>
        </w:rPr>
        <w:t>宏观审慎评估体系</w:t>
      </w:r>
      <w:r>
        <w:rPr>
          <w:rFonts w:ascii="Times New Roman" w:hAnsi="Times New Roman" w:cs="Times New Roman" w:hint="eastAsia"/>
        </w:rPr>
        <w:t>”</w:t>
      </w:r>
      <w:r>
        <w:rPr>
          <w:rFonts w:ascii="Times New Roman" w:hAnsi="Times New Roman" w:cs="Times New Roman"/>
        </w:rPr>
        <w:t>，强调宏观审慎资本充足率是评估体系的核心，资本水平是金融机构增强损失吸收能力的重要途径，资产扩张必须以资本约束为前提。</w:t>
      </w:r>
      <w:r>
        <w:rPr>
          <w:rFonts w:ascii="Times New Roman" w:hAnsi="Times New Roman" w:cs="Times New Roman"/>
        </w:rPr>
        <w:t>2017</w:t>
      </w:r>
      <w:r>
        <w:rPr>
          <w:rFonts w:ascii="Times New Roman" w:hAnsi="Times New Roman" w:cs="Times New Roman"/>
        </w:rPr>
        <w:t>年，巴塞尔协议</w:t>
      </w:r>
      <w:proofErr w:type="gramStart"/>
      <w:r>
        <w:rPr>
          <w:rFonts w:ascii="Times New Roman" w:hAnsi="Times New Roman" w:cs="Times New Roman"/>
        </w:rPr>
        <w:t>Ⅲ</w:t>
      </w:r>
      <w:r>
        <w:rPr>
          <w:rFonts w:ascii="Times New Roman" w:hAnsi="Times New Roman" w:cs="Times New Roman"/>
        </w:rPr>
        <w:t>最终版</w:t>
      </w:r>
      <w:proofErr w:type="gramEnd"/>
      <w:r>
        <w:rPr>
          <w:rFonts w:ascii="Times New Roman" w:hAnsi="Times New Roman" w:cs="Times New Roman"/>
        </w:rPr>
        <w:t>正式发布，我国推动资本监管规制与国际的接轨，加快修订《商业银行资本管理办法（试行）》。</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10</w:t>
      </w:r>
      <w:r>
        <w:rPr>
          <w:rFonts w:ascii="Times New Roman" w:hAnsi="Times New Roman" w:cs="Times New Roman"/>
        </w:rPr>
        <w:t>月</w:t>
      </w:r>
      <w:r>
        <w:rPr>
          <w:rFonts w:ascii="Times New Roman" w:hAnsi="Times New Roman" w:cs="Times New Roman"/>
        </w:rPr>
        <w:t>15</w:t>
      </w:r>
      <w:r>
        <w:rPr>
          <w:rFonts w:ascii="Times New Roman" w:hAnsi="Times New Roman" w:cs="Times New Roman"/>
        </w:rPr>
        <w:t>日，我国首批系统重要性银行名单和《系统重要性银行附件监</w:t>
      </w:r>
      <w:r>
        <w:rPr>
          <w:rFonts w:ascii="Times New Roman" w:hAnsi="Times New Roman" w:cs="Times New Roman" w:hint="eastAsia"/>
        </w:rPr>
        <w:t>管规定（试行）》正式发布，本行在系统重要性银行中属于第一组，附加资本要求为</w:t>
      </w:r>
      <w:r>
        <w:rPr>
          <w:rFonts w:ascii="Times New Roman" w:hAnsi="Times New Roman" w:cs="Times New Roman"/>
        </w:rPr>
        <w:t>0.25%</w:t>
      </w:r>
      <w:r>
        <w:rPr>
          <w:rFonts w:ascii="Times New Roman" w:hAnsi="Times New Roman" w:cs="Times New Roman"/>
        </w:rPr>
        <w:t>，对本行资本充足水平提出更高要求。因此，建立完善长效的资本补充机制和资本约束机制，持续满足资本充足率监管要求，对本行持续发展有重要的战略意义。</w:t>
      </w:r>
    </w:p>
    <w:p w14:paraId="541B2D48"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根据监管要求，本行在经营管理中持续强化资本约束，通过利润留存、定向增发、发行资本债券等方式大力拓展资本补充。由于本行暂未上市，资本补充渠道相对有限，</w:t>
      </w:r>
      <w:r>
        <w:rPr>
          <w:rFonts w:ascii="Times New Roman" w:hAnsi="Times New Roman" w:cs="Times New Roman"/>
        </w:rPr>
        <w:t>2017</w:t>
      </w:r>
      <w:r>
        <w:rPr>
          <w:rFonts w:ascii="Times New Roman" w:hAnsi="Times New Roman" w:cs="Times New Roman"/>
        </w:rPr>
        <w:t>年至</w:t>
      </w:r>
      <w:r>
        <w:rPr>
          <w:rFonts w:ascii="Times New Roman" w:hAnsi="Times New Roman" w:cs="Times New Roman"/>
        </w:rPr>
        <w:t>2021</w:t>
      </w:r>
      <w:r>
        <w:rPr>
          <w:rFonts w:ascii="Times New Roman" w:hAnsi="Times New Roman" w:cs="Times New Roman"/>
        </w:rPr>
        <w:t>年上半年，本行主要通过净利润留存和股份增发分别补充核心一级资本</w:t>
      </w:r>
      <w:r>
        <w:rPr>
          <w:rFonts w:ascii="Times New Roman" w:hAnsi="Times New Roman" w:cs="Times New Roman"/>
        </w:rPr>
        <w:lastRenderedPageBreak/>
        <w:t>573</w:t>
      </w:r>
      <w:r>
        <w:rPr>
          <w:rFonts w:ascii="Times New Roman" w:hAnsi="Times New Roman" w:cs="Times New Roman"/>
        </w:rPr>
        <w:t>亿元和</w:t>
      </w:r>
      <w:r>
        <w:rPr>
          <w:rFonts w:ascii="Times New Roman" w:hAnsi="Times New Roman" w:cs="Times New Roman"/>
        </w:rPr>
        <w:t>297.8</w:t>
      </w:r>
      <w:r>
        <w:rPr>
          <w:rFonts w:ascii="Times New Roman" w:hAnsi="Times New Roman" w:cs="Times New Roman"/>
        </w:rPr>
        <w:t>亿元。截至</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月末，本行核心一级资本充足率、一级资本充足率和资本充足率分别为</w:t>
      </w:r>
      <w:r>
        <w:rPr>
          <w:rFonts w:ascii="Times New Roman" w:hAnsi="Times New Roman" w:cs="Times New Roman"/>
        </w:rPr>
        <w:t>7.74%</w:t>
      </w:r>
      <w:r>
        <w:rPr>
          <w:rFonts w:ascii="Times New Roman" w:hAnsi="Times New Roman" w:cs="Times New Roman"/>
        </w:rPr>
        <w:t>、</w:t>
      </w:r>
      <w:r>
        <w:rPr>
          <w:rFonts w:ascii="Times New Roman" w:hAnsi="Times New Roman" w:cs="Times New Roman"/>
        </w:rPr>
        <w:t>9.66%</w:t>
      </w:r>
      <w:r>
        <w:rPr>
          <w:rFonts w:ascii="Times New Roman" w:hAnsi="Times New Roman" w:cs="Times New Roman"/>
        </w:rPr>
        <w:t>和</w:t>
      </w:r>
      <w:r>
        <w:rPr>
          <w:rFonts w:ascii="Times New Roman" w:hAnsi="Times New Roman" w:cs="Times New Roman"/>
        </w:rPr>
        <w:t>12.28%</w:t>
      </w:r>
      <w:r>
        <w:rPr>
          <w:rFonts w:ascii="Times New Roman" w:hAnsi="Times New Roman" w:cs="Times New Roman"/>
        </w:rPr>
        <w:t>，处于较低水平。</w:t>
      </w:r>
    </w:p>
    <w:p w14:paraId="31A515B9"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通过本次增资，本行将有效提高资本充足率水平，进一步夯实资本基础，为更好地满足资本监管要求预留空间，进一步增强风险抵御能力。</w:t>
      </w:r>
    </w:p>
    <w:p w14:paraId="253F29A2" w14:textId="77777777" w:rsidR="00DE1B44" w:rsidRDefault="00D40582">
      <w:pPr>
        <w:pStyle w:val="58"/>
        <w:spacing w:before="120"/>
        <w:ind w:firstLine="482"/>
        <w:rPr>
          <w:rFonts w:ascii="Times New Roman" w:hAnsi="Times New Roman"/>
        </w:rPr>
      </w:pPr>
      <w:r>
        <w:rPr>
          <w:rFonts w:ascii="Times New Roman" w:hAnsi="Times New Roman"/>
        </w:rPr>
        <w:t>2</w:t>
      </w:r>
      <w:r>
        <w:rPr>
          <w:rFonts w:ascii="Times New Roman" w:hAnsi="Times New Roman"/>
        </w:rPr>
        <w:t>、</w:t>
      </w:r>
      <w:r>
        <w:rPr>
          <w:rFonts w:ascii="Times New Roman" w:hAnsi="Times New Roman" w:hint="eastAsia"/>
        </w:rPr>
        <w:t>提升服务实体经济能力</w:t>
      </w:r>
    </w:p>
    <w:p w14:paraId="032CF403"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本行认真贯彻落实党中央、国务院关于增强金融服务实体经济能力的决策部署，坚持高质量发展，积极支持实体经济发展，持续加强对国家重点区域、重点领域和重点行业的各项服务，业务规模稳步增长。</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月末，本行总资产较年初增长</w:t>
      </w:r>
      <w:r>
        <w:rPr>
          <w:rFonts w:ascii="Times New Roman" w:hAnsi="Times New Roman" w:cs="Times New Roman"/>
        </w:rPr>
        <w:t>5.2%</w:t>
      </w:r>
      <w:r>
        <w:rPr>
          <w:rFonts w:ascii="Times New Roman" w:hAnsi="Times New Roman" w:cs="Times New Roman"/>
        </w:rPr>
        <w:t>；各项贷款较年初增长</w:t>
      </w:r>
      <w:r>
        <w:rPr>
          <w:rFonts w:ascii="Times New Roman" w:hAnsi="Times New Roman" w:cs="Times New Roman"/>
        </w:rPr>
        <w:t>9.2%</w:t>
      </w:r>
      <w:r>
        <w:rPr>
          <w:rFonts w:ascii="Times New Roman" w:hAnsi="Times New Roman" w:cs="Times New Roman"/>
        </w:rPr>
        <w:t>；风险加权资产较年初增长</w:t>
      </w:r>
      <w:r>
        <w:rPr>
          <w:rFonts w:ascii="Times New Roman" w:hAnsi="Times New Roman" w:cs="Times New Roman"/>
        </w:rPr>
        <w:t>7%</w:t>
      </w:r>
      <w:r>
        <w:rPr>
          <w:rFonts w:ascii="Times New Roman" w:hAnsi="Times New Roman" w:cs="Times New Roman"/>
        </w:rPr>
        <w:t>；截至</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月末，本行普惠型小微贷款、制造业贷款分别较年初增长</w:t>
      </w:r>
      <w:r>
        <w:rPr>
          <w:rFonts w:ascii="Times New Roman" w:hAnsi="Times New Roman" w:cs="Times New Roman"/>
        </w:rPr>
        <w:t>13.2%</w:t>
      </w:r>
      <w:r>
        <w:rPr>
          <w:rFonts w:ascii="Times New Roman" w:hAnsi="Times New Roman" w:cs="Times New Roman"/>
        </w:rPr>
        <w:t>和</w:t>
      </w:r>
      <w:r>
        <w:rPr>
          <w:rFonts w:ascii="Times New Roman" w:hAnsi="Times New Roman" w:cs="Times New Roman"/>
        </w:rPr>
        <w:t>10.1%</w:t>
      </w:r>
      <w:r>
        <w:rPr>
          <w:rFonts w:ascii="Times New Roman" w:hAnsi="Times New Roman" w:cs="Times New Roman"/>
        </w:rPr>
        <w:t>；普惠型涉农贷款、精准扶贫贷款分别较年初增长</w:t>
      </w:r>
      <w:r>
        <w:rPr>
          <w:rFonts w:ascii="Times New Roman" w:hAnsi="Times New Roman" w:cs="Times New Roman"/>
        </w:rPr>
        <w:t>32.8%</w:t>
      </w:r>
      <w:r>
        <w:rPr>
          <w:rFonts w:ascii="Times New Roman" w:hAnsi="Times New Roman" w:cs="Times New Roman"/>
        </w:rPr>
        <w:t>和</w:t>
      </w:r>
      <w:r>
        <w:rPr>
          <w:rFonts w:ascii="Times New Roman" w:hAnsi="Times New Roman" w:cs="Times New Roman"/>
        </w:rPr>
        <w:t>11.2%</w:t>
      </w:r>
      <w:r>
        <w:rPr>
          <w:rFonts w:ascii="Times New Roman" w:hAnsi="Times New Roman" w:cs="Times New Roman"/>
        </w:rPr>
        <w:t>。</w:t>
      </w:r>
    </w:p>
    <w:p w14:paraId="6E99C77E"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本行进一步完善机构布局，近两年香港、贵阳、青岛、海口分行先后开业，理财</w:t>
      </w:r>
      <w:proofErr w:type="gramStart"/>
      <w:r>
        <w:rPr>
          <w:rFonts w:ascii="Times New Roman" w:hAnsi="Times New Roman" w:cs="Times New Roman" w:hint="eastAsia"/>
        </w:rPr>
        <w:t>子公司待获批</w:t>
      </w:r>
      <w:proofErr w:type="gramEnd"/>
      <w:r>
        <w:rPr>
          <w:rFonts w:ascii="Times New Roman" w:hAnsi="Times New Roman" w:cs="Times New Roman" w:hint="eastAsia"/>
        </w:rPr>
        <w:t>成立，下一步将积极推进筹建呼和浩特分行和金融租赁公司等，进一步增强综合化经营和服务实体经济能力。为确保各项业务稳健增长，本行需要充足的资本作为支撑。</w:t>
      </w:r>
    </w:p>
    <w:p w14:paraId="1C8713A8" w14:textId="77777777" w:rsidR="00DE1B44" w:rsidRDefault="00D40582">
      <w:pPr>
        <w:pStyle w:val="58"/>
        <w:spacing w:before="120"/>
        <w:ind w:firstLine="482"/>
        <w:rPr>
          <w:rFonts w:ascii="Times New Roman" w:hAnsi="Times New Roman"/>
        </w:rPr>
      </w:pPr>
      <w:r>
        <w:rPr>
          <w:rFonts w:ascii="Times New Roman" w:hAnsi="Times New Roman"/>
        </w:rPr>
        <w:t>3</w:t>
      </w:r>
      <w:r>
        <w:rPr>
          <w:rFonts w:ascii="Times New Roman" w:hAnsi="Times New Roman"/>
        </w:rPr>
        <w:t>、</w:t>
      </w:r>
      <w:r>
        <w:rPr>
          <w:rFonts w:ascii="Times New Roman" w:hAnsi="Times New Roman" w:hint="eastAsia"/>
        </w:rPr>
        <w:t>增强风险抵御能力</w:t>
      </w:r>
    </w:p>
    <w:p w14:paraId="0509C736"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当前全球疫情严峻复杂，经济不确定性因素增大，银行业经营发展面临的风险挑战进一步增多。为应对外部环境变化带来的不利影响，本行需在持续满足监管资本充足率要求的基础上预留一定的资本缓冲空间，守住不发生重大金融风险底线。本次补充核心一级资本后，按照本行</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月末相关数据静态测算，核心一级资本充足率约为</w:t>
      </w:r>
      <w:r>
        <w:rPr>
          <w:rFonts w:ascii="Times New Roman" w:hAnsi="Times New Roman" w:cs="Times New Roman"/>
        </w:rPr>
        <w:t>8.5%</w:t>
      </w:r>
      <w:r>
        <w:rPr>
          <w:rFonts w:ascii="Times New Roman" w:hAnsi="Times New Roman" w:cs="Times New Roman"/>
        </w:rPr>
        <w:t>，较年初提高</w:t>
      </w:r>
      <w:r>
        <w:rPr>
          <w:rFonts w:ascii="Times New Roman" w:hAnsi="Times New Roman" w:cs="Times New Roman"/>
        </w:rPr>
        <w:t>0.7</w:t>
      </w:r>
      <w:r>
        <w:rPr>
          <w:rFonts w:ascii="Times New Roman" w:hAnsi="Times New Roman" w:cs="Times New Roman"/>
        </w:rPr>
        <w:t>个百分点，有利于本行增强风险抵御能力，应对未来宏观经济发展的不确定性。</w:t>
      </w:r>
    </w:p>
    <w:p w14:paraId="632C186A" w14:textId="77777777" w:rsidR="00DE1B44" w:rsidRDefault="00D40582">
      <w:pPr>
        <w:pStyle w:val="2f0"/>
        <w:spacing w:before="120"/>
        <w:rPr>
          <w:rFonts w:ascii="Times New Roman" w:hAnsi="Times New Roman"/>
        </w:rPr>
      </w:pPr>
      <w:bookmarkStart w:id="59" w:name="_Toc89016914"/>
      <w:bookmarkStart w:id="60" w:name="_Toc528264284"/>
      <w:r>
        <w:rPr>
          <w:rFonts w:ascii="Times New Roman" w:hAnsi="Times New Roman" w:hint="eastAsia"/>
        </w:rPr>
        <w:t>八、本次发行募集资金专项账户的设立情况以及保证募集资金合理使用的措施</w:t>
      </w:r>
      <w:bookmarkEnd w:id="59"/>
    </w:p>
    <w:p w14:paraId="2DB18462"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为规范募集资金的使用与管理，提高募集资金使用效益，保证募集资金的合理使用，保护股东的合法权益，本行已设立募集资金专用账户，具体情况如下：</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4508"/>
      </w:tblGrid>
      <w:tr w:rsidR="00DE1B44" w14:paraId="30B014BB" w14:textId="77777777">
        <w:trPr>
          <w:trHeight w:val="397"/>
          <w:tblHeader/>
          <w:jc w:val="center"/>
        </w:trPr>
        <w:tc>
          <w:tcPr>
            <w:tcW w:w="4508" w:type="dxa"/>
            <w:shd w:val="clear" w:color="auto" w:fill="auto"/>
            <w:vAlign w:val="center"/>
          </w:tcPr>
          <w:p w14:paraId="0E307055" w14:textId="77777777" w:rsidR="00DE1B44" w:rsidRDefault="00D40582">
            <w:pPr>
              <w:spacing w:beforeLines="0" w:before="0" w:line="0" w:lineRule="atLeast"/>
              <w:ind w:firstLineChars="0" w:firstLine="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lastRenderedPageBreak/>
              <w:t>募集资金专</w:t>
            </w:r>
            <w:proofErr w:type="gramStart"/>
            <w:r>
              <w:rPr>
                <w:rFonts w:ascii="Times New Roman" w:hAnsi="Times New Roman" w:cs="Times New Roman" w:hint="eastAsia"/>
                <w:b/>
                <w:color w:val="000000"/>
                <w:sz w:val="21"/>
                <w:szCs w:val="21"/>
              </w:rPr>
              <w:t>户设立</w:t>
            </w:r>
            <w:proofErr w:type="gramEnd"/>
            <w:r>
              <w:rPr>
                <w:rFonts w:ascii="Times New Roman" w:hAnsi="Times New Roman" w:cs="Times New Roman" w:hint="eastAsia"/>
                <w:b/>
                <w:color w:val="000000"/>
                <w:sz w:val="21"/>
                <w:szCs w:val="21"/>
              </w:rPr>
              <w:t>银行</w:t>
            </w:r>
          </w:p>
        </w:tc>
        <w:tc>
          <w:tcPr>
            <w:tcW w:w="4508" w:type="dxa"/>
            <w:shd w:val="clear" w:color="auto" w:fill="auto"/>
            <w:vAlign w:val="center"/>
          </w:tcPr>
          <w:p w14:paraId="7352205A" w14:textId="77777777" w:rsidR="00DE1B44" w:rsidRDefault="00D40582">
            <w:pPr>
              <w:spacing w:beforeLines="0" w:before="0" w:line="0" w:lineRule="atLeast"/>
              <w:ind w:firstLineChars="0" w:firstLine="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募集资金专户账号</w:t>
            </w:r>
          </w:p>
        </w:tc>
      </w:tr>
      <w:tr w:rsidR="00DE1B44" w14:paraId="6ED229EB" w14:textId="77777777">
        <w:trPr>
          <w:trHeight w:val="397"/>
          <w:jc w:val="center"/>
        </w:trPr>
        <w:tc>
          <w:tcPr>
            <w:tcW w:w="4508" w:type="dxa"/>
            <w:shd w:val="clear" w:color="auto" w:fill="auto"/>
            <w:vAlign w:val="center"/>
          </w:tcPr>
          <w:p w14:paraId="6E182378" w14:textId="77777777" w:rsidR="00DE1B44" w:rsidRDefault="00D40582">
            <w:pPr>
              <w:snapToGrid w:val="0"/>
              <w:spacing w:beforeLines="0" w:before="0" w:line="0" w:lineRule="atLeast"/>
              <w:ind w:firstLineChars="0" w:firstLine="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广发</w:t>
            </w:r>
            <w:proofErr w:type="gramStart"/>
            <w:r>
              <w:rPr>
                <w:rFonts w:ascii="Times New Roman" w:hAnsi="Times New Roman" w:cs="Times New Roman" w:hint="eastAsia"/>
                <w:color w:val="000000"/>
                <w:sz w:val="21"/>
                <w:szCs w:val="21"/>
              </w:rPr>
              <w:t>银行广</w:t>
            </w:r>
            <w:proofErr w:type="gramEnd"/>
            <w:r>
              <w:rPr>
                <w:rFonts w:ascii="Times New Roman" w:hAnsi="Times New Roman" w:cs="Times New Roman" w:hint="eastAsia"/>
                <w:color w:val="000000"/>
                <w:sz w:val="21"/>
                <w:szCs w:val="21"/>
              </w:rPr>
              <w:t>发大厦支行</w:t>
            </w:r>
          </w:p>
        </w:tc>
        <w:tc>
          <w:tcPr>
            <w:tcW w:w="4508" w:type="dxa"/>
            <w:shd w:val="clear" w:color="auto" w:fill="auto"/>
            <w:vAlign w:val="center"/>
          </w:tcPr>
          <w:p w14:paraId="2F15B51F" w14:textId="77777777" w:rsidR="00DE1B44" w:rsidRDefault="00D40582">
            <w:pPr>
              <w:snapToGrid w:val="0"/>
              <w:spacing w:beforeLines="0" w:before="0" w:line="0" w:lineRule="atLeast"/>
              <w:ind w:firstLineChars="0" w:firstLine="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9</w:t>
            </w:r>
            <w:r>
              <w:rPr>
                <w:rFonts w:ascii="Times New Roman" w:hAnsi="Times New Roman" w:cs="Times New Roman"/>
                <w:color w:val="000000"/>
                <w:sz w:val="21"/>
                <w:szCs w:val="21"/>
              </w:rPr>
              <w:t>550880000013259827</w:t>
            </w:r>
          </w:p>
        </w:tc>
      </w:tr>
    </w:tbl>
    <w:p w14:paraId="0F9F1D67"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此外</w:t>
      </w:r>
      <w:r>
        <w:rPr>
          <w:rFonts w:ascii="Times New Roman" w:hAnsi="Times New Roman" w:cs="Times New Roman" w:hint="eastAsia"/>
        </w:rPr>
        <w:t>，本行</w:t>
      </w:r>
      <w:r>
        <w:rPr>
          <w:rFonts w:ascii="Times New Roman" w:hAnsi="Times New Roman" w:cs="Times New Roman"/>
        </w:rPr>
        <w:t>于</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hint="eastAsia"/>
        </w:rPr>
        <w:t>4</w:t>
      </w:r>
      <w:r>
        <w:rPr>
          <w:rFonts w:ascii="Times New Roman" w:hAnsi="Times New Roman" w:cs="Times New Roman" w:hint="eastAsia"/>
        </w:rPr>
        <w:t>月</w:t>
      </w:r>
      <w:r>
        <w:rPr>
          <w:rFonts w:ascii="Times New Roman" w:hAnsi="Times New Roman" w:cs="Times New Roman" w:hint="eastAsia"/>
        </w:rPr>
        <w:t>2</w:t>
      </w:r>
      <w:r>
        <w:rPr>
          <w:rFonts w:ascii="Times New Roman" w:hAnsi="Times New Roman" w:cs="Times New Roman"/>
        </w:rPr>
        <w:t>0</w:t>
      </w:r>
      <w:r>
        <w:rPr>
          <w:rFonts w:ascii="Times New Roman" w:hAnsi="Times New Roman" w:cs="Times New Roman" w:hint="eastAsia"/>
        </w:rPr>
        <w:t>日召开第九届董事会</w:t>
      </w:r>
      <w:r>
        <w:rPr>
          <w:rFonts w:ascii="Times New Roman" w:hAnsi="Times New Roman" w:cs="Times New Roman"/>
        </w:rPr>
        <w:t>第八次会议决议</w:t>
      </w:r>
      <w:r>
        <w:rPr>
          <w:rFonts w:ascii="Times New Roman" w:hAnsi="Times New Roman" w:cs="Times New Roman" w:hint="eastAsia"/>
        </w:rPr>
        <w:t>，审议通过了《广发银行股份有限公司募集资金管理办法》，对非公开发行募集资金的存储、募集资金的合理使用、募集资金使用的管理与监督等事项进行了规定，保证募集资金使用的合</w:t>
      </w:r>
      <w:proofErr w:type="gramStart"/>
      <w:r>
        <w:rPr>
          <w:rFonts w:ascii="Times New Roman" w:hAnsi="Times New Roman" w:cs="Times New Roman" w:hint="eastAsia"/>
        </w:rPr>
        <w:t>规</w:t>
      </w:r>
      <w:proofErr w:type="gramEnd"/>
      <w:r>
        <w:rPr>
          <w:rFonts w:ascii="Times New Roman" w:hAnsi="Times New Roman" w:cs="Times New Roman" w:hint="eastAsia"/>
        </w:rPr>
        <w:t>性。本行将严格</w:t>
      </w:r>
      <w:r>
        <w:t>按照《</w:t>
      </w:r>
      <w:r>
        <w:rPr>
          <w:rFonts w:ascii="Times New Roman" w:hAnsi="Times New Roman" w:cs="Times New Roman" w:hint="eastAsia"/>
        </w:rPr>
        <w:t>广发银行股份有限公司募集资金管理办法</w:t>
      </w:r>
      <w:r>
        <w:t>》对募集资金进行管理，从而保证高效使用募集资金以及有效控制募集资金风险。</w:t>
      </w:r>
    </w:p>
    <w:p w14:paraId="6637A3CD" w14:textId="77777777" w:rsidR="00DE1B44" w:rsidRDefault="00D40582">
      <w:pPr>
        <w:pStyle w:val="2f0"/>
        <w:spacing w:before="120"/>
        <w:rPr>
          <w:rFonts w:ascii="Times New Roman" w:hAnsi="Times New Roman"/>
        </w:rPr>
      </w:pPr>
      <w:bookmarkStart w:id="61" w:name="_Toc89016915"/>
      <w:r>
        <w:rPr>
          <w:rFonts w:ascii="Times New Roman" w:hAnsi="Times New Roman" w:hint="eastAsia"/>
        </w:rPr>
        <w:t>九</w:t>
      </w:r>
      <w:r>
        <w:rPr>
          <w:rFonts w:ascii="Times New Roman" w:hAnsi="Times New Roman"/>
        </w:rPr>
        <w:t>、本次发行前滚存未分配利润的处置方案</w:t>
      </w:r>
      <w:bookmarkEnd w:id="60"/>
      <w:bookmarkEnd w:id="61"/>
    </w:p>
    <w:p w14:paraId="7F93CFD4"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次股份增发完成后，本行于工商变更登记日的滚存未分配利润将由股份增发后的全体股东依其持股比例共同享有。对于在本次股份增发工商变更登记日前已经本行股东大会决议生效的，本次股份增发定价基准日前的拟</w:t>
      </w:r>
      <w:r>
        <w:rPr>
          <w:rFonts w:ascii="Times New Roman" w:hAnsi="Times New Roman" w:cs="Times New Roman"/>
        </w:rPr>
        <w:t>/</w:t>
      </w:r>
      <w:r>
        <w:rPr>
          <w:rFonts w:ascii="Times New Roman" w:hAnsi="Times New Roman" w:cs="Times New Roman"/>
        </w:rPr>
        <w:t>已分配利润由本次股份增发前的</w:t>
      </w:r>
      <w:r>
        <w:rPr>
          <w:rFonts w:ascii="Times New Roman" w:hAnsi="Times New Roman" w:cs="Times New Roman" w:hint="eastAsia"/>
        </w:rPr>
        <w:t>原</w:t>
      </w:r>
      <w:r>
        <w:rPr>
          <w:rFonts w:ascii="Times New Roman" w:hAnsi="Times New Roman" w:cs="Times New Roman"/>
        </w:rPr>
        <w:t>股东享有。</w:t>
      </w:r>
    </w:p>
    <w:p w14:paraId="6498E87B" w14:textId="77777777" w:rsidR="00DE1B44" w:rsidRDefault="00D40582">
      <w:pPr>
        <w:pStyle w:val="2f0"/>
        <w:spacing w:before="120"/>
        <w:rPr>
          <w:rFonts w:ascii="Times New Roman" w:hAnsi="Times New Roman"/>
        </w:rPr>
      </w:pPr>
      <w:bookmarkStart w:id="62" w:name="_Toc528264285"/>
      <w:bookmarkStart w:id="63" w:name="_Toc89016916"/>
      <w:r>
        <w:rPr>
          <w:rFonts w:ascii="Times New Roman" w:hAnsi="Times New Roman" w:hint="eastAsia"/>
        </w:rPr>
        <w:t>十</w:t>
      </w:r>
      <w:r>
        <w:rPr>
          <w:rFonts w:ascii="Times New Roman" w:hAnsi="Times New Roman"/>
        </w:rPr>
        <w:t>、本次发行的审议程序</w:t>
      </w:r>
      <w:bookmarkEnd w:id="62"/>
      <w:bookmarkEnd w:id="63"/>
    </w:p>
    <w:p w14:paraId="591BA93F"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hint="eastAsia"/>
        </w:rPr>
        <w:t>月</w:t>
      </w:r>
      <w:r>
        <w:rPr>
          <w:rFonts w:ascii="Times New Roman" w:hAnsi="Times New Roman" w:cs="Times New Roman" w:hint="eastAsia"/>
        </w:rPr>
        <w:t>2</w:t>
      </w:r>
      <w:r>
        <w:rPr>
          <w:rFonts w:ascii="Times New Roman" w:hAnsi="Times New Roman" w:cs="Times New Roman"/>
        </w:rPr>
        <w:t>3</w:t>
      </w:r>
      <w:r>
        <w:rPr>
          <w:rFonts w:ascii="Times New Roman" w:hAnsi="Times New Roman" w:cs="Times New Roman" w:hint="eastAsia"/>
        </w:rPr>
        <w:t>日和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1</w:t>
      </w:r>
      <w:r>
        <w:rPr>
          <w:rFonts w:ascii="Times New Roman" w:hAnsi="Times New Roman" w:cs="Times New Roman" w:hint="eastAsia"/>
        </w:rPr>
        <w:t>月</w:t>
      </w:r>
      <w:r>
        <w:rPr>
          <w:rFonts w:ascii="Times New Roman" w:hAnsi="Times New Roman" w:cs="Times New Roman" w:hint="eastAsia"/>
        </w:rPr>
        <w:t>2</w:t>
      </w:r>
      <w:r>
        <w:rPr>
          <w:rFonts w:ascii="Times New Roman" w:hAnsi="Times New Roman" w:cs="Times New Roman"/>
        </w:rPr>
        <w:t>0</w:t>
      </w:r>
      <w:r>
        <w:rPr>
          <w:rFonts w:ascii="Times New Roman" w:hAnsi="Times New Roman" w:cs="Times New Roman" w:hint="eastAsia"/>
        </w:rPr>
        <w:t>日，本行分别召开第九届董事会</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年第四次会议和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年第一次临时股东大会，审议通过了《关于广发银行</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年度股份增发方案的议案》《关于提请股东大会授权董事会决定和办理</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年度股份增发具体事宜的议案》《关于广发银行股份有限公司增加注册资本的议案》《关于修订</w:t>
      </w:r>
      <w:r>
        <w:rPr>
          <w:rFonts w:ascii="Times New Roman" w:hAnsi="Times New Roman" w:cs="Times New Roman" w:hint="eastAsia"/>
        </w:rPr>
        <w:t>&lt;</w:t>
      </w:r>
      <w:r>
        <w:rPr>
          <w:rFonts w:ascii="Times New Roman" w:hAnsi="Times New Roman" w:cs="Times New Roman" w:hint="eastAsia"/>
        </w:rPr>
        <w:t>广发银行股份有限公司章程</w:t>
      </w:r>
      <w:r>
        <w:rPr>
          <w:rFonts w:ascii="Times New Roman" w:hAnsi="Times New Roman" w:cs="Times New Roman"/>
        </w:rPr>
        <w:t>&gt;</w:t>
      </w:r>
      <w:r>
        <w:rPr>
          <w:rFonts w:ascii="Times New Roman" w:hAnsi="Times New Roman" w:cs="Times New Roman" w:hint="eastAsia"/>
        </w:rPr>
        <w:t>的议案》。</w:t>
      </w:r>
    </w:p>
    <w:p w14:paraId="1538CBAD"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hint="eastAsia"/>
        </w:rPr>
        <w:t>4</w:t>
      </w:r>
      <w:r>
        <w:rPr>
          <w:rFonts w:ascii="Times New Roman" w:hAnsi="Times New Roman" w:cs="Times New Roman" w:hint="eastAsia"/>
        </w:rPr>
        <w:t>月</w:t>
      </w:r>
      <w:r>
        <w:rPr>
          <w:rFonts w:ascii="Times New Roman" w:hAnsi="Times New Roman" w:cs="Times New Roman" w:hint="eastAsia"/>
        </w:rPr>
        <w:t>2</w:t>
      </w:r>
      <w:r>
        <w:rPr>
          <w:rFonts w:ascii="Times New Roman" w:hAnsi="Times New Roman" w:cs="Times New Roman"/>
        </w:rPr>
        <w:t>0</w:t>
      </w:r>
      <w:r>
        <w:rPr>
          <w:rFonts w:ascii="Times New Roman" w:hAnsi="Times New Roman" w:cs="Times New Roman" w:hint="eastAsia"/>
        </w:rPr>
        <w:t>日，本行召开第九届董事会第八次会议，审议通过了《关于广发银行股份增发有关事宜的议案》及《广发银行股份有限公司募集资金管理办法》，同意授权经营管理层组织开展本次股份增发相关具体工作，并严格按照相关办法对募集资金进行管理。</w:t>
      </w:r>
    </w:p>
    <w:p w14:paraId="3EEA7401" w14:textId="77777777" w:rsidR="00DE1B44" w:rsidRDefault="00D40582">
      <w:pPr>
        <w:pStyle w:val="2f0"/>
        <w:spacing w:before="120"/>
        <w:rPr>
          <w:rFonts w:ascii="Times New Roman" w:hAnsi="Times New Roman"/>
        </w:rPr>
      </w:pPr>
      <w:bookmarkStart w:id="64" w:name="_Toc89016917"/>
      <w:bookmarkStart w:id="65" w:name="_Toc528264286"/>
      <w:r>
        <w:rPr>
          <w:rFonts w:ascii="Times New Roman" w:hAnsi="Times New Roman" w:hint="eastAsia"/>
        </w:rPr>
        <w:t>十一</w:t>
      </w:r>
      <w:r>
        <w:rPr>
          <w:rFonts w:ascii="Times New Roman" w:hAnsi="Times New Roman"/>
        </w:rPr>
        <w:t>、本次发行涉及的</w:t>
      </w:r>
      <w:r>
        <w:rPr>
          <w:rFonts w:ascii="Times New Roman" w:hAnsi="Times New Roman" w:hint="eastAsia"/>
        </w:rPr>
        <w:t>相关</w:t>
      </w:r>
      <w:r>
        <w:rPr>
          <w:rFonts w:ascii="Times New Roman" w:hAnsi="Times New Roman"/>
        </w:rPr>
        <w:t>主管部门审批、核准或备案事项情况</w:t>
      </w:r>
      <w:bookmarkEnd w:id="64"/>
      <w:bookmarkEnd w:id="65"/>
    </w:p>
    <w:p w14:paraId="43712121" w14:textId="77777777" w:rsidR="00DE1B44" w:rsidRDefault="00D40582">
      <w:pPr>
        <w:pStyle w:val="4a"/>
        <w:spacing w:before="120"/>
        <w:rPr>
          <w:rFonts w:ascii="Times New Roman" w:hAnsi="Times New Roman"/>
        </w:rPr>
      </w:pPr>
      <w:r>
        <w:rPr>
          <w:rFonts w:ascii="Times New Roman" w:hAnsi="Times New Roman" w:hint="eastAsia"/>
        </w:rPr>
        <w:t>（一）财政部门审批</w:t>
      </w:r>
    </w:p>
    <w:p w14:paraId="6610D5DD"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根据《企业国有资产交易监督管理办法》《财政部关于进一步加强国有金融企业股权管理工作有关问题的通知》《关于进一步明确国有金融企业增资扩股股权管理有关问</w:t>
      </w:r>
      <w:r>
        <w:rPr>
          <w:rFonts w:ascii="Times New Roman" w:hAnsi="Times New Roman" w:cs="Times New Roman" w:hint="eastAsia"/>
        </w:rPr>
        <w:lastRenderedPageBreak/>
        <w:t>题的通知》相关规定，本次股份增发经济行为由中国人寿保险（集团）公司依据财政部意见进行批复。</w:t>
      </w:r>
    </w:p>
    <w:p w14:paraId="2EE96830"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4</w:t>
      </w:r>
      <w:r>
        <w:rPr>
          <w:rFonts w:ascii="Times New Roman" w:hAnsi="Times New Roman" w:cs="Times New Roman" w:hint="eastAsia"/>
        </w:rPr>
        <w:t>月</w:t>
      </w:r>
      <w:r>
        <w:rPr>
          <w:rFonts w:ascii="Times New Roman" w:hAnsi="Times New Roman" w:cs="Times New Roman" w:hint="eastAsia"/>
        </w:rPr>
        <w:t>2</w:t>
      </w:r>
      <w:r>
        <w:rPr>
          <w:rFonts w:ascii="Times New Roman" w:hAnsi="Times New Roman" w:cs="Times New Roman" w:hint="eastAsia"/>
        </w:rPr>
        <w:t>日，本行收到中国人寿保险（集团）公司出具的《关于广发银行股份增发有关事宜的批复》（国</w:t>
      </w:r>
      <w:proofErr w:type="gramStart"/>
      <w:r>
        <w:rPr>
          <w:rFonts w:ascii="Times New Roman" w:hAnsi="Times New Roman" w:cs="Times New Roman" w:hint="eastAsia"/>
        </w:rPr>
        <w:t>寿集团复</w:t>
      </w:r>
      <w:proofErr w:type="gramEnd"/>
      <w:r>
        <w:rPr>
          <w:rFonts w:ascii="Times New Roman" w:hAnsi="Times New Roman" w:cs="Times New Roman"/>
        </w:rPr>
        <w:t>[2021]13</w:t>
      </w:r>
      <w:r>
        <w:rPr>
          <w:rFonts w:ascii="Times New Roman" w:hAnsi="Times New Roman" w:cs="Times New Roman"/>
        </w:rPr>
        <w:t>号</w:t>
      </w:r>
      <w:r>
        <w:rPr>
          <w:rFonts w:ascii="Times New Roman" w:hAnsi="Times New Roman" w:cs="Times New Roman" w:hint="eastAsia"/>
        </w:rPr>
        <w:t>），同意本次股份增发方案。</w:t>
      </w:r>
    </w:p>
    <w:p w14:paraId="4B4EB84D" w14:textId="77777777" w:rsidR="00DE1B44" w:rsidRDefault="00D40582">
      <w:pPr>
        <w:pStyle w:val="4a"/>
        <w:spacing w:before="120"/>
        <w:rPr>
          <w:rFonts w:ascii="Times New Roman" w:hAnsi="Times New Roman"/>
        </w:rPr>
      </w:pPr>
      <w:r>
        <w:rPr>
          <w:rFonts w:ascii="Times New Roman" w:hAnsi="Times New Roman" w:hint="eastAsia"/>
        </w:rPr>
        <w:t>（二）资产评估价格备案</w:t>
      </w:r>
    </w:p>
    <w:p w14:paraId="26014B06"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根据《金融企业国有资产评估监督管理暂行办法》相关规定，非上市金融企业国有股东股权比例变动的，应当委托资产评估机构进行资产评估，且根据该经济行为类型实行核准或备案。</w:t>
      </w:r>
    </w:p>
    <w:p w14:paraId="1AA7F1FC"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本行聘请了北京天健兴业资产评估有限公司对本行截至</w:t>
      </w:r>
      <w:r>
        <w:rPr>
          <w:rFonts w:ascii="Times New Roman" w:hAnsi="Times New Roman" w:cs="Times New Roman"/>
        </w:rPr>
        <w:t>2020</w:t>
      </w:r>
      <w:r>
        <w:rPr>
          <w:rFonts w:ascii="Times New Roman" w:hAnsi="Times New Roman" w:cs="Times New Roman"/>
        </w:rPr>
        <w:t>年</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日的</w:t>
      </w:r>
      <w:r>
        <w:rPr>
          <w:rFonts w:ascii="Times New Roman" w:hAnsi="Times New Roman" w:cs="Times New Roman" w:hint="eastAsia"/>
        </w:rPr>
        <w:t>所有者</w:t>
      </w:r>
      <w:r>
        <w:rPr>
          <w:rFonts w:ascii="Times New Roman" w:hAnsi="Times New Roman" w:cs="Times New Roman"/>
        </w:rPr>
        <w:t>权益价值进行评估，</w:t>
      </w:r>
      <w:r>
        <w:rPr>
          <w:rFonts w:ascii="Times New Roman" w:hAnsi="Times New Roman" w:cs="Times New Roman" w:hint="eastAsia"/>
        </w:rPr>
        <w:t>并出具了《广发银行股份有限公司拟增资扩股涉及的广发银行股份有限公司所有者权益价值资产评估报告》（天兴评报字（</w:t>
      </w:r>
      <w:r>
        <w:rPr>
          <w:rFonts w:ascii="Times New Roman" w:hAnsi="Times New Roman" w:cs="Times New Roman"/>
        </w:rPr>
        <w:t>2021</w:t>
      </w:r>
      <w:r>
        <w:rPr>
          <w:rFonts w:ascii="Times New Roman" w:hAnsi="Times New Roman" w:cs="Times New Roman" w:hint="eastAsia"/>
        </w:rPr>
        <w:t>）</w:t>
      </w:r>
      <w:r>
        <w:rPr>
          <w:rFonts w:ascii="Times New Roman" w:hAnsi="Times New Roman" w:cs="Times New Roman"/>
        </w:rPr>
        <w:t>第</w:t>
      </w:r>
      <w:r>
        <w:rPr>
          <w:rFonts w:ascii="Times New Roman" w:hAnsi="Times New Roman" w:cs="Times New Roman"/>
        </w:rPr>
        <w:t>0257</w:t>
      </w:r>
      <w:r>
        <w:rPr>
          <w:rFonts w:ascii="Times New Roman" w:hAnsi="Times New Roman" w:cs="Times New Roman"/>
        </w:rPr>
        <w:t>号</w:t>
      </w:r>
      <w:r>
        <w:rPr>
          <w:rFonts w:ascii="Times New Roman" w:hAnsi="Times New Roman" w:cs="Times New Roman" w:hint="eastAsia"/>
        </w:rPr>
        <w:t>）</w:t>
      </w:r>
      <w:r>
        <w:rPr>
          <w:rFonts w:ascii="Times New Roman" w:hAnsi="Times New Roman" w:cs="Times New Roman" w:hint="eastAsia"/>
        </w:rPr>
        <w:t>,</w:t>
      </w:r>
      <w:r>
        <w:rPr>
          <w:rFonts w:ascii="Times New Roman" w:hAnsi="Times New Roman" w:cs="Times New Roman"/>
        </w:rPr>
        <w:t>该等评估结果已</w:t>
      </w:r>
      <w:r>
        <w:rPr>
          <w:rFonts w:ascii="Times New Roman" w:hAnsi="Times New Roman" w:cs="Times New Roman" w:hint="eastAsia"/>
        </w:rPr>
        <w:t>于</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1</w:t>
      </w:r>
      <w:r>
        <w:rPr>
          <w:rFonts w:ascii="Times New Roman" w:hAnsi="Times New Roman" w:cs="Times New Roman"/>
        </w:rPr>
        <w:t>1</w:t>
      </w:r>
      <w:r>
        <w:rPr>
          <w:rFonts w:ascii="Times New Roman" w:hAnsi="Times New Roman" w:cs="Times New Roman" w:hint="eastAsia"/>
        </w:rPr>
        <w:t>日经中国人寿保险（集团）公司报送财政部</w:t>
      </w:r>
      <w:r>
        <w:rPr>
          <w:rFonts w:ascii="Times New Roman" w:hAnsi="Times New Roman" w:cs="Times New Roman"/>
        </w:rPr>
        <w:t>备案</w:t>
      </w:r>
      <w:r>
        <w:rPr>
          <w:rFonts w:ascii="Times New Roman" w:hAnsi="Times New Roman" w:cs="Times New Roman" w:hint="eastAsia"/>
        </w:rPr>
        <w:t>通过</w:t>
      </w:r>
      <w:r>
        <w:rPr>
          <w:rFonts w:ascii="Times New Roman" w:hAnsi="Times New Roman" w:cs="Times New Roman"/>
        </w:rPr>
        <w:t>。</w:t>
      </w:r>
    </w:p>
    <w:p w14:paraId="37FB0AFE" w14:textId="77777777" w:rsidR="00DE1B44" w:rsidRDefault="00D40582">
      <w:pPr>
        <w:pStyle w:val="4a"/>
        <w:spacing w:before="120"/>
        <w:rPr>
          <w:rFonts w:ascii="Times New Roman" w:hAnsi="Times New Roman"/>
        </w:rPr>
      </w:pPr>
      <w:r>
        <w:rPr>
          <w:rFonts w:ascii="Times New Roman" w:hAnsi="Times New Roman" w:hint="eastAsia"/>
        </w:rPr>
        <w:t>（三）银行业监督管理部门审批</w:t>
      </w:r>
    </w:p>
    <w:p w14:paraId="34E17FD3"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根据《商业银行股权管理暂行办法》《中国银保监会中资商业银行行政许可事项实施办法》《关于股东人数超过</w:t>
      </w:r>
      <w:r>
        <w:rPr>
          <w:rFonts w:ascii="Times New Roman" w:hAnsi="Times New Roman" w:cs="Times New Roman"/>
        </w:rPr>
        <w:t>200</w:t>
      </w:r>
      <w:r>
        <w:rPr>
          <w:rFonts w:ascii="Times New Roman" w:hAnsi="Times New Roman" w:cs="Times New Roman"/>
        </w:rPr>
        <w:t>人的未上市商业银行增发股份有关问题的通知》等相关规定，</w:t>
      </w:r>
      <w:r>
        <w:rPr>
          <w:rFonts w:ascii="Times New Roman" w:hAnsi="Times New Roman" w:cs="Times New Roman" w:hint="eastAsia"/>
        </w:rPr>
        <w:t>本次股份增发</w:t>
      </w:r>
      <w:r>
        <w:rPr>
          <w:rFonts w:ascii="Times New Roman" w:hAnsi="Times New Roman" w:cs="Times New Roman"/>
        </w:rPr>
        <w:t>应当取得</w:t>
      </w:r>
      <w:r>
        <w:rPr>
          <w:rFonts w:ascii="Times New Roman" w:hAnsi="Times New Roman" w:cs="Times New Roman" w:hint="eastAsia"/>
        </w:rPr>
        <w:t>中国银保监会</w:t>
      </w:r>
      <w:r>
        <w:rPr>
          <w:rFonts w:ascii="Times New Roman" w:hAnsi="Times New Roman" w:cs="Times New Roman"/>
        </w:rPr>
        <w:t>批准。</w:t>
      </w:r>
    </w:p>
    <w:p w14:paraId="49F19B6B" w14:textId="442390B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sidR="00E65387">
        <w:rPr>
          <w:rFonts w:ascii="Times New Roman" w:hAnsi="Times New Roman" w:cs="Times New Roman" w:hint="eastAsia"/>
        </w:rPr>
        <w:t>1</w:t>
      </w:r>
      <w:r w:rsidR="00E65387">
        <w:rPr>
          <w:rFonts w:ascii="Times New Roman" w:hAnsi="Times New Roman" w:cs="Times New Roman"/>
        </w:rPr>
        <w:t>2</w:t>
      </w:r>
      <w:r>
        <w:rPr>
          <w:rFonts w:ascii="Times New Roman" w:hAnsi="Times New Roman" w:cs="Times New Roman" w:hint="eastAsia"/>
        </w:rPr>
        <w:t>月</w:t>
      </w:r>
      <w:r w:rsidR="00E65387">
        <w:rPr>
          <w:rFonts w:ascii="Times New Roman" w:hAnsi="Times New Roman" w:cs="Times New Roman" w:hint="eastAsia"/>
        </w:rPr>
        <w:t>2</w:t>
      </w:r>
      <w:r w:rsidR="00E65387">
        <w:rPr>
          <w:rFonts w:ascii="Times New Roman" w:hAnsi="Times New Roman" w:cs="Times New Roman"/>
        </w:rPr>
        <w:t>2</w:t>
      </w:r>
      <w:r>
        <w:rPr>
          <w:rFonts w:ascii="Times New Roman" w:hAnsi="Times New Roman" w:cs="Times New Roman" w:hint="eastAsia"/>
        </w:rPr>
        <w:t>日，中国银保监会出具了《中国银保监会关于广发银行</w:t>
      </w:r>
      <w:r w:rsidR="00E65387">
        <w:rPr>
          <w:rFonts w:ascii="Times New Roman" w:hAnsi="Times New Roman" w:cs="Times New Roman" w:hint="eastAsia"/>
        </w:rPr>
        <w:t>非公开发行股份方案</w:t>
      </w:r>
      <w:r>
        <w:rPr>
          <w:rFonts w:ascii="Times New Roman" w:hAnsi="Times New Roman" w:cs="Times New Roman" w:hint="eastAsia"/>
        </w:rPr>
        <w:t>的批复》（银</w:t>
      </w:r>
      <w:proofErr w:type="gramStart"/>
      <w:r>
        <w:rPr>
          <w:rFonts w:ascii="Times New Roman" w:hAnsi="Times New Roman" w:cs="Times New Roman" w:hint="eastAsia"/>
        </w:rPr>
        <w:t>保监复</w:t>
      </w:r>
      <w:r w:rsidRPr="00E65387">
        <w:rPr>
          <w:rFonts w:ascii="Times New Roman" w:hAnsi="Times New Roman" w:cs="Times New Roman"/>
        </w:rPr>
        <w:t>〔</w:t>
      </w:r>
      <w:r w:rsidRPr="00E65387">
        <w:rPr>
          <w:rFonts w:ascii="Times New Roman" w:hAnsi="Times New Roman" w:cs="Times New Roman"/>
        </w:rPr>
        <w:t>2021</w:t>
      </w:r>
      <w:r w:rsidRPr="00E65387">
        <w:rPr>
          <w:rFonts w:ascii="Times New Roman" w:hAnsi="Times New Roman" w:cs="Times New Roman"/>
        </w:rPr>
        <w:t>〕</w:t>
      </w:r>
      <w:proofErr w:type="gramEnd"/>
      <w:r w:rsidR="00E65387" w:rsidRPr="00E65387">
        <w:rPr>
          <w:rFonts w:ascii="Times New Roman" w:hAnsi="Times New Roman" w:cs="Times New Roman"/>
        </w:rPr>
        <w:t>992</w:t>
      </w:r>
      <w:r>
        <w:rPr>
          <w:rFonts w:cs="Times New Roman" w:hint="eastAsia"/>
        </w:rPr>
        <w:t>号</w:t>
      </w:r>
      <w:r>
        <w:rPr>
          <w:rFonts w:ascii="Times New Roman" w:hAnsi="Times New Roman" w:cs="Times New Roman" w:hint="eastAsia"/>
        </w:rPr>
        <w:t>），同意本次股份增发方案</w:t>
      </w:r>
      <w:r>
        <w:rPr>
          <w:rFonts w:ascii="Times New Roman" w:hAnsi="Times New Roman" w:cs="Times New Roman"/>
        </w:rPr>
        <w:t>。</w:t>
      </w:r>
    </w:p>
    <w:p w14:paraId="54E42293" w14:textId="77777777" w:rsidR="00DE1B44" w:rsidRDefault="00D40582">
      <w:pPr>
        <w:pStyle w:val="4a"/>
        <w:spacing w:before="120"/>
        <w:rPr>
          <w:rFonts w:ascii="Times New Roman" w:hAnsi="Times New Roman"/>
        </w:rPr>
      </w:pPr>
      <w:r>
        <w:rPr>
          <w:rFonts w:ascii="Times New Roman" w:hAnsi="Times New Roman" w:hint="eastAsia"/>
        </w:rPr>
        <w:t>（四）证券业监督管理部门审批</w:t>
      </w:r>
    </w:p>
    <w:p w14:paraId="4F0F3EEA"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根据《公司法》《证券法》《非上市公众公司监督管理办法》及《关于股东人数超过</w:t>
      </w:r>
      <w:r>
        <w:rPr>
          <w:rFonts w:ascii="Times New Roman" w:hAnsi="Times New Roman" w:cs="Times New Roman"/>
        </w:rPr>
        <w:t>200</w:t>
      </w:r>
      <w:r>
        <w:rPr>
          <w:rFonts w:ascii="Times New Roman" w:hAnsi="Times New Roman" w:cs="Times New Roman"/>
        </w:rPr>
        <w:t>人的未上市商业银行增发股份有关问题的通知》等相关法律法规和规范性文件的规定，股东人数超过</w:t>
      </w:r>
      <w:r>
        <w:rPr>
          <w:rFonts w:ascii="Times New Roman" w:hAnsi="Times New Roman" w:cs="Times New Roman"/>
        </w:rPr>
        <w:t>200</w:t>
      </w:r>
      <w:r>
        <w:rPr>
          <w:rFonts w:ascii="Times New Roman" w:hAnsi="Times New Roman" w:cs="Times New Roman"/>
        </w:rPr>
        <w:t>人的非上市公众公司向特定对象发行股票，需报经国务院证券监督管理机构或者国务院授权的部门核准。</w:t>
      </w:r>
    </w:p>
    <w:p w14:paraId="16ED64DC"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本次发行尚需经中国证监会核准后实施，并最终以监管部门批准的方案为准</w:t>
      </w:r>
      <w:r>
        <w:rPr>
          <w:rFonts w:ascii="Times New Roman" w:hAnsi="Times New Roman" w:cs="Times New Roman"/>
        </w:rPr>
        <w:t>。</w:t>
      </w:r>
    </w:p>
    <w:p w14:paraId="2C431B33" w14:textId="77777777" w:rsidR="00DE1B44" w:rsidRDefault="00D40582">
      <w:pPr>
        <w:pStyle w:val="1ff1"/>
        <w:spacing w:before="120"/>
        <w:ind w:firstLine="720"/>
        <w:rPr>
          <w:rFonts w:ascii="Times New Roman" w:hAnsi="Times New Roman" w:cs="Times New Roman"/>
        </w:rPr>
      </w:pPr>
      <w:bookmarkStart w:id="66" w:name="_Toc89016918"/>
      <w:r>
        <w:rPr>
          <w:rFonts w:ascii="Times New Roman" w:hAnsi="Times New Roman" w:cs="Times New Roman"/>
        </w:rPr>
        <w:lastRenderedPageBreak/>
        <w:t>第</w:t>
      </w:r>
      <w:r>
        <w:rPr>
          <w:rFonts w:ascii="Times New Roman" w:hAnsi="Times New Roman" w:cs="Times New Roman" w:hint="eastAsia"/>
        </w:rPr>
        <w:t>四</w:t>
      </w:r>
      <w:r>
        <w:rPr>
          <w:rFonts w:ascii="Times New Roman" w:hAnsi="Times New Roman" w:cs="Times New Roman"/>
        </w:rPr>
        <w:t>节</w:t>
      </w:r>
      <w:r>
        <w:rPr>
          <w:rFonts w:ascii="Times New Roman" w:hAnsi="Times New Roman" w:cs="Times New Roman" w:hint="eastAsia"/>
        </w:rPr>
        <w:t xml:space="preserve"> </w:t>
      </w:r>
      <w:r>
        <w:rPr>
          <w:rFonts w:ascii="Times New Roman" w:hAnsi="Times New Roman" w:cs="Times New Roman" w:hint="eastAsia"/>
        </w:rPr>
        <w:t>附生效条件的股票认购合同的内容摘要</w:t>
      </w:r>
      <w:bookmarkEnd w:id="66"/>
    </w:p>
    <w:p w14:paraId="25772DC0" w14:textId="77777777" w:rsidR="00DE1B44" w:rsidRDefault="00D40582">
      <w:pPr>
        <w:pStyle w:val="2f0"/>
        <w:spacing w:before="120"/>
        <w:rPr>
          <w:rFonts w:ascii="Times New Roman" w:hAnsi="Times New Roman"/>
        </w:rPr>
      </w:pPr>
      <w:bookmarkStart w:id="67" w:name="_Toc89016919"/>
      <w:r>
        <w:rPr>
          <w:rFonts w:hint="eastAsia"/>
        </w:rPr>
        <w:t>一、</w:t>
      </w:r>
      <w:r>
        <w:rPr>
          <w:rFonts w:ascii="Times New Roman" w:hAnsi="Times New Roman" w:hint="eastAsia"/>
        </w:rPr>
        <w:t>合同</w:t>
      </w:r>
      <w:r>
        <w:rPr>
          <w:rFonts w:ascii="Times New Roman" w:hAnsi="Times New Roman"/>
        </w:rPr>
        <w:t>主体和签订时间</w:t>
      </w:r>
      <w:bookmarkEnd w:id="67"/>
    </w:p>
    <w:p w14:paraId="6822D765" w14:textId="77777777" w:rsidR="00DE1B44" w:rsidRDefault="00D40582">
      <w:pPr>
        <w:pStyle w:val="4a"/>
        <w:spacing w:before="120"/>
        <w:rPr>
          <w:rFonts w:ascii="Times New Roman" w:hAnsi="Times New Roman"/>
        </w:rPr>
      </w:pPr>
      <w:r>
        <w:rPr>
          <w:rFonts w:ascii="Times New Roman" w:hAnsi="Times New Roman" w:hint="eastAsia"/>
        </w:rPr>
        <w:t>（一）</w:t>
      </w:r>
      <w:r>
        <w:rPr>
          <w:rFonts w:ascii="Times New Roman" w:hAnsi="Times New Roman"/>
        </w:rPr>
        <w:t>合同主体</w:t>
      </w:r>
    </w:p>
    <w:p w14:paraId="1BAE23D2" w14:textId="77777777" w:rsidR="00DE1B44" w:rsidRDefault="00D40582">
      <w:pPr>
        <w:spacing w:before="120"/>
        <w:ind w:firstLine="480"/>
        <w:rPr>
          <w:rFonts w:ascii="Times New Roman" w:hAnsi="Times New Roman" w:cs="Times New Roman"/>
        </w:rPr>
      </w:pPr>
      <w:r>
        <w:rPr>
          <w:rFonts w:ascii="Times New Roman" w:hAnsi="Times New Roman" w:cs="Times New Roman"/>
        </w:rPr>
        <w:t>甲方：广发银行股份有限公司</w:t>
      </w:r>
    </w:p>
    <w:p w14:paraId="02A0F8DF" w14:textId="77777777" w:rsidR="00DE1B44" w:rsidRDefault="00D40582">
      <w:pPr>
        <w:spacing w:before="120"/>
        <w:ind w:firstLine="480"/>
        <w:rPr>
          <w:rFonts w:ascii="Times New Roman" w:hAnsi="Times New Roman" w:cs="Times New Roman"/>
        </w:rPr>
      </w:pPr>
      <w:r>
        <w:rPr>
          <w:rFonts w:ascii="Times New Roman" w:hAnsi="Times New Roman" w:cs="Times New Roman"/>
        </w:rPr>
        <w:t>乙方：</w:t>
      </w:r>
      <w:r>
        <w:rPr>
          <w:rFonts w:ascii="Times New Roman" w:hAnsi="Times New Roman" w:cs="Times New Roman" w:hint="eastAsia"/>
        </w:rPr>
        <w:t>符合条件的投资方（</w:t>
      </w:r>
      <w:proofErr w:type="gramStart"/>
      <w:r>
        <w:rPr>
          <w:rFonts w:ascii="Times New Roman" w:hAnsi="Times New Roman" w:cs="Times New Roman" w:hint="eastAsia"/>
        </w:rPr>
        <w:t>含</w:t>
      </w:r>
      <w:r>
        <w:rPr>
          <w:rFonts w:ascii="Times New Roman" w:hAnsi="Times New Roman" w:cs="Times New Roman"/>
        </w:rPr>
        <w:t>符合</w:t>
      </w:r>
      <w:proofErr w:type="gramEnd"/>
      <w:r>
        <w:rPr>
          <w:rFonts w:ascii="Times New Roman" w:hAnsi="Times New Roman" w:cs="Times New Roman"/>
        </w:rPr>
        <w:t>监管要求的</w:t>
      </w:r>
      <w:r>
        <w:rPr>
          <w:rFonts w:ascii="Times New Roman" w:hAnsi="Times New Roman" w:cs="Times New Roman" w:hint="eastAsia"/>
        </w:rPr>
        <w:t>在册</w:t>
      </w:r>
      <w:r>
        <w:rPr>
          <w:rFonts w:ascii="Times New Roman" w:hAnsi="Times New Roman" w:cs="Times New Roman"/>
        </w:rPr>
        <w:t>股东</w:t>
      </w:r>
      <w:r>
        <w:rPr>
          <w:rFonts w:ascii="Times New Roman" w:hAnsi="Times New Roman" w:cs="Times New Roman" w:hint="eastAsia"/>
        </w:rPr>
        <w:t>，以及符合条件并经甲方确认的意向投资方）</w:t>
      </w:r>
    </w:p>
    <w:p w14:paraId="747844B9" w14:textId="77777777" w:rsidR="00DE1B44" w:rsidRDefault="00D40582">
      <w:pPr>
        <w:pStyle w:val="4a"/>
        <w:spacing w:before="120"/>
        <w:rPr>
          <w:rFonts w:ascii="Times New Roman" w:hAnsi="Times New Roman"/>
        </w:rPr>
      </w:pPr>
      <w:r>
        <w:rPr>
          <w:rFonts w:ascii="Times New Roman" w:hAnsi="Times New Roman" w:hint="eastAsia"/>
        </w:rPr>
        <w:t>（二）</w:t>
      </w:r>
      <w:r>
        <w:rPr>
          <w:rFonts w:ascii="Times New Roman" w:hAnsi="Times New Roman"/>
        </w:rPr>
        <w:t>签订时间</w:t>
      </w:r>
    </w:p>
    <w:p w14:paraId="44F15283"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截至本定向发行说明书公告日，本行与参与本次发行的股东及新增投资者均已签订增资协议。</w:t>
      </w:r>
    </w:p>
    <w:p w14:paraId="78F74C52" w14:textId="77777777" w:rsidR="00DE1B44" w:rsidRDefault="00D40582">
      <w:pPr>
        <w:pStyle w:val="2f0"/>
        <w:spacing w:before="120"/>
        <w:rPr>
          <w:rFonts w:ascii="Times New Roman" w:hAnsi="Times New Roman"/>
        </w:rPr>
      </w:pPr>
      <w:bookmarkStart w:id="68" w:name="_Toc89016920"/>
      <w:r>
        <w:rPr>
          <w:rFonts w:ascii="Times New Roman" w:hAnsi="Times New Roman"/>
        </w:rPr>
        <w:t>二</w:t>
      </w:r>
      <w:r>
        <w:rPr>
          <w:rFonts w:ascii="Times New Roman" w:hAnsi="Times New Roman" w:hint="eastAsia"/>
        </w:rPr>
        <w:t>、</w:t>
      </w:r>
      <w:r>
        <w:rPr>
          <w:rFonts w:ascii="Times New Roman" w:hAnsi="Times New Roman"/>
        </w:rPr>
        <w:t>认购价格、认购方式和支付方式</w:t>
      </w:r>
      <w:bookmarkEnd w:id="68"/>
    </w:p>
    <w:p w14:paraId="4237D2BC" w14:textId="77777777" w:rsidR="00DE1B44" w:rsidRDefault="00D40582">
      <w:pPr>
        <w:pStyle w:val="4a"/>
        <w:spacing w:before="120"/>
        <w:rPr>
          <w:rFonts w:ascii="Times New Roman" w:hAnsi="Times New Roman"/>
        </w:rPr>
      </w:pPr>
      <w:r>
        <w:rPr>
          <w:rFonts w:ascii="Times New Roman" w:hAnsi="Times New Roman" w:hint="eastAsia"/>
        </w:rPr>
        <w:t>（一）</w:t>
      </w:r>
      <w:r>
        <w:rPr>
          <w:rFonts w:ascii="Times New Roman" w:hAnsi="Times New Roman"/>
        </w:rPr>
        <w:t>认购价格</w:t>
      </w:r>
    </w:p>
    <w:p w14:paraId="729C5454"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本次发行价格为</w:t>
      </w:r>
      <w:r>
        <w:rPr>
          <w:rFonts w:ascii="Times New Roman" w:hAnsi="Times New Roman" w:cs="Times New Roman" w:hint="eastAsia"/>
        </w:rPr>
        <w:t>8</w:t>
      </w:r>
      <w:r>
        <w:rPr>
          <w:rFonts w:ascii="Times New Roman" w:hAnsi="Times New Roman" w:cs="Times New Roman"/>
        </w:rPr>
        <w:t>.7364</w:t>
      </w:r>
      <w:r>
        <w:rPr>
          <w:rFonts w:ascii="Times New Roman" w:hAnsi="Times New Roman" w:cs="Times New Roman" w:hint="eastAsia"/>
        </w:rPr>
        <w:t>元</w:t>
      </w:r>
      <w:r>
        <w:rPr>
          <w:rFonts w:ascii="Times New Roman" w:hAnsi="Times New Roman" w:cs="Times New Roman" w:hint="eastAsia"/>
        </w:rPr>
        <w:t>/</w:t>
      </w:r>
      <w:r>
        <w:rPr>
          <w:rFonts w:ascii="Times New Roman" w:hAnsi="Times New Roman" w:cs="Times New Roman" w:hint="eastAsia"/>
        </w:rPr>
        <w:t>股。</w:t>
      </w:r>
    </w:p>
    <w:p w14:paraId="725C1924" w14:textId="77777777" w:rsidR="00DE1B44" w:rsidRDefault="00D40582">
      <w:pPr>
        <w:pStyle w:val="4a"/>
        <w:spacing w:before="120"/>
        <w:rPr>
          <w:rFonts w:ascii="Times New Roman" w:hAnsi="Times New Roman"/>
        </w:rPr>
      </w:pPr>
      <w:r>
        <w:rPr>
          <w:rFonts w:ascii="Times New Roman" w:hAnsi="Times New Roman" w:hint="eastAsia"/>
        </w:rPr>
        <w:t>（二）</w:t>
      </w:r>
      <w:r>
        <w:rPr>
          <w:rFonts w:ascii="Times New Roman" w:hAnsi="Times New Roman"/>
        </w:rPr>
        <w:t>认购方式</w:t>
      </w:r>
    </w:p>
    <w:p w14:paraId="523D7961"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本次定向发行将采用产权交易机构挂牌方式向特定对象定向发行方式进行，</w:t>
      </w:r>
      <w:r>
        <w:rPr>
          <w:rFonts w:ascii="Times New Roman" w:hAnsi="Times New Roman" w:cs="Times New Roman"/>
        </w:rPr>
        <w:t>乙方将以现金（人民币）认购本次发行的股票。</w:t>
      </w:r>
    </w:p>
    <w:p w14:paraId="1B666F75" w14:textId="77777777" w:rsidR="00DE1B44" w:rsidRDefault="00D40582">
      <w:pPr>
        <w:pStyle w:val="4a"/>
        <w:spacing w:before="120"/>
        <w:rPr>
          <w:rFonts w:ascii="Times New Roman" w:hAnsi="Times New Roman"/>
        </w:rPr>
      </w:pPr>
      <w:r>
        <w:rPr>
          <w:rFonts w:ascii="Times New Roman" w:hAnsi="Times New Roman" w:hint="eastAsia"/>
        </w:rPr>
        <w:t>（三）</w:t>
      </w:r>
      <w:r>
        <w:rPr>
          <w:rFonts w:ascii="Times New Roman" w:hAnsi="Times New Roman"/>
        </w:rPr>
        <w:t>支付方式</w:t>
      </w:r>
    </w:p>
    <w:p w14:paraId="43CEA096"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本次发行获得监管部门核准后，乙方按《缴款通知书》约定时间，将全额认购价款支付至甲方指定银行账户。</w:t>
      </w:r>
    </w:p>
    <w:p w14:paraId="68F38676" w14:textId="77777777" w:rsidR="00DE1B44" w:rsidRDefault="00D40582">
      <w:pPr>
        <w:pStyle w:val="2f0"/>
        <w:spacing w:before="120"/>
        <w:rPr>
          <w:rFonts w:ascii="Times New Roman" w:hAnsi="Times New Roman"/>
        </w:rPr>
      </w:pPr>
      <w:bookmarkStart w:id="69" w:name="_Toc89016921"/>
      <w:r>
        <w:rPr>
          <w:rFonts w:ascii="Times New Roman" w:hAnsi="Times New Roman"/>
        </w:rPr>
        <w:t>三</w:t>
      </w:r>
      <w:r>
        <w:rPr>
          <w:rFonts w:ascii="Times New Roman" w:hAnsi="Times New Roman" w:hint="eastAsia"/>
        </w:rPr>
        <w:t>、</w:t>
      </w:r>
      <w:r>
        <w:rPr>
          <w:rFonts w:ascii="Times New Roman" w:hAnsi="Times New Roman"/>
        </w:rPr>
        <w:t>合同的生效条件和生效时间</w:t>
      </w:r>
      <w:bookmarkEnd w:id="69"/>
    </w:p>
    <w:p w14:paraId="617A5341" w14:textId="77777777" w:rsidR="00DE1B44" w:rsidRDefault="00D40582">
      <w:pPr>
        <w:spacing w:before="120"/>
        <w:ind w:firstLine="480"/>
        <w:rPr>
          <w:rFonts w:ascii="Times New Roman" w:hAnsi="Times New Roman"/>
          <w:bCs/>
        </w:rPr>
      </w:pPr>
      <w:r>
        <w:rPr>
          <w:rFonts w:ascii="Times New Roman" w:hAnsi="Times New Roman" w:cs="Times New Roman" w:hint="eastAsia"/>
        </w:rPr>
        <w:t>本协议经双方法定代表人或授权代表正式签署并加盖双方公章后成立并生效。</w:t>
      </w:r>
    </w:p>
    <w:p w14:paraId="2CD8BE27" w14:textId="77777777" w:rsidR="00DE1B44" w:rsidRDefault="00D40582">
      <w:pPr>
        <w:pStyle w:val="2f0"/>
        <w:spacing w:before="120"/>
        <w:rPr>
          <w:rFonts w:ascii="Times New Roman" w:hAnsi="Times New Roman"/>
        </w:rPr>
      </w:pPr>
      <w:bookmarkStart w:id="70" w:name="_Toc89016922"/>
      <w:r>
        <w:rPr>
          <w:rFonts w:ascii="Times New Roman" w:hAnsi="Times New Roman"/>
        </w:rPr>
        <w:t>四</w:t>
      </w:r>
      <w:r>
        <w:rPr>
          <w:rFonts w:ascii="Times New Roman" w:hAnsi="Times New Roman" w:hint="eastAsia"/>
        </w:rPr>
        <w:t>、</w:t>
      </w:r>
      <w:r>
        <w:rPr>
          <w:rFonts w:ascii="Times New Roman" w:hAnsi="Times New Roman"/>
        </w:rPr>
        <w:t>合同附带的任何保留条款、前置条件</w:t>
      </w:r>
      <w:bookmarkEnd w:id="70"/>
    </w:p>
    <w:p w14:paraId="1203BA55" w14:textId="77777777" w:rsidR="00DE1B44" w:rsidRDefault="00D40582">
      <w:pPr>
        <w:spacing w:before="120"/>
        <w:ind w:firstLine="480"/>
        <w:rPr>
          <w:rFonts w:ascii="Times New Roman" w:hAnsi="Times New Roman" w:cs="Times New Roman"/>
        </w:rPr>
      </w:pPr>
      <w:r>
        <w:rPr>
          <w:rFonts w:ascii="Times New Roman" w:hAnsi="Times New Roman" w:cs="Times New Roman"/>
        </w:rPr>
        <w:t>本协议在下列情况下解除：</w:t>
      </w:r>
    </w:p>
    <w:p w14:paraId="34101264"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经双方当事人协商一致解除；</w:t>
      </w:r>
    </w:p>
    <w:p w14:paraId="679E530D"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lastRenderedPageBreak/>
        <w:t>2</w:t>
      </w:r>
      <w:r>
        <w:rPr>
          <w:rFonts w:ascii="Times New Roman" w:hAnsi="Times New Roman" w:cs="Times New Roman" w:hint="eastAsia"/>
        </w:rPr>
        <w:t>、</w:t>
      </w:r>
      <w:r>
        <w:rPr>
          <w:rFonts w:ascii="Times New Roman" w:hAnsi="Times New Roman" w:cs="Times New Roman"/>
        </w:rPr>
        <w:t>任一方发生违约行为并在守约方向其发出要求更正的书面通知之日起</w:t>
      </w:r>
      <w:r>
        <w:rPr>
          <w:rFonts w:ascii="Times New Roman" w:hAnsi="Times New Roman" w:cs="Times New Roman"/>
        </w:rPr>
        <w:t>30</w:t>
      </w:r>
      <w:r>
        <w:rPr>
          <w:rFonts w:ascii="Times New Roman" w:hAnsi="Times New Roman" w:cs="Times New Roman"/>
        </w:rPr>
        <w:t>天内不予更正的，或累计发生两次或以上违约行为，守约方有权单方解除本协议；</w:t>
      </w:r>
    </w:p>
    <w:p w14:paraId="3FE519ED"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有关银行监管部门、国有金融机构监管部门不同意批准本次增资事项或不同意批准乙方入股甲方的资格，本协议自动解除，甲方对此不承担任何责任。</w:t>
      </w:r>
    </w:p>
    <w:p w14:paraId="53206AC5"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非因乙方原因导致本次增资事项或乙方入股甲方的资格不能获得监管部门审批同意的，甲方将乙方缴付的认购价款本金（如有）及认购价款到达甲方指定账户之日</w:t>
      </w:r>
      <w:proofErr w:type="gramStart"/>
      <w:r>
        <w:rPr>
          <w:rFonts w:ascii="Times New Roman" w:hAnsi="Times New Roman" w:cs="Times New Roman"/>
        </w:rPr>
        <w:t>起产生</w:t>
      </w:r>
      <w:proofErr w:type="gramEnd"/>
      <w:r>
        <w:rPr>
          <w:rFonts w:ascii="Times New Roman" w:hAnsi="Times New Roman" w:cs="Times New Roman"/>
        </w:rPr>
        <w:t>的利息（如适用，按中国人民银行同期活期存款基准利率计算），于自动解除日（监管部门不同意批准本次增资事项或不同意批准乙方入股甲方的资格书面文件签发日）之日起</w:t>
      </w:r>
      <w:r>
        <w:rPr>
          <w:rFonts w:ascii="Times New Roman" w:hAnsi="Times New Roman" w:cs="Times New Roman"/>
        </w:rPr>
        <w:t>10</w:t>
      </w:r>
      <w:r>
        <w:rPr>
          <w:rFonts w:ascii="Times New Roman" w:hAnsi="Times New Roman" w:cs="Times New Roman"/>
        </w:rPr>
        <w:t>个工作日内退还乙方。</w:t>
      </w:r>
    </w:p>
    <w:p w14:paraId="1DACE0F5"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因乙方原因导致本次增资事项或乙方入股甲方的资格不能获得监管部门审批同意的，甲方将乙方缴付的认购价款本金（如有）于自动解除日（监管部门不同意批准本次增资事项或不同意批准乙方入股甲方的资格书面文件签发日）之日起</w:t>
      </w:r>
      <w:r>
        <w:rPr>
          <w:rFonts w:ascii="Times New Roman" w:hAnsi="Times New Roman" w:cs="Times New Roman"/>
        </w:rPr>
        <w:t>10</w:t>
      </w:r>
      <w:r>
        <w:rPr>
          <w:rFonts w:ascii="Times New Roman" w:hAnsi="Times New Roman" w:cs="Times New Roman"/>
        </w:rPr>
        <w:t>个工作日内无息退还乙方。</w:t>
      </w:r>
    </w:p>
    <w:p w14:paraId="0C3EE53C"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出现</w:t>
      </w:r>
      <w:r>
        <w:rPr>
          <w:rFonts w:ascii="Times New Roman" w:hAnsi="Times New Roman" w:cs="Times New Roman" w:hint="eastAsia"/>
        </w:rPr>
        <w:t>约定</w:t>
      </w:r>
      <w:r>
        <w:rPr>
          <w:rFonts w:ascii="Times New Roman" w:hAnsi="Times New Roman" w:cs="Times New Roman"/>
        </w:rPr>
        <w:t>的甲方有权解除本协议的情形。</w:t>
      </w:r>
    </w:p>
    <w:p w14:paraId="63ECD42F"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5</w:t>
      </w:r>
      <w:r>
        <w:rPr>
          <w:rFonts w:ascii="Times New Roman" w:hAnsi="Times New Roman" w:cs="Times New Roman" w:hint="eastAsia"/>
        </w:rPr>
        <w:t>、</w:t>
      </w:r>
      <w:r>
        <w:rPr>
          <w:rFonts w:ascii="Times New Roman" w:hAnsi="Times New Roman" w:cs="Times New Roman"/>
        </w:rPr>
        <w:t>因不可抗力，造成本协议全部无法履行。</w:t>
      </w:r>
    </w:p>
    <w:p w14:paraId="0F95016B" w14:textId="77777777" w:rsidR="00DE1B44" w:rsidRDefault="00D40582">
      <w:pPr>
        <w:spacing w:before="120"/>
        <w:ind w:firstLine="480"/>
        <w:rPr>
          <w:rFonts w:ascii="Times New Roman" w:hAnsi="Times New Roman" w:cs="Times New Roman"/>
        </w:rPr>
      </w:pPr>
      <w:r>
        <w:rPr>
          <w:rFonts w:ascii="Times New Roman" w:hAnsi="Times New Roman" w:cs="Times New Roman"/>
        </w:rPr>
        <w:t>提出解除协议的一方应当以书面形式通知对方，通知在送达对方时生效。非经本协议双方协商一致并达成书面协议，任何一方不得转让其在本协议项下全部和</w:t>
      </w:r>
      <w:r>
        <w:rPr>
          <w:rFonts w:ascii="Times New Roman" w:hAnsi="Times New Roman" w:cs="Times New Roman"/>
        </w:rPr>
        <w:t>/</w:t>
      </w:r>
      <w:r>
        <w:rPr>
          <w:rFonts w:ascii="Times New Roman" w:hAnsi="Times New Roman" w:cs="Times New Roman"/>
        </w:rPr>
        <w:t>或部分权利义务。</w:t>
      </w:r>
    </w:p>
    <w:p w14:paraId="62642063" w14:textId="77777777" w:rsidR="00DE1B44" w:rsidRDefault="00D40582">
      <w:pPr>
        <w:pStyle w:val="2f0"/>
        <w:spacing w:before="120"/>
        <w:rPr>
          <w:rFonts w:ascii="Times New Roman" w:hAnsi="Times New Roman"/>
        </w:rPr>
      </w:pPr>
      <w:bookmarkStart w:id="71" w:name="_Toc89016923"/>
      <w:r>
        <w:rPr>
          <w:rFonts w:ascii="Times New Roman" w:hAnsi="Times New Roman" w:hint="eastAsia"/>
        </w:rPr>
        <w:t>五、</w:t>
      </w:r>
      <w:r>
        <w:rPr>
          <w:rFonts w:ascii="Times New Roman" w:hAnsi="Times New Roman"/>
        </w:rPr>
        <w:t>违约责任条款</w:t>
      </w:r>
      <w:bookmarkEnd w:id="71"/>
    </w:p>
    <w:p w14:paraId="363B70D9" w14:textId="77777777" w:rsidR="00DE1B44" w:rsidRDefault="00D40582">
      <w:pPr>
        <w:spacing w:before="120"/>
        <w:ind w:firstLine="480"/>
        <w:rPr>
          <w:rFonts w:ascii="Times New Roman" w:hAnsi="Times New Roman" w:cs="Times New Roman"/>
        </w:rPr>
      </w:pPr>
      <w:r>
        <w:rPr>
          <w:rFonts w:ascii="Times New Roman" w:hAnsi="Times New Roman" w:cs="Times New Roman"/>
        </w:rPr>
        <w:t>本协议任何一方在本协议所作的声明、承诺或保证存在虚假、重大遗漏或者重大误解，或者未能履行本协议约定的义务，均为违约。违约方应依照法律规定及本协议的约定，向对方承担违约责任。</w:t>
      </w:r>
    </w:p>
    <w:p w14:paraId="21650A7A" w14:textId="77777777" w:rsidR="00DE1B44" w:rsidRDefault="00D40582">
      <w:pPr>
        <w:spacing w:before="120"/>
        <w:ind w:firstLine="480"/>
        <w:rPr>
          <w:rFonts w:ascii="Times New Roman" w:hAnsi="Times New Roman" w:cs="Times New Roman"/>
        </w:rPr>
      </w:pPr>
      <w:r>
        <w:rPr>
          <w:rFonts w:ascii="Times New Roman" w:hAnsi="Times New Roman" w:cs="Times New Roman"/>
        </w:rPr>
        <w:t>若乙方未按约定及时足额缴付认购价款，除应当向甲方足额缴付外，还应当支付违约金。违约金的计算方法为：每延迟缴付一日，支付未缴付认购价款的</w:t>
      </w:r>
      <w:r>
        <w:rPr>
          <w:rFonts w:ascii="Times New Roman" w:hAnsi="Times New Roman" w:cs="Times New Roman"/>
        </w:rPr>
        <w:t>0.2%</w:t>
      </w:r>
      <w:r>
        <w:rPr>
          <w:rFonts w:ascii="Times New Roman" w:hAnsi="Times New Roman" w:cs="Times New Roman"/>
        </w:rPr>
        <w:t>。如果乙方逾期缴付认购价款超过</w:t>
      </w:r>
      <w:r>
        <w:rPr>
          <w:rFonts w:ascii="Times New Roman" w:hAnsi="Times New Roman" w:cs="Times New Roman"/>
        </w:rPr>
        <w:t>15</w:t>
      </w:r>
      <w:r>
        <w:rPr>
          <w:rFonts w:ascii="Times New Roman" w:hAnsi="Times New Roman" w:cs="Times New Roman"/>
        </w:rPr>
        <w:t>日，且经甲方发出补足资金催告函后</w:t>
      </w:r>
      <w:r>
        <w:rPr>
          <w:rFonts w:ascii="Times New Roman" w:hAnsi="Times New Roman" w:cs="Times New Roman"/>
        </w:rPr>
        <w:t>5</w:t>
      </w:r>
      <w:r>
        <w:rPr>
          <w:rFonts w:ascii="Times New Roman" w:hAnsi="Times New Roman" w:cs="Times New Roman"/>
        </w:rPr>
        <w:t>日内未能补足的，则甲方有权单方面解除本协议，并有权要求乙方按照应缴付认购价款金额的</w:t>
      </w:r>
      <w:r>
        <w:rPr>
          <w:rFonts w:ascii="Times New Roman" w:hAnsi="Times New Roman" w:cs="Times New Roman"/>
        </w:rPr>
        <w:t>1%</w:t>
      </w:r>
      <w:r>
        <w:rPr>
          <w:rFonts w:ascii="Times New Roman" w:hAnsi="Times New Roman" w:cs="Times New Roman"/>
        </w:rPr>
        <w:t>一次性</w:t>
      </w:r>
      <w:r>
        <w:rPr>
          <w:rFonts w:ascii="Times New Roman" w:hAnsi="Times New Roman" w:cs="Times New Roman"/>
        </w:rPr>
        <w:lastRenderedPageBreak/>
        <w:t>支付违约金，甲方在扣除上述违约金后将剩余认购价款（如有）无息退还给乙方；若乙方已缴付的认购价款不足以覆盖本条约定的违约金，乙方应立即予以补足。</w:t>
      </w:r>
    </w:p>
    <w:p w14:paraId="3C4FB566" w14:textId="77777777" w:rsidR="00DE1B44" w:rsidRDefault="00D40582">
      <w:pPr>
        <w:spacing w:before="120"/>
        <w:ind w:firstLine="480"/>
        <w:rPr>
          <w:rFonts w:ascii="Times New Roman" w:hAnsi="Times New Roman" w:cs="Times New Roman"/>
        </w:rPr>
      </w:pPr>
      <w:r>
        <w:rPr>
          <w:rFonts w:ascii="Times New Roman" w:hAnsi="Times New Roman" w:cs="Times New Roman"/>
        </w:rPr>
        <w:t>违约方支付违约金不影响守约方要求违约方赔偿损失、继续履行协议或解除协议的权利。</w:t>
      </w:r>
    </w:p>
    <w:p w14:paraId="58EEE40B" w14:textId="77777777" w:rsidR="00DE1B44" w:rsidRDefault="00D40582">
      <w:pPr>
        <w:pStyle w:val="2f0"/>
        <w:spacing w:before="120"/>
        <w:rPr>
          <w:rFonts w:ascii="Times New Roman" w:hAnsi="Times New Roman"/>
        </w:rPr>
      </w:pPr>
      <w:bookmarkStart w:id="72" w:name="_Toc89016924"/>
      <w:r>
        <w:rPr>
          <w:rFonts w:ascii="Times New Roman" w:hAnsi="Times New Roman" w:hint="eastAsia"/>
        </w:rPr>
        <w:t>六、</w:t>
      </w:r>
      <w:r>
        <w:rPr>
          <w:rFonts w:ascii="Times New Roman" w:hAnsi="Times New Roman"/>
        </w:rPr>
        <w:t>相关股票限售安排</w:t>
      </w:r>
      <w:bookmarkEnd w:id="72"/>
    </w:p>
    <w:p w14:paraId="5FAF599A"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根据中国银监会的相关规定，商业银行的主要股东自取得股权之日起五年内不得转让。参与本次发行的投资者中，中国人寿保险股份有限公司、江西省交通投资集团有限责任公司为本行的主要股东，其认购的本次发行的股票将自其取得股权之日起五年内不转让。五年期满后，中国人寿保险股份有限公司、江西省交通投资集团有限责任公司转让其股份及受让方的股东资格均应取得监管部门的同意。</w:t>
      </w:r>
    </w:p>
    <w:p w14:paraId="650D6074"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本次增资完成后，若有意向投资方成为本行的主要股东，则其认购的本次发行的股票将自其取得股权之日起五年内不转让。</w:t>
      </w:r>
    </w:p>
    <w:p w14:paraId="4D3A377A" w14:textId="77777777" w:rsidR="00DE1B44" w:rsidRDefault="00DE1B44">
      <w:pPr>
        <w:spacing w:before="120"/>
        <w:ind w:firstLine="480"/>
        <w:rPr>
          <w:rFonts w:ascii="Times New Roman" w:hAnsi="Times New Roman" w:cs="Times New Roman"/>
        </w:rPr>
      </w:pPr>
    </w:p>
    <w:p w14:paraId="4D6F2E64" w14:textId="77777777" w:rsidR="00DE1B44" w:rsidRDefault="00D40582">
      <w:pPr>
        <w:pStyle w:val="1ff1"/>
        <w:spacing w:before="120"/>
        <w:ind w:firstLine="720"/>
        <w:rPr>
          <w:rFonts w:ascii="Times New Roman" w:hAnsi="Times New Roman" w:cs="Times New Roman"/>
        </w:rPr>
      </w:pPr>
      <w:bookmarkStart w:id="73" w:name="_Toc89016925"/>
      <w:r>
        <w:rPr>
          <w:rFonts w:ascii="Times New Roman" w:hAnsi="Times New Roman" w:cs="Times New Roman"/>
        </w:rPr>
        <w:lastRenderedPageBreak/>
        <w:t>第</w:t>
      </w:r>
      <w:r>
        <w:rPr>
          <w:rFonts w:ascii="Times New Roman" w:hAnsi="Times New Roman" w:cs="Times New Roman" w:hint="eastAsia"/>
        </w:rPr>
        <w:t>五</w:t>
      </w:r>
      <w:r>
        <w:rPr>
          <w:rFonts w:ascii="Times New Roman" w:hAnsi="Times New Roman" w:cs="Times New Roman"/>
        </w:rPr>
        <w:t>节</w:t>
      </w:r>
      <w:r>
        <w:rPr>
          <w:rFonts w:ascii="Times New Roman" w:hAnsi="Times New Roman" w:cs="Times New Roman" w:hint="eastAsia"/>
        </w:rPr>
        <w:t xml:space="preserve"> </w:t>
      </w:r>
      <w:r>
        <w:rPr>
          <w:rFonts w:ascii="Times New Roman" w:hAnsi="Times New Roman" w:cs="Times New Roman" w:hint="eastAsia"/>
        </w:rPr>
        <w:t>本次定向发行对申请人的影响</w:t>
      </w:r>
      <w:bookmarkEnd w:id="73"/>
    </w:p>
    <w:p w14:paraId="3D53A1D2" w14:textId="77777777" w:rsidR="00DE1B44" w:rsidRDefault="00D40582">
      <w:pPr>
        <w:pStyle w:val="2f0"/>
        <w:spacing w:before="120"/>
        <w:rPr>
          <w:rFonts w:ascii="Times New Roman" w:hAnsi="Times New Roman"/>
        </w:rPr>
      </w:pPr>
      <w:bookmarkStart w:id="74" w:name="_Toc89016926"/>
      <w:bookmarkStart w:id="75" w:name="_Toc497726081"/>
      <w:r>
        <w:rPr>
          <w:rFonts w:ascii="Times New Roman" w:hAnsi="Times New Roman"/>
        </w:rPr>
        <w:t>一、本次</w:t>
      </w:r>
      <w:r>
        <w:rPr>
          <w:rFonts w:ascii="Times New Roman" w:hAnsi="Times New Roman" w:hint="eastAsia"/>
        </w:rPr>
        <w:t>定向</w:t>
      </w:r>
      <w:r>
        <w:rPr>
          <w:rFonts w:ascii="Times New Roman" w:hAnsi="Times New Roman"/>
        </w:rPr>
        <w:t>发行对</w:t>
      </w:r>
      <w:r>
        <w:rPr>
          <w:rFonts w:ascii="Times New Roman" w:hAnsi="Times New Roman" w:hint="eastAsia"/>
        </w:rPr>
        <w:t>申请人</w:t>
      </w:r>
      <w:r>
        <w:rPr>
          <w:rFonts w:ascii="Times New Roman" w:hAnsi="Times New Roman"/>
        </w:rPr>
        <w:t>经营管理的影响</w:t>
      </w:r>
      <w:bookmarkEnd w:id="74"/>
      <w:bookmarkEnd w:id="75"/>
    </w:p>
    <w:p w14:paraId="4C73D9EB" w14:textId="77777777" w:rsidR="00DE1B44" w:rsidRDefault="00D40582">
      <w:pPr>
        <w:pStyle w:val="4a"/>
        <w:spacing w:before="120"/>
        <w:rPr>
          <w:rFonts w:ascii="Times New Roman" w:hAnsi="Times New Roman"/>
        </w:rPr>
      </w:pPr>
      <w:r>
        <w:rPr>
          <w:rFonts w:ascii="Times New Roman" w:hAnsi="Times New Roman"/>
        </w:rPr>
        <w:t>（一）本次发行对</w:t>
      </w:r>
      <w:r>
        <w:rPr>
          <w:rFonts w:ascii="Times New Roman" w:hAnsi="Times New Roman" w:hint="eastAsia"/>
        </w:rPr>
        <w:t>本行</w:t>
      </w:r>
      <w:r>
        <w:rPr>
          <w:rFonts w:ascii="Times New Roman" w:hAnsi="Times New Roman"/>
        </w:rPr>
        <w:t>业务</w:t>
      </w:r>
      <w:r>
        <w:rPr>
          <w:rFonts w:ascii="Times New Roman" w:hAnsi="Times New Roman" w:hint="eastAsia"/>
        </w:rPr>
        <w:t>及经营</w:t>
      </w:r>
      <w:r>
        <w:rPr>
          <w:rFonts w:ascii="Times New Roman" w:hAnsi="Times New Roman"/>
        </w:rPr>
        <w:t>的影响</w:t>
      </w:r>
    </w:p>
    <w:p w14:paraId="137BE40A"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本次发行完成后，</w:t>
      </w:r>
      <w:r>
        <w:rPr>
          <w:rFonts w:ascii="Times New Roman" w:hAnsi="Times New Roman" w:cs="Times New Roman" w:hint="eastAsia"/>
        </w:rPr>
        <w:t>本行</w:t>
      </w:r>
      <w:r>
        <w:rPr>
          <w:rFonts w:ascii="Times New Roman" w:hAnsi="Times New Roman" w:cs="Times New Roman"/>
        </w:rPr>
        <w:t>业务和业务结构不会发生重大变化。</w:t>
      </w:r>
    </w:p>
    <w:p w14:paraId="12E81B0B"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本次发行所募集资金，将有助于</w:t>
      </w:r>
      <w:r>
        <w:rPr>
          <w:rFonts w:ascii="Times New Roman" w:hAnsi="Times New Roman" w:cs="Times New Roman" w:hint="eastAsia"/>
        </w:rPr>
        <w:t>本行</w:t>
      </w:r>
      <w:r>
        <w:rPr>
          <w:rFonts w:ascii="Times New Roman" w:hAnsi="Times New Roman" w:cs="Times New Roman"/>
        </w:rPr>
        <w:t>进一步增强资本实力，拓展业务规模，支撑</w:t>
      </w:r>
      <w:r>
        <w:rPr>
          <w:rFonts w:ascii="Times New Roman" w:hAnsi="Times New Roman" w:cs="Times New Roman" w:hint="eastAsia"/>
        </w:rPr>
        <w:t>本行</w:t>
      </w:r>
      <w:r>
        <w:rPr>
          <w:rFonts w:ascii="Times New Roman" w:hAnsi="Times New Roman" w:cs="Times New Roman"/>
        </w:rPr>
        <w:t>战略的顺利实施和业务的更好发展。</w:t>
      </w:r>
    </w:p>
    <w:p w14:paraId="6D622C71" w14:textId="77777777" w:rsidR="00DE1B44" w:rsidRDefault="00D40582">
      <w:pPr>
        <w:pStyle w:val="4a"/>
        <w:spacing w:before="120"/>
        <w:rPr>
          <w:rFonts w:ascii="Times New Roman" w:hAnsi="Times New Roman"/>
        </w:rPr>
      </w:pPr>
      <w:r>
        <w:rPr>
          <w:rFonts w:ascii="Times New Roman" w:hAnsi="Times New Roman"/>
        </w:rPr>
        <w:t>（</w:t>
      </w:r>
      <w:r>
        <w:rPr>
          <w:rFonts w:ascii="Times New Roman" w:hAnsi="Times New Roman" w:hint="eastAsia"/>
        </w:rPr>
        <w:t>二</w:t>
      </w:r>
      <w:r>
        <w:rPr>
          <w:rFonts w:ascii="Times New Roman" w:hAnsi="Times New Roman"/>
        </w:rPr>
        <w:t>）本次发行对公司章程的影响</w:t>
      </w:r>
    </w:p>
    <w:p w14:paraId="6A4FD4C6"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本次发行完成后，</w:t>
      </w:r>
      <w:r>
        <w:rPr>
          <w:rFonts w:ascii="Times New Roman" w:hAnsi="Times New Roman" w:cs="Times New Roman" w:hint="eastAsia"/>
        </w:rPr>
        <w:t>本行</w:t>
      </w:r>
      <w:r>
        <w:rPr>
          <w:rFonts w:ascii="Times New Roman" w:hAnsi="Times New Roman" w:cs="Times New Roman"/>
        </w:rPr>
        <w:t>注册资本、股份总数等将发生变化，</w:t>
      </w:r>
      <w:r>
        <w:rPr>
          <w:rFonts w:ascii="Times New Roman" w:hAnsi="Times New Roman" w:cs="Times New Roman" w:hint="eastAsia"/>
        </w:rPr>
        <w:t>本行</w:t>
      </w:r>
      <w:r>
        <w:rPr>
          <w:rFonts w:ascii="Times New Roman" w:hAnsi="Times New Roman" w:cs="Times New Roman"/>
        </w:rPr>
        <w:t>将根据本次发行结果，按照法定程序对《公司章程》的相应条款进行修订。</w:t>
      </w:r>
    </w:p>
    <w:p w14:paraId="13A29529" w14:textId="77777777" w:rsidR="00DE1B44" w:rsidRDefault="00D40582">
      <w:pPr>
        <w:pStyle w:val="4a"/>
        <w:spacing w:before="120"/>
        <w:rPr>
          <w:rFonts w:ascii="Times New Roman" w:hAnsi="Times New Roman"/>
        </w:rPr>
      </w:pPr>
      <w:r>
        <w:rPr>
          <w:rFonts w:ascii="Times New Roman" w:hAnsi="Times New Roman"/>
        </w:rPr>
        <w:t>（三）本次发行对公司股权结构和控制权的影响</w:t>
      </w:r>
    </w:p>
    <w:p w14:paraId="5F410894"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以截至</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日的股权结构为基础，本次发行前后，</w:t>
      </w:r>
      <w:r>
        <w:rPr>
          <w:rFonts w:ascii="Times New Roman" w:hAnsi="Times New Roman" w:cs="Times New Roman" w:hint="eastAsia"/>
        </w:rPr>
        <w:t>本行前十大股东名单</w:t>
      </w:r>
      <w:r>
        <w:rPr>
          <w:rFonts w:ascii="Times New Roman" w:hAnsi="Times New Roman" w:cs="Times New Roman"/>
        </w:rPr>
        <w:t>如下：</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9"/>
        <w:gridCol w:w="2640"/>
        <w:gridCol w:w="1084"/>
        <w:gridCol w:w="667"/>
        <w:gridCol w:w="2801"/>
        <w:gridCol w:w="1315"/>
      </w:tblGrid>
      <w:tr w:rsidR="00DE1B44" w14:paraId="267362CB" w14:textId="77777777">
        <w:trPr>
          <w:trHeight w:val="505"/>
          <w:jc w:val="center"/>
        </w:trPr>
        <w:tc>
          <w:tcPr>
            <w:tcW w:w="509" w:type="dxa"/>
            <w:vAlign w:val="center"/>
          </w:tcPr>
          <w:p w14:paraId="5CF308EE" w14:textId="77777777" w:rsidR="00DE1B44" w:rsidRDefault="00D40582">
            <w:pPr>
              <w:autoSpaceDE w:val="0"/>
              <w:autoSpaceDN w:val="0"/>
              <w:adjustRightInd w:val="0"/>
              <w:snapToGrid w:val="0"/>
              <w:spacing w:beforeLines="0" w:before="0" w:line="240" w:lineRule="auto"/>
              <w:ind w:left="113" w:firstLineChars="0" w:firstLine="0"/>
              <w:textAlignment w:val="baseline"/>
              <w:rPr>
                <w:rFonts w:ascii="Times New Roman" w:hAnsi="Times New Roman" w:cs="Times New Roman"/>
                <w:b/>
                <w:bCs/>
                <w:color w:val="000000"/>
                <w:spacing w:val="-4"/>
                <w:sz w:val="21"/>
                <w:szCs w:val="21"/>
              </w:rPr>
            </w:pPr>
            <w:r>
              <w:rPr>
                <w:rFonts w:ascii="Times New Roman" w:hAnsi="Times New Roman" w:cs="Times New Roman"/>
                <w:b/>
                <w:bCs/>
                <w:color w:val="000000"/>
                <w:spacing w:val="-4"/>
                <w:sz w:val="21"/>
                <w:szCs w:val="21"/>
              </w:rPr>
              <w:t>序号</w:t>
            </w:r>
          </w:p>
        </w:tc>
        <w:tc>
          <w:tcPr>
            <w:tcW w:w="2640" w:type="dxa"/>
            <w:tcMar>
              <w:top w:w="0" w:type="dxa"/>
              <w:left w:w="0" w:type="dxa"/>
              <w:bottom w:w="57" w:type="dxa"/>
              <w:right w:w="0" w:type="dxa"/>
            </w:tcMar>
            <w:vAlign w:val="center"/>
          </w:tcPr>
          <w:p w14:paraId="72AA7344"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b/>
                <w:bCs/>
                <w:color w:val="000000"/>
                <w:spacing w:val="-4"/>
                <w:sz w:val="21"/>
                <w:szCs w:val="21"/>
              </w:rPr>
              <w:t>股东名称</w:t>
            </w:r>
          </w:p>
        </w:tc>
        <w:tc>
          <w:tcPr>
            <w:tcW w:w="1084" w:type="dxa"/>
            <w:tcMar>
              <w:top w:w="0" w:type="dxa"/>
              <w:left w:w="0" w:type="dxa"/>
              <w:bottom w:w="57" w:type="dxa"/>
              <w:right w:w="0" w:type="dxa"/>
            </w:tcMar>
            <w:vAlign w:val="center"/>
          </w:tcPr>
          <w:p w14:paraId="1014EB9F"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b/>
                <w:bCs/>
                <w:color w:val="000000"/>
                <w:spacing w:val="-4"/>
                <w:sz w:val="21"/>
                <w:szCs w:val="21"/>
              </w:rPr>
              <w:t>持股比例</w:t>
            </w:r>
            <w:r>
              <w:rPr>
                <w:rFonts w:ascii="Times New Roman" w:hAnsi="Times New Roman" w:cs="Times New Roman"/>
                <w:b/>
                <w:bCs/>
                <w:color w:val="000000"/>
                <w:spacing w:val="-4"/>
                <w:sz w:val="21"/>
                <w:szCs w:val="21"/>
              </w:rPr>
              <w:t>(%)</w:t>
            </w:r>
          </w:p>
        </w:tc>
        <w:tc>
          <w:tcPr>
            <w:tcW w:w="667" w:type="dxa"/>
            <w:vAlign w:val="center"/>
          </w:tcPr>
          <w:p w14:paraId="0D9FE63E"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b/>
                <w:bCs/>
                <w:color w:val="000000"/>
                <w:spacing w:val="-4"/>
                <w:sz w:val="21"/>
                <w:szCs w:val="21"/>
              </w:rPr>
              <w:t>序号</w:t>
            </w:r>
          </w:p>
        </w:tc>
        <w:tc>
          <w:tcPr>
            <w:tcW w:w="2801" w:type="dxa"/>
            <w:vAlign w:val="center"/>
          </w:tcPr>
          <w:p w14:paraId="4A5083D5"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b/>
                <w:bCs/>
                <w:color w:val="000000"/>
                <w:spacing w:val="-4"/>
                <w:sz w:val="21"/>
                <w:szCs w:val="21"/>
              </w:rPr>
              <w:t>股东名称</w:t>
            </w:r>
          </w:p>
        </w:tc>
        <w:tc>
          <w:tcPr>
            <w:tcW w:w="1315" w:type="dxa"/>
            <w:vAlign w:val="center"/>
          </w:tcPr>
          <w:p w14:paraId="0DDE5BC6"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b/>
                <w:bCs/>
                <w:color w:val="000000"/>
                <w:spacing w:val="-4"/>
                <w:sz w:val="21"/>
                <w:szCs w:val="21"/>
              </w:rPr>
              <w:t>持股比例</w:t>
            </w:r>
            <w:r>
              <w:rPr>
                <w:rFonts w:ascii="Times New Roman" w:hAnsi="Times New Roman" w:cs="Times New Roman"/>
                <w:b/>
                <w:bCs/>
                <w:color w:val="000000"/>
                <w:spacing w:val="-4"/>
                <w:sz w:val="21"/>
                <w:szCs w:val="21"/>
              </w:rPr>
              <w:t>(%)</w:t>
            </w:r>
          </w:p>
        </w:tc>
      </w:tr>
      <w:tr w:rsidR="00DE1B44" w14:paraId="09FCA0DC" w14:textId="77777777">
        <w:trPr>
          <w:trHeight w:val="73"/>
          <w:jc w:val="center"/>
        </w:trPr>
        <w:tc>
          <w:tcPr>
            <w:tcW w:w="509" w:type="dxa"/>
            <w:vAlign w:val="center"/>
          </w:tcPr>
          <w:p w14:paraId="33A1D180"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1</w:t>
            </w:r>
          </w:p>
        </w:tc>
        <w:tc>
          <w:tcPr>
            <w:tcW w:w="2640" w:type="dxa"/>
            <w:tcMar>
              <w:top w:w="0" w:type="dxa"/>
              <w:left w:w="0" w:type="dxa"/>
              <w:bottom w:w="28" w:type="dxa"/>
              <w:right w:w="0" w:type="dxa"/>
            </w:tcMar>
            <w:vAlign w:val="center"/>
          </w:tcPr>
          <w:p w14:paraId="61EEE77A"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中国人寿保险股份有限公司</w:t>
            </w:r>
          </w:p>
        </w:tc>
        <w:tc>
          <w:tcPr>
            <w:tcW w:w="1084" w:type="dxa"/>
            <w:tcMar>
              <w:top w:w="0" w:type="dxa"/>
              <w:left w:w="0" w:type="dxa"/>
              <w:bottom w:w="28" w:type="dxa"/>
              <w:right w:w="0" w:type="dxa"/>
            </w:tcMar>
            <w:vAlign w:val="center"/>
          </w:tcPr>
          <w:p w14:paraId="25331434"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43.686</w:t>
            </w:r>
          </w:p>
        </w:tc>
        <w:tc>
          <w:tcPr>
            <w:tcW w:w="667" w:type="dxa"/>
            <w:vAlign w:val="center"/>
          </w:tcPr>
          <w:p w14:paraId="339AE369"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sz w:val="21"/>
                <w:szCs w:val="21"/>
              </w:rPr>
            </w:pPr>
            <w:r>
              <w:rPr>
                <w:rFonts w:ascii="Times New Roman" w:hAnsi="Times New Roman" w:cs="Times New Roman"/>
                <w:color w:val="000000"/>
                <w:spacing w:val="-4"/>
                <w:sz w:val="21"/>
                <w:szCs w:val="21"/>
              </w:rPr>
              <w:t>1</w:t>
            </w:r>
          </w:p>
        </w:tc>
        <w:tc>
          <w:tcPr>
            <w:tcW w:w="2801" w:type="dxa"/>
            <w:vAlign w:val="center"/>
          </w:tcPr>
          <w:p w14:paraId="581308C9"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中国人寿保险股份有限公司</w:t>
            </w:r>
          </w:p>
        </w:tc>
        <w:tc>
          <w:tcPr>
            <w:tcW w:w="1315" w:type="dxa"/>
            <w:vAlign w:val="center"/>
          </w:tcPr>
          <w:p w14:paraId="6D44F875"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43.686</w:t>
            </w:r>
          </w:p>
        </w:tc>
      </w:tr>
      <w:tr w:rsidR="00DE1B44" w14:paraId="0D41A176" w14:textId="77777777">
        <w:trPr>
          <w:trHeight w:val="454"/>
          <w:jc w:val="center"/>
        </w:trPr>
        <w:tc>
          <w:tcPr>
            <w:tcW w:w="509" w:type="dxa"/>
            <w:vAlign w:val="center"/>
          </w:tcPr>
          <w:p w14:paraId="3BB3D13E"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2</w:t>
            </w:r>
          </w:p>
        </w:tc>
        <w:tc>
          <w:tcPr>
            <w:tcW w:w="2640" w:type="dxa"/>
            <w:tcMar>
              <w:top w:w="0" w:type="dxa"/>
              <w:left w:w="0" w:type="dxa"/>
              <w:bottom w:w="28" w:type="dxa"/>
              <w:right w:w="0" w:type="dxa"/>
            </w:tcMar>
            <w:vAlign w:val="center"/>
          </w:tcPr>
          <w:p w14:paraId="7C6F0FA3"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proofErr w:type="gramStart"/>
            <w:r>
              <w:rPr>
                <w:rFonts w:ascii="Times New Roman" w:hAnsi="Times New Roman" w:cs="Times New Roman"/>
                <w:color w:val="000000"/>
                <w:spacing w:val="-4"/>
                <w:sz w:val="21"/>
                <w:szCs w:val="21"/>
              </w:rPr>
              <w:t>国网英</w:t>
            </w:r>
            <w:proofErr w:type="gramEnd"/>
            <w:r>
              <w:rPr>
                <w:rFonts w:ascii="Times New Roman" w:hAnsi="Times New Roman" w:cs="Times New Roman"/>
                <w:color w:val="000000"/>
                <w:spacing w:val="-4"/>
                <w:sz w:val="21"/>
                <w:szCs w:val="21"/>
              </w:rPr>
              <w:t>大国际控股集团有限公司</w:t>
            </w:r>
          </w:p>
        </w:tc>
        <w:tc>
          <w:tcPr>
            <w:tcW w:w="1084" w:type="dxa"/>
            <w:tcMar>
              <w:top w:w="0" w:type="dxa"/>
              <w:left w:w="0" w:type="dxa"/>
              <w:bottom w:w="28" w:type="dxa"/>
              <w:right w:w="0" w:type="dxa"/>
            </w:tcMar>
            <w:vAlign w:val="center"/>
          </w:tcPr>
          <w:p w14:paraId="4BB7D16E"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15.647</w:t>
            </w:r>
          </w:p>
        </w:tc>
        <w:tc>
          <w:tcPr>
            <w:tcW w:w="667" w:type="dxa"/>
            <w:vAlign w:val="center"/>
          </w:tcPr>
          <w:p w14:paraId="65EA547B"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sz w:val="21"/>
                <w:szCs w:val="21"/>
              </w:rPr>
            </w:pPr>
            <w:r>
              <w:rPr>
                <w:rFonts w:ascii="Times New Roman" w:hAnsi="Times New Roman" w:cs="Times New Roman"/>
                <w:color w:val="000000"/>
                <w:spacing w:val="-4"/>
                <w:sz w:val="21"/>
                <w:szCs w:val="21"/>
              </w:rPr>
              <w:t>2</w:t>
            </w:r>
          </w:p>
        </w:tc>
        <w:tc>
          <w:tcPr>
            <w:tcW w:w="2801" w:type="dxa"/>
            <w:vAlign w:val="center"/>
          </w:tcPr>
          <w:p w14:paraId="69B7E59F"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proofErr w:type="gramStart"/>
            <w:r>
              <w:rPr>
                <w:rFonts w:ascii="Times New Roman" w:hAnsi="Times New Roman" w:cs="Times New Roman"/>
                <w:sz w:val="21"/>
                <w:szCs w:val="21"/>
              </w:rPr>
              <w:t>国网英</w:t>
            </w:r>
            <w:proofErr w:type="gramEnd"/>
            <w:r>
              <w:rPr>
                <w:rFonts w:ascii="Times New Roman" w:hAnsi="Times New Roman" w:cs="Times New Roman"/>
                <w:sz w:val="21"/>
                <w:szCs w:val="21"/>
              </w:rPr>
              <w:t>大国际控股集团有限公司</w:t>
            </w:r>
          </w:p>
        </w:tc>
        <w:tc>
          <w:tcPr>
            <w:tcW w:w="1315" w:type="dxa"/>
            <w:vAlign w:val="center"/>
          </w:tcPr>
          <w:p w14:paraId="4EF0F707"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14.1</w:t>
            </w:r>
            <w:r>
              <w:rPr>
                <w:rFonts w:ascii="Times New Roman" w:hAnsi="Times New Roman" w:cs="Times New Roman" w:hint="eastAsia"/>
                <w:sz w:val="21"/>
                <w:szCs w:val="21"/>
              </w:rPr>
              <w:t>37</w:t>
            </w:r>
          </w:p>
        </w:tc>
      </w:tr>
      <w:tr w:rsidR="00DE1B44" w14:paraId="50C4EF55" w14:textId="77777777">
        <w:trPr>
          <w:trHeight w:val="454"/>
          <w:jc w:val="center"/>
        </w:trPr>
        <w:tc>
          <w:tcPr>
            <w:tcW w:w="509" w:type="dxa"/>
            <w:vAlign w:val="center"/>
          </w:tcPr>
          <w:p w14:paraId="29DBDE25"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3</w:t>
            </w:r>
          </w:p>
        </w:tc>
        <w:tc>
          <w:tcPr>
            <w:tcW w:w="2640" w:type="dxa"/>
            <w:tcMar>
              <w:top w:w="0" w:type="dxa"/>
              <w:left w:w="0" w:type="dxa"/>
              <w:bottom w:w="28" w:type="dxa"/>
              <w:right w:w="0" w:type="dxa"/>
            </w:tcMar>
            <w:vAlign w:val="center"/>
          </w:tcPr>
          <w:p w14:paraId="72E606B5"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中</w:t>
            </w:r>
            <w:proofErr w:type="gramStart"/>
            <w:r>
              <w:rPr>
                <w:rFonts w:ascii="Times New Roman" w:hAnsi="Times New Roman" w:cs="Times New Roman"/>
                <w:color w:val="000000"/>
                <w:spacing w:val="-4"/>
                <w:sz w:val="21"/>
                <w:szCs w:val="21"/>
              </w:rPr>
              <w:t>信</w:t>
            </w:r>
            <w:proofErr w:type="gramEnd"/>
            <w:r>
              <w:rPr>
                <w:rFonts w:ascii="Times New Roman" w:hAnsi="Times New Roman" w:cs="Times New Roman"/>
                <w:color w:val="000000"/>
                <w:spacing w:val="-4"/>
                <w:sz w:val="21"/>
                <w:szCs w:val="21"/>
              </w:rPr>
              <w:t>信托有限责任公司</w:t>
            </w:r>
          </w:p>
        </w:tc>
        <w:tc>
          <w:tcPr>
            <w:tcW w:w="1084" w:type="dxa"/>
            <w:tcMar>
              <w:top w:w="0" w:type="dxa"/>
              <w:left w:w="0" w:type="dxa"/>
              <w:bottom w:w="28" w:type="dxa"/>
              <w:right w:w="0" w:type="dxa"/>
            </w:tcMar>
            <w:vAlign w:val="center"/>
          </w:tcPr>
          <w:p w14:paraId="7D9C42B7"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15.647</w:t>
            </w:r>
          </w:p>
        </w:tc>
        <w:tc>
          <w:tcPr>
            <w:tcW w:w="667" w:type="dxa"/>
            <w:vAlign w:val="center"/>
          </w:tcPr>
          <w:p w14:paraId="6EB85526"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sz w:val="21"/>
                <w:szCs w:val="21"/>
              </w:rPr>
            </w:pPr>
            <w:r>
              <w:rPr>
                <w:rFonts w:ascii="Times New Roman" w:hAnsi="Times New Roman" w:cs="Times New Roman"/>
                <w:color w:val="000000"/>
                <w:spacing w:val="-4"/>
                <w:sz w:val="21"/>
                <w:szCs w:val="21"/>
              </w:rPr>
              <w:t>3</w:t>
            </w:r>
          </w:p>
        </w:tc>
        <w:tc>
          <w:tcPr>
            <w:tcW w:w="2801" w:type="dxa"/>
            <w:vAlign w:val="center"/>
          </w:tcPr>
          <w:p w14:paraId="30A77796"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中</w:t>
            </w:r>
            <w:proofErr w:type="gramStart"/>
            <w:r>
              <w:rPr>
                <w:rFonts w:ascii="Times New Roman" w:hAnsi="Times New Roman" w:cs="Times New Roman"/>
                <w:sz w:val="21"/>
                <w:szCs w:val="21"/>
              </w:rPr>
              <w:t>信</w:t>
            </w:r>
            <w:proofErr w:type="gramEnd"/>
            <w:r>
              <w:rPr>
                <w:rFonts w:ascii="Times New Roman" w:hAnsi="Times New Roman" w:cs="Times New Roman"/>
                <w:sz w:val="21"/>
                <w:szCs w:val="21"/>
              </w:rPr>
              <w:t>信托有限责任公司</w:t>
            </w:r>
          </w:p>
        </w:tc>
        <w:tc>
          <w:tcPr>
            <w:tcW w:w="1315" w:type="dxa"/>
            <w:vAlign w:val="center"/>
          </w:tcPr>
          <w:p w14:paraId="23A374CF"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14.1</w:t>
            </w:r>
            <w:r>
              <w:rPr>
                <w:rFonts w:ascii="Times New Roman" w:hAnsi="Times New Roman" w:cs="Times New Roman" w:hint="eastAsia"/>
                <w:sz w:val="21"/>
                <w:szCs w:val="21"/>
              </w:rPr>
              <w:t>37</w:t>
            </w:r>
          </w:p>
        </w:tc>
      </w:tr>
      <w:tr w:rsidR="00DE1B44" w14:paraId="47EEDC73" w14:textId="77777777">
        <w:trPr>
          <w:trHeight w:val="454"/>
          <w:jc w:val="center"/>
        </w:trPr>
        <w:tc>
          <w:tcPr>
            <w:tcW w:w="509" w:type="dxa"/>
            <w:vAlign w:val="center"/>
          </w:tcPr>
          <w:p w14:paraId="2E1E6A52"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4</w:t>
            </w:r>
          </w:p>
        </w:tc>
        <w:tc>
          <w:tcPr>
            <w:tcW w:w="2640" w:type="dxa"/>
            <w:tcMar>
              <w:top w:w="0" w:type="dxa"/>
              <w:left w:w="0" w:type="dxa"/>
              <w:bottom w:w="28" w:type="dxa"/>
              <w:right w:w="0" w:type="dxa"/>
            </w:tcMar>
            <w:vAlign w:val="center"/>
          </w:tcPr>
          <w:p w14:paraId="5FE1887B"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sz w:val="21"/>
                <w:szCs w:val="21"/>
              </w:rPr>
            </w:pPr>
            <w:r>
              <w:rPr>
                <w:rFonts w:ascii="Times New Roman" w:hAnsi="Times New Roman" w:cs="Times New Roman"/>
                <w:color w:val="000000"/>
                <w:spacing w:val="-4"/>
                <w:sz w:val="21"/>
                <w:szCs w:val="21"/>
              </w:rPr>
              <w:t>江西省交通投资集团有限责任公司</w:t>
            </w:r>
          </w:p>
        </w:tc>
        <w:tc>
          <w:tcPr>
            <w:tcW w:w="1084" w:type="dxa"/>
            <w:tcMar>
              <w:top w:w="0" w:type="dxa"/>
              <w:left w:w="0" w:type="dxa"/>
              <w:bottom w:w="28" w:type="dxa"/>
              <w:right w:w="0" w:type="dxa"/>
            </w:tcMar>
            <w:vAlign w:val="center"/>
          </w:tcPr>
          <w:p w14:paraId="6A3DB577"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8.184</w:t>
            </w:r>
          </w:p>
        </w:tc>
        <w:tc>
          <w:tcPr>
            <w:tcW w:w="667" w:type="dxa"/>
            <w:vAlign w:val="center"/>
          </w:tcPr>
          <w:p w14:paraId="5C678DD1"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sz w:val="21"/>
                <w:szCs w:val="21"/>
              </w:rPr>
            </w:pPr>
            <w:r>
              <w:rPr>
                <w:rFonts w:ascii="Times New Roman" w:hAnsi="Times New Roman" w:cs="Times New Roman"/>
                <w:color w:val="000000"/>
                <w:spacing w:val="-4"/>
                <w:sz w:val="21"/>
                <w:szCs w:val="21"/>
              </w:rPr>
              <w:t>4</w:t>
            </w:r>
          </w:p>
        </w:tc>
        <w:tc>
          <w:tcPr>
            <w:tcW w:w="2801" w:type="dxa"/>
            <w:vAlign w:val="center"/>
          </w:tcPr>
          <w:p w14:paraId="0BB860DF"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江西省交通投资集团有限责任公司</w:t>
            </w:r>
          </w:p>
        </w:tc>
        <w:tc>
          <w:tcPr>
            <w:tcW w:w="1315" w:type="dxa"/>
            <w:vAlign w:val="center"/>
          </w:tcPr>
          <w:p w14:paraId="3B690B9A"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8.184</w:t>
            </w:r>
          </w:p>
        </w:tc>
      </w:tr>
      <w:tr w:rsidR="00DE1B44" w14:paraId="25C25FA9" w14:textId="77777777">
        <w:trPr>
          <w:trHeight w:val="454"/>
          <w:jc w:val="center"/>
        </w:trPr>
        <w:tc>
          <w:tcPr>
            <w:tcW w:w="509" w:type="dxa"/>
            <w:vAlign w:val="center"/>
          </w:tcPr>
          <w:p w14:paraId="318C08E3"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5</w:t>
            </w:r>
          </w:p>
        </w:tc>
        <w:tc>
          <w:tcPr>
            <w:tcW w:w="2640" w:type="dxa"/>
            <w:tcMar>
              <w:top w:w="0" w:type="dxa"/>
              <w:left w:w="0" w:type="dxa"/>
              <w:bottom w:w="28" w:type="dxa"/>
              <w:right w:w="0" w:type="dxa"/>
            </w:tcMar>
            <w:vAlign w:val="center"/>
          </w:tcPr>
          <w:p w14:paraId="643DAF86"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中航投资控股有限公司</w:t>
            </w:r>
          </w:p>
        </w:tc>
        <w:tc>
          <w:tcPr>
            <w:tcW w:w="1084" w:type="dxa"/>
            <w:tcMar>
              <w:top w:w="0" w:type="dxa"/>
              <w:left w:w="0" w:type="dxa"/>
              <w:bottom w:w="28" w:type="dxa"/>
              <w:right w:w="0" w:type="dxa"/>
            </w:tcMar>
            <w:vAlign w:val="center"/>
          </w:tcPr>
          <w:p w14:paraId="2D839753"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3.873</w:t>
            </w:r>
          </w:p>
        </w:tc>
        <w:tc>
          <w:tcPr>
            <w:tcW w:w="667" w:type="dxa"/>
            <w:vAlign w:val="center"/>
          </w:tcPr>
          <w:p w14:paraId="2C51175B"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sz w:val="21"/>
                <w:szCs w:val="21"/>
              </w:rPr>
            </w:pPr>
            <w:r>
              <w:rPr>
                <w:rFonts w:ascii="Times New Roman" w:hAnsi="Times New Roman" w:cs="Times New Roman"/>
                <w:color w:val="000000"/>
                <w:spacing w:val="-4"/>
                <w:sz w:val="21"/>
                <w:szCs w:val="21"/>
              </w:rPr>
              <w:t>5</w:t>
            </w:r>
          </w:p>
        </w:tc>
        <w:tc>
          <w:tcPr>
            <w:tcW w:w="2801" w:type="dxa"/>
            <w:vAlign w:val="center"/>
          </w:tcPr>
          <w:p w14:paraId="3DF9CD7C"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中航投资控股有限公司</w:t>
            </w:r>
          </w:p>
        </w:tc>
        <w:tc>
          <w:tcPr>
            <w:tcW w:w="1315" w:type="dxa"/>
            <w:vAlign w:val="center"/>
          </w:tcPr>
          <w:p w14:paraId="334CD634"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3.</w:t>
            </w:r>
            <w:r>
              <w:rPr>
                <w:rFonts w:ascii="Times New Roman" w:hAnsi="Times New Roman" w:cs="Times New Roman" w:hint="eastAsia"/>
                <w:sz w:val="21"/>
                <w:szCs w:val="21"/>
              </w:rPr>
              <w:t>499</w:t>
            </w:r>
          </w:p>
        </w:tc>
      </w:tr>
      <w:tr w:rsidR="00DE1B44" w14:paraId="3A5749E6" w14:textId="77777777">
        <w:trPr>
          <w:trHeight w:val="454"/>
          <w:jc w:val="center"/>
        </w:trPr>
        <w:tc>
          <w:tcPr>
            <w:tcW w:w="509" w:type="dxa"/>
            <w:vAlign w:val="center"/>
          </w:tcPr>
          <w:p w14:paraId="2CDC96E9"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6</w:t>
            </w:r>
          </w:p>
        </w:tc>
        <w:tc>
          <w:tcPr>
            <w:tcW w:w="2640" w:type="dxa"/>
            <w:tcMar>
              <w:top w:w="0" w:type="dxa"/>
              <w:left w:w="0" w:type="dxa"/>
              <w:bottom w:w="28" w:type="dxa"/>
              <w:right w:w="0" w:type="dxa"/>
            </w:tcMar>
            <w:vAlign w:val="center"/>
          </w:tcPr>
          <w:p w14:paraId="25962B2F"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广东粤财投资控股有限公司</w:t>
            </w:r>
          </w:p>
        </w:tc>
        <w:tc>
          <w:tcPr>
            <w:tcW w:w="1084" w:type="dxa"/>
            <w:tcMar>
              <w:top w:w="0" w:type="dxa"/>
              <w:left w:w="0" w:type="dxa"/>
              <w:bottom w:w="28" w:type="dxa"/>
              <w:right w:w="0" w:type="dxa"/>
            </w:tcMar>
            <w:vAlign w:val="center"/>
          </w:tcPr>
          <w:p w14:paraId="0D0368F1"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1.614</w:t>
            </w:r>
          </w:p>
        </w:tc>
        <w:tc>
          <w:tcPr>
            <w:tcW w:w="667" w:type="dxa"/>
            <w:vAlign w:val="center"/>
          </w:tcPr>
          <w:p w14:paraId="56DDA83C"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sz w:val="21"/>
                <w:szCs w:val="21"/>
              </w:rPr>
            </w:pPr>
            <w:r>
              <w:rPr>
                <w:rFonts w:ascii="Times New Roman" w:hAnsi="Times New Roman" w:cs="Times New Roman"/>
                <w:color w:val="000000"/>
                <w:spacing w:val="-4"/>
                <w:sz w:val="21"/>
                <w:szCs w:val="21"/>
              </w:rPr>
              <w:t>6</w:t>
            </w:r>
          </w:p>
        </w:tc>
        <w:tc>
          <w:tcPr>
            <w:tcW w:w="2801" w:type="dxa"/>
            <w:vAlign w:val="center"/>
          </w:tcPr>
          <w:p w14:paraId="108BF8F7"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广州市城市建设投资集团有限公司</w:t>
            </w:r>
          </w:p>
        </w:tc>
        <w:tc>
          <w:tcPr>
            <w:tcW w:w="1315" w:type="dxa"/>
            <w:vAlign w:val="center"/>
          </w:tcPr>
          <w:p w14:paraId="64DAD62C"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3.41</w:t>
            </w:r>
            <w:r>
              <w:rPr>
                <w:rFonts w:ascii="Times New Roman" w:hAnsi="Times New Roman" w:cs="Times New Roman" w:hint="eastAsia"/>
                <w:sz w:val="21"/>
                <w:szCs w:val="21"/>
              </w:rPr>
              <w:t>4</w:t>
            </w:r>
          </w:p>
        </w:tc>
      </w:tr>
      <w:tr w:rsidR="00DE1B44" w14:paraId="48A847F4" w14:textId="77777777">
        <w:trPr>
          <w:trHeight w:val="454"/>
          <w:jc w:val="center"/>
        </w:trPr>
        <w:tc>
          <w:tcPr>
            <w:tcW w:w="509" w:type="dxa"/>
            <w:vAlign w:val="center"/>
          </w:tcPr>
          <w:p w14:paraId="41BAD652"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7</w:t>
            </w:r>
          </w:p>
        </w:tc>
        <w:tc>
          <w:tcPr>
            <w:tcW w:w="2640" w:type="dxa"/>
            <w:tcMar>
              <w:top w:w="0" w:type="dxa"/>
              <w:left w:w="0" w:type="dxa"/>
              <w:bottom w:w="28" w:type="dxa"/>
              <w:right w:w="0" w:type="dxa"/>
            </w:tcMar>
            <w:vAlign w:val="center"/>
          </w:tcPr>
          <w:p w14:paraId="37BCD27E"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华晨汽车集团控股有限公司</w:t>
            </w:r>
          </w:p>
        </w:tc>
        <w:tc>
          <w:tcPr>
            <w:tcW w:w="1084" w:type="dxa"/>
            <w:tcMar>
              <w:top w:w="0" w:type="dxa"/>
              <w:left w:w="0" w:type="dxa"/>
              <w:bottom w:w="28" w:type="dxa"/>
              <w:right w:w="0" w:type="dxa"/>
            </w:tcMar>
            <w:vAlign w:val="center"/>
          </w:tcPr>
          <w:p w14:paraId="61E40948"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1.136</w:t>
            </w:r>
          </w:p>
        </w:tc>
        <w:tc>
          <w:tcPr>
            <w:tcW w:w="667" w:type="dxa"/>
            <w:vAlign w:val="center"/>
          </w:tcPr>
          <w:p w14:paraId="04450360"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sz w:val="21"/>
                <w:szCs w:val="21"/>
              </w:rPr>
            </w:pPr>
            <w:r>
              <w:rPr>
                <w:rFonts w:ascii="Times New Roman" w:hAnsi="Times New Roman" w:cs="Times New Roman"/>
                <w:color w:val="000000"/>
                <w:spacing w:val="-4"/>
                <w:sz w:val="21"/>
                <w:szCs w:val="21"/>
              </w:rPr>
              <w:t>7</w:t>
            </w:r>
          </w:p>
        </w:tc>
        <w:tc>
          <w:tcPr>
            <w:tcW w:w="2801" w:type="dxa"/>
            <w:vAlign w:val="center"/>
          </w:tcPr>
          <w:p w14:paraId="669F22C9"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广东粤财投资控股有限公司</w:t>
            </w:r>
          </w:p>
        </w:tc>
        <w:tc>
          <w:tcPr>
            <w:tcW w:w="1315" w:type="dxa"/>
            <w:vAlign w:val="center"/>
          </w:tcPr>
          <w:p w14:paraId="0206599B"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1.45</w:t>
            </w:r>
            <w:r>
              <w:rPr>
                <w:rFonts w:ascii="Times New Roman" w:hAnsi="Times New Roman" w:cs="Times New Roman" w:hint="eastAsia"/>
                <w:sz w:val="21"/>
                <w:szCs w:val="21"/>
              </w:rPr>
              <w:t>8</w:t>
            </w:r>
          </w:p>
        </w:tc>
      </w:tr>
      <w:tr w:rsidR="00DE1B44" w14:paraId="66565E3C" w14:textId="77777777">
        <w:trPr>
          <w:trHeight w:val="454"/>
          <w:jc w:val="center"/>
        </w:trPr>
        <w:tc>
          <w:tcPr>
            <w:tcW w:w="509" w:type="dxa"/>
            <w:vAlign w:val="center"/>
          </w:tcPr>
          <w:p w14:paraId="7ADD41C4"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8</w:t>
            </w:r>
          </w:p>
        </w:tc>
        <w:tc>
          <w:tcPr>
            <w:tcW w:w="2640" w:type="dxa"/>
            <w:tcMar>
              <w:top w:w="0" w:type="dxa"/>
              <w:left w:w="0" w:type="dxa"/>
              <w:bottom w:w="28" w:type="dxa"/>
              <w:right w:w="0" w:type="dxa"/>
            </w:tcMar>
            <w:vAlign w:val="center"/>
          </w:tcPr>
          <w:p w14:paraId="15310327"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江苏苏钢集团有限公司</w:t>
            </w:r>
          </w:p>
        </w:tc>
        <w:tc>
          <w:tcPr>
            <w:tcW w:w="1084" w:type="dxa"/>
            <w:tcMar>
              <w:top w:w="0" w:type="dxa"/>
              <w:left w:w="0" w:type="dxa"/>
              <w:bottom w:w="28" w:type="dxa"/>
              <w:right w:w="0" w:type="dxa"/>
            </w:tcMar>
            <w:vAlign w:val="center"/>
          </w:tcPr>
          <w:p w14:paraId="1452A7E4"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1.132</w:t>
            </w:r>
          </w:p>
        </w:tc>
        <w:tc>
          <w:tcPr>
            <w:tcW w:w="667" w:type="dxa"/>
            <w:vAlign w:val="center"/>
          </w:tcPr>
          <w:p w14:paraId="41FF9C90"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sz w:val="21"/>
                <w:szCs w:val="21"/>
              </w:rPr>
            </w:pPr>
            <w:r>
              <w:rPr>
                <w:rFonts w:ascii="Times New Roman" w:hAnsi="Times New Roman" w:cs="Times New Roman"/>
                <w:color w:val="000000"/>
                <w:spacing w:val="-4"/>
                <w:sz w:val="21"/>
                <w:szCs w:val="21"/>
              </w:rPr>
              <w:t>8</w:t>
            </w:r>
          </w:p>
        </w:tc>
        <w:tc>
          <w:tcPr>
            <w:tcW w:w="2801" w:type="dxa"/>
            <w:vAlign w:val="center"/>
          </w:tcPr>
          <w:p w14:paraId="062605C6"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华晨汽车集团控股有限公司</w:t>
            </w:r>
          </w:p>
        </w:tc>
        <w:tc>
          <w:tcPr>
            <w:tcW w:w="1315" w:type="dxa"/>
            <w:vAlign w:val="center"/>
          </w:tcPr>
          <w:p w14:paraId="7BB83F03"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1.026</w:t>
            </w:r>
          </w:p>
        </w:tc>
      </w:tr>
      <w:tr w:rsidR="00DE1B44" w14:paraId="1F0510C4" w14:textId="77777777">
        <w:trPr>
          <w:trHeight w:val="454"/>
          <w:jc w:val="center"/>
        </w:trPr>
        <w:tc>
          <w:tcPr>
            <w:tcW w:w="509" w:type="dxa"/>
            <w:vAlign w:val="center"/>
          </w:tcPr>
          <w:p w14:paraId="1A69FF49"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9</w:t>
            </w:r>
          </w:p>
        </w:tc>
        <w:tc>
          <w:tcPr>
            <w:tcW w:w="2640" w:type="dxa"/>
            <w:tcMar>
              <w:top w:w="0" w:type="dxa"/>
              <w:left w:w="0" w:type="dxa"/>
              <w:bottom w:w="28" w:type="dxa"/>
              <w:right w:w="0" w:type="dxa"/>
            </w:tcMar>
            <w:vAlign w:val="center"/>
          </w:tcPr>
          <w:p w14:paraId="6F73650A"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香江集团有限公司</w:t>
            </w:r>
          </w:p>
        </w:tc>
        <w:tc>
          <w:tcPr>
            <w:tcW w:w="1084" w:type="dxa"/>
            <w:tcMar>
              <w:top w:w="0" w:type="dxa"/>
              <w:left w:w="0" w:type="dxa"/>
              <w:bottom w:w="28" w:type="dxa"/>
              <w:right w:w="0" w:type="dxa"/>
            </w:tcMar>
            <w:vAlign w:val="center"/>
          </w:tcPr>
          <w:p w14:paraId="38F82273"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0.755</w:t>
            </w:r>
          </w:p>
        </w:tc>
        <w:tc>
          <w:tcPr>
            <w:tcW w:w="667" w:type="dxa"/>
            <w:vAlign w:val="center"/>
          </w:tcPr>
          <w:p w14:paraId="224E6C52"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sz w:val="21"/>
                <w:szCs w:val="21"/>
              </w:rPr>
            </w:pPr>
            <w:r>
              <w:rPr>
                <w:rFonts w:ascii="Times New Roman" w:hAnsi="Times New Roman" w:cs="Times New Roman"/>
                <w:color w:val="000000"/>
                <w:spacing w:val="-4"/>
                <w:sz w:val="21"/>
                <w:szCs w:val="21"/>
              </w:rPr>
              <w:t>9</w:t>
            </w:r>
          </w:p>
        </w:tc>
        <w:tc>
          <w:tcPr>
            <w:tcW w:w="2801" w:type="dxa"/>
            <w:vAlign w:val="center"/>
          </w:tcPr>
          <w:p w14:paraId="359E57C3"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江苏苏钢集团有限公司</w:t>
            </w:r>
          </w:p>
        </w:tc>
        <w:tc>
          <w:tcPr>
            <w:tcW w:w="1315" w:type="dxa"/>
            <w:vAlign w:val="center"/>
          </w:tcPr>
          <w:p w14:paraId="1699A2BE"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1.02</w:t>
            </w:r>
            <w:r>
              <w:rPr>
                <w:rFonts w:ascii="Times New Roman" w:hAnsi="Times New Roman" w:cs="Times New Roman" w:hint="eastAsia"/>
                <w:sz w:val="21"/>
                <w:szCs w:val="21"/>
              </w:rPr>
              <w:t>2</w:t>
            </w:r>
          </w:p>
        </w:tc>
      </w:tr>
      <w:tr w:rsidR="00DE1B44" w14:paraId="5DBEC085" w14:textId="77777777">
        <w:trPr>
          <w:trHeight w:val="465"/>
          <w:jc w:val="center"/>
        </w:trPr>
        <w:tc>
          <w:tcPr>
            <w:tcW w:w="509" w:type="dxa"/>
            <w:vAlign w:val="center"/>
          </w:tcPr>
          <w:p w14:paraId="2060FC75"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10</w:t>
            </w:r>
          </w:p>
        </w:tc>
        <w:tc>
          <w:tcPr>
            <w:tcW w:w="2640" w:type="dxa"/>
            <w:tcMar>
              <w:top w:w="0" w:type="dxa"/>
              <w:left w:w="0" w:type="dxa"/>
              <w:bottom w:w="28" w:type="dxa"/>
              <w:right w:w="0" w:type="dxa"/>
            </w:tcMar>
            <w:vAlign w:val="center"/>
          </w:tcPr>
          <w:p w14:paraId="43C1D265"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北京能源集团有限责任公司</w:t>
            </w:r>
          </w:p>
        </w:tc>
        <w:tc>
          <w:tcPr>
            <w:tcW w:w="1084" w:type="dxa"/>
            <w:tcMar>
              <w:top w:w="0" w:type="dxa"/>
              <w:left w:w="0" w:type="dxa"/>
              <w:bottom w:w="28" w:type="dxa"/>
              <w:right w:w="0" w:type="dxa"/>
            </w:tcMar>
            <w:vAlign w:val="center"/>
          </w:tcPr>
          <w:p w14:paraId="7DB147E0"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0.677</w:t>
            </w:r>
          </w:p>
        </w:tc>
        <w:tc>
          <w:tcPr>
            <w:tcW w:w="667" w:type="dxa"/>
            <w:vAlign w:val="center"/>
          </w:tcPr>
          <w:p w14:paraId="151F5EC1"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sz w:val="21"/>
                <w:szCs w:val="21"/>
              </w:rPr>
            </w:pPr>
            <w:r>
              <w:rPr>
                <w:rFonts w:ascii="Times New Roman" w:hAnsi="Times New Roman" w:cs="Times New Roman"/>
                <w:color w:val="000000"/>
                <w:spacing w:val="-4"/>
                <w:sz w:val="21"/>
                <w:szCs w:val="21"/>
              </w:rPr>
              <w:t>10</w:t>
            </w:r>
          </w:p>
        </w:tc>
        <w:tc>
          <w:tcPr>
            <w:tcW w:w="2801" w:type="dxa"/>
            <w:vAlign w:val="center"/>
          </w:tcPr>
          <w:p w14:paraId="6F82C7AF"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湖南湘江新区发展集团有限公司</w:t>
            </w:r>
          </w:p>
        </w:tc>
        <w:tc>
          <w:tcPr>
            <w:tcW w:w="1315" w:type="dxa"/>
            <w:vAlign w:val="center"/>
          </w:tcPr>
          <w:p w14:paraId="07337FE9"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sz w:val="21"/>
                <w:szCs w:val="21"/>
              </w:rPr>
              <w:t>1.000</w:t>
            </w:r>
          </w:p>
        </w:tc>
      </w:tr>
      <w:tr w:rsidR="00DE1B44" w14:paraId="09EDD559" w14:textId="77777777">
        <w:trPr>
          <w:trHeight w:val="58"/>
          <w:jc w:val="center"/>
        </w:trPr>
        <w:tc>
          <w:tcPr>
            <w:tcW w:w="3149" w:type="dxa"/>
            <w:gridSpan w:val="2"/>
            <w:vAlign w:val="center"/>
          </w:tcPr>
          <w:p w14:paraId="79EC94F7" w14:textId="77777777" w:rsidR="00DE1B44" w:rsidRDefault="00D40582">
            <w:pPr>
              <w:autoSpaceDE w:val="0"/>
              <w:autoSpaceDN w:val="0"/>
              <w:adjustRightInd w:val="0"/>
              <w:snapToGrid w:val="0"/>
              <w:spacing w:beforeLines="0" w:before="0" w:line="240" w:lineRule="auto"/>
              <w:ind w:lef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b/>
                <w:bCs/>
                <w:color w:val="000000"/>
                <w:spacing w:val="-4"/>
                <w:sz w:val="21"/>
                <w:szCs w:val="21"/>
              </w:rPr>
              <w:t>合计</w:t>
            </w:r>
          </w:p>
        </w:tc>
        <w:tc>
          <w:tcPr>
            <w:tcW w:w="1084" w:type="dxa"/>
            <w:tcMar>
              <w:top w:w="0" w:type="dxa"/>
              <w:left w:w="0" w:type="dxa"/>
              <w:bottom w:w="28" w:type="dxa"/>
              <w:right w:w="0" w:type="dxa"/>
            </w:tcMar>
            <w:vAlign w:val="center"/>
          </w:tcPr>
          <w:p w14:paraId="041BC218"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b/>
                <w:bCs/>
                <w:color w:val="000000"/>
                <w:spacing w:val="-4"/>
                <w:sz w:val="21"/>
                <w:szCs w:val="21"/>
              </w:rPr>
              <w:t>92.351</w:t>
            </w:r>
          </w:p>
        </w:tc>
        <w:tc>
          <w:tcPr>
            <w:tcW w:w="3468" w:type="dxa"/>
            <w:gridSpan w:val="2"/>
            <w:vAlign w:val="center"/>
          </w:tcPr>
          <w:p w14:paraId="37F1B7A9"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hint="eastAsia"/>
                <w:b/>
                <w:bCs/>
                <w:color w:val="000000"/>
                <w:spacing w:val="-4"/>
                <w:sz w:val="21"/>
                <w:szCs w:val="21"/>
              </w:rPr>
              <w:t>合计</w:t>
            </w:r>
          </w:p>
        </w:tc>
        <w:tc>
          <w:tcPr>
            <w:tcW w:w="1315" w:type="dxa"/>
            <w:vAlign w:val="center"/>
          </w:tcPr>
          <w:p w14:paraId="4F1F96ED" w14:textId="77777777" w:rsidR="00DE1B44" w:rsidRDefault="00D40582">
            <w:pPr>
              <w:autoSpaceDE w:val="0"/>
              <w:autoSpaceDN w:val="0"/>
              <w:adjustRightInd w:val="0"/>
              <w:snapToGrid w:val="0"/>
              <w:spacing w:beforeLines="0" w:before="0" w:line="240" w:lineRule="auto"/>
              <w:ind w:left="113" w:right="113" w:firstLineChars="0" w:firstLine="0"/>
              <w:jc w:val="center"/>
              <w:textAlignment w:val="baseline"/>
              <w:rPr>
                <w:rFonts w:ascii="Times New Roman" w:hAnsi="Times New Roman" w:cs="Times New Roman"/>
                <w:b/>
                <w:bCs/>
                <w:color w:val="000000"/>
                <w:spacing w:val="-4"/>
                <w:sz w:val="21"/>
                <w:szCs w:val="21"/>
              </w:rPr>
            </w:pPr>
            <w:r>
              <w:rPr>
                <w:rFonts w:ascii="Times New Roman" w:hAnsi="Times New Roman" w:cs="Times New Roman" w:hint="eastAsia"/>
                <w:b/>
                <w:bCs/>
                <w:color w:val="000000"/>
                <w:spacing w:val="-4"/>
                <w:sz w:val="21"/>
                <w:szCs w:val="21"/>
              </w:rPr>
              <w:t>9</w:t>
            </w:r>
            <w:r>
              <w:rPr>
                <w:rFonts w:ascii="Times New Roman" w:hAnsi="Times New Roman" w:cs="Times New Roman"/>
                <w:b/>
                <w:bCs/>
                <w:color w:val="000000"/>
                <w:spacing w:val="-4"/>
                <w:sz w:val="21"/>
                <w:szCs w:val="21"/>
              </w:rPr>
              <w:t>1.5</w:t>
            </w:r>
            <w:r>
              <w:rPr>
                <w:rFonts w:ascii="Times New Roman" w:hAnsi="Times New Roman" w:cs="Times New Roman" w:hint="eastAsia"/>
                <w:b/>
                <w:bCs/>
                <w:color w:val="000000"/>
                <w:spacing w:val="-4"/>
                <w:sz w:val="21"/>
                <w:szCs w:val="21"/>
              </w:rPr>
              <w:t>63</w:t>
            </w:r>
          </w:p>
        </w:tc>
      </w:tr>
    </w:tbl>
    <w:p w14:paraId="041E633E"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lastRenderedPageBreak/>
        <w:t>本次发行前，本行的股份总数为</w:t>
      </w:r>
      <w:r>
        <w:rPr>
          <w:rFonts w:ascii="Times New Roman" w:hAnsi="Times New Roman" w:cs="Times New Roman"/>
        </w:rPr>
        <w:t>19,687,196,272</w:t>
      </w:r>
      <w:r>
        <w:rPr>
          <w:rFonts w:ascii="Times New Roman" w:hAnsi="Times New Roman" w:cs="Times New Roman"/>
        </w:rPr>
        <w:t>股，无控股股东或实际控制人。本次发行完成后，</w:t>
      </w:r>
      <w:r>
        <w:rPr>
          <w:rFonts w:ascii="Times New Roman" w:hAnsi="Times New Roman" w:cs="Times New Roman" w:hint="eastAsia"/>
        </w:rPr>
        <w:t>本行的</w:t>
      </w:r>
      <w:r>
        <w:rPr>
          <w:rFonts w:ascii="Times New Roman" w:hAnsi="Times New Roman" w:cs="Times New Roman"/>
        </w:rPr>
        <w:t>股份总数将增加至不超过</w:t>
      </w:r>
      <w:r>
        <w:rPr>
          <w:rFonts w:ascii="Times New Roman" w:hAnsi="Times New Roman" w:cs="Times New Roman"/>
        </w:rPr>
        <w:t>21,789,860,711</w:t>
      </w:r>
      <w:r>
        <w:rPr>
          <w:rFonts w:ascii="Times New Roman" w:hAnsi="Times New Roman" w:cs="Times New Roman"/>
        </w:rPr>
        <w:t>股，仍无控股股东或实际控制人。</w:t>
      </w:r>
    </w:p>
    <w:p w14:paraId="1CD205EF"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因此，本次发行不会导致公司控制权发生变化。</w:t>
      </w:r>
    </w:p>
    <w:p w14:paraId="403A7572" w14:textId="77777777" w:rsidR="00DE1B44" w:rsidRDefault="00D40582">
      <w:pPr>
        <w:pStyle w:val="2f0"/>
        <w:spacing w:before="120"/>
        <w:rPr>
          <w:rFonts w:ascii="Times New Roman" w:hAnsi="Times New Roman"/>
        </w:rPr>
      </w:pPr>
      <w:bookmarkStart w:id="76" w:name="_Toc89016927"/>
      <w:bookmarkStart w:id="77" w:name="_Toc460425800"/>
      <w:bookmarkStart w:id="78" w:name="_Toc457550484"/>
      <w:bookmarkStart w:id="79" w:name="_Toc497726082"/>
      <w:bookmarkStart w:id="80" w:name="_Toc446198672"/>
      <w:bookmarkStart w:id="81" w:name="_Toc457813867"/>
      <w:bookmarkStart w:id="82" w:name="_Toc457524060"/>
      <w:r>
        <w:rPr>
          <w:rFonts w:ascii="Times New Roman" w:hAnsi="Times New Roman"/>
        </w:rPr>
        <w:t>二、本次发行后</w:t>
      </w:r>
      <w:r>
        <w:rPr>
          <w:rFonts w:ascii="Times New Roman" w:hAnsi="Times New Roman" w:hint="eastAsia"/>
        </w:rPr>
        <w:t>申请人</w:t>
      </w:r>
      <w:r>
        <w:rPr>
          <w:rFonts w:ascii="Times New Roman" w:hAnsi="Times New Roman"/>
        </w:rPr>
        <w:t>财务状况、盈利能力及现金流量的变动情况</w:t>
      </w:r>
      <w:bookmarkEnd w:id="76"/>
      <w:bookmarkEnd w:id="77"/>
      <w:bookmarkEnd w:id="78"/>
      <w:bookmarkEnd w:id="79"/>
      <w:bookmarkEnd w:id="80"/>
      <w:bookmarkEnd w:id="81"/>
      <w:bookmarkEnd w:id="82"/>
    </w:p>
    <w:p w14:paraId="1DB8652B" w14:textId="77777777" w:rsidR="00DE1B44" w:rsidRDefault="00D40582">
      <w:pPr>
        <w:pStyle w:val="4a"/>
        <w:spacing w:before="120"/>
        <w:rPr>
          <w:rFonts w:ascii="Times New Roman" w:hAnsi="Times New Roman"/>
        </w:rPr>
      </w:pPr>
      <w:r>
        <w:rPr>
          <w:rFonts w:ascii="Times New Roman" w:hAnsi="Times New Roman"/>
        </w:rPr>
        <w:t>（一）财务状况变动情况</w:t>
      </w:r>
    </w:p>
    <w:p w14:paraId="460DD26D"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本次发行完成后，随着募集资金的到位，</w:t>
      </w:r>
      <w:r>
        <w:rPr>
          <w:rFonts w:ascii="Times New Roman" w:hAnsi="Times New Roman" w:cs="Times New Roman" w:hint="eastAsia"/>
        </w:rPr>
        <w:t>本行</w:t>
      </w:r>
      <w:r>
        <w:rPr>
          <w:rFonts w:ascii="Times New Roman" w:hAnsi="Times New Roman" w:cs="Times New Roman"/>
        </w:rPr>
        <w:t>的总资产和净资产规模将有所上升，资本充足率将有所提升，资产结构得以优化，偿债能力将得到增强，财务状况进一步改善，为</w:t>
      </w:r>
      <w:r>
        <w:rPr>
          <w:rFonts w:ascii="Times New Roman" w:hAnsi="Times New Roman" w:cs="Times New Roman" w:hint="eastAsia"/>
        </w:rPr>
        <w:t>本行</w:t>
      </w:r>
      <w:r>
        <w:rPr>
          <w:rFonts w:ascii="Times New Roman" w:hAnsi="Times New Roman" w:cs="Times New Roman"/>
        </w:rPr>
        <w:t>资产规模的稳步扩张、各项业务的可持续发展提供充足的资本支持。</w:t>
      </w:r>
    </w:p>
    <w:p w14:paraId="1B4E7518" w14:textId="77777777" w:rsidR="00DE1B44" w:rsidRDefault="00D40582">
      <w:pPr>
        <w:pStyle w:val="4a"/>
        <w:spacing w:before="120"/>
        <w:rPr>
          <w:rFonts w:ascii="Times New Roman" w:hAnsi="Times New Roman"/>
        </w:rPr>
      </w:pPr>
      <w:r>
        <w:rPr>
          <w:rFonts w:ascii="Times New Roman" w:hAnsi="Times New Roman"/>
        </w:rPr>
        <w:t>（二）盈利能力变动情况</w:t>
      </w:r>
    </w:p>
    <w:p w14:paraId="2BEED6DD"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本次股份增发募集的资金扣除发行费用后，将全部用于补充本行的资本金，提高资本充足率</w:t>
      </w:r>
      <w:r>
        <w:rPr>
          <w:rFonts w:ascii="Times New Roman" w:hAnsi="Times New Roman" w:cs="Times New Roman" w:hint="eastAsia"/>
        </w:rPr>
        <w:t>，</w:t>
      </w:r>
      <w:r>
        <w:rPr>
          <w:rFonts w:ascii="Times New Roman" w:hAnsi="Times New Roman" w:cs="Times New Roman"/>
        </w:rPr>
        <w:t>有效支持</w:t>
      </w:r>
      <w:r>
        <w:rPr>
          <w:rFonts w:ascii="Times New Roman" w:hAnsi="Times New Roman" w:cs="Times New Roman" w:hint="eastAsia"/>
        </w:rPr>
        <w:t>本行</w:t>
      </w:r>
      <w:r>
        <w:rPr>
          <w:rFonts w:ascii="Times New Roman" w:hAnsi="Times New Roman" w:cs="Times New Roman"/>
        </w:rPr>
        <w:t>资产规模增长，支持本行业务发展。</w:t>
      </w:r>
      <w:r>
        <w:rPr>
          <w:rFonts w:ascii="Times New Roman" w:hAnsi="Times New Roman" w:cs="Times New Roman" w:hint="eastAsia"/>
        </w:rPr>
        <w:t>本行</w:t>
      </w:r>
      <w:r>
        <w:rPr>
          <w:rFonts w:ascii="Times New Roman" w:hAnsi="Times New Roman" w:cs="Times New Roman"/>
        </w:rPr>
        <w:t>将持续加强并提高募集资金使用效率，合理有效利用募集资金，提高经营效率，积极提升资本回报率</w:t>
      </w:r>
      <w:r>
        <w:rPr>
          <w:rFonts w:ascii="Times New Roman" w:hAnsi="Times New Roman" w:cs="Times New Roman" w:hint="eastAsia"/>
        </w:rPr>
        <w:t>，</w:t>
      </w:r>
      <w:r>
        <w:rPr>
          <w:rFonts w:ascii="Times New Roman" w:hAnsi="Times New Roman" w:cs="Times New Roman"/>
        </w:rPr>
        <w:t>从而提升本行盈利能力。</w:t>
      </w:r>
    </w:p>
    <w:p w14:paraId="04B59828" w14:textId="77777777" w:rsidR="00DE1B44" w:rsidRDefault="00D40582">
      <w:pPr>
        <w:pStyle w:val="4a"/>
        <w:spacing w:before="120"/>
        <w:rPr>
          <w:rFonts w:ascii="Times New Roman" w:hAnsi="Times New Roman"/>
        </w:rPr>
      </w:pPr>
      <w:r>
        <w:rPr>
          <w:rFonts w:ascii="Times New Roman" w:hAnsi="Times New Roman"/>
        </w:rPr>
        <w:t>（三）现金流量变动情况</w:t>
      </w:r>
    </w:p>
    <w:p w14:paraId="459AEF07"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本次</w:t>
      </w:r>
      <w:r>
        <w:rPr>
          <w:rFonts w:ascii="Times New Roman" w:hAnsi="Times New Roman" w:cs="Times New Roman" w:hint="eastAsia"/>
        </w:rPr>
        <w:t>股份增发的投资者均以现金方式出资认购，预计</w:t>
      </w:r>
      <w:r>
        <w:rPr>
          <w:rFonts w:ascii="Times New Roman" w:hAnsi="Times New Roman" w:cs="Times New Roman"/>
        </w:rPr>
        <w:t>发行完成后，</w:t>
      </w:r>
      <w:r>
        <w:rPr>
          <w:rFonts w:ascii="Times New Roman" w:hAnsi="Times New Roman" w:cs="Times New Roman" w:hint="eastAsia"/>
        </w:rPr>
        <w:t>筹资活动产生的现金流入将大幅增加。同时，</w:t>
      </w:r>
      <w:r>
        <w:rPr>
          <w:rFonts w:ascii="Times New Roman" w:hAnsi="Times New Roman" w:cs="Times New Roman"/>
        </w:rPr>
        <w:t>随着业务的持续发展，规模逐步扩大，预计未来经营活动、投资活动对应的现金</w:t>
      </w:r>
      <w:r>
        <w:rPr>
          <w:rFonts w:ascii="Times New Roman" w:hAnsi="Times New Roman" w:cs="Times New Roman" w:hint="eastAsia"/>
        </w:rPr>
        <w:t>流量情况将得到显著提升</w:t>
      </w:r>
      <w:r>
        <w:rPr>
          <w:rFonts w:ascii="Times New Roman" w:hAnsi="Times New Roman" w:cs="Times New Roman"/>
        </w:rPr>
        <w:t>。</w:t>
      </w:r>
    </w:p>
    <w:p w14:paraId="63D0B7BB" w14:textId="77777777" w:rsidR="00DE1B44" w:rsidRDefault="00D40582">
      <w:pPr>
        <w:pStyle w:val="2f0"/>
        <w:spacing w:before="120"/>
        <w:rPr>
          <w:rFonts w:ascii="Times New Roman" w:hAnsi="Times New Roman"/>
        </w:rPr>
      </w:pPr>
      <w:bookmarkStart w:id="83" w:name="_Toc89016928"/>
      <w:bookmarkStart w:id="84" w:name="_Toc460425801"/>
      <w:bookmarkStart w:id="85" w:name="_Toc457813868"/>
      <w:bookmarkStart w:id="86" w:name="_Toc457524068"/>
      <w:bookmarkStart w:id="87" w:name="_Toc497726083"/>
      <w:bookmarkStart w:id="88" w:name="_Toc457550490"/>
      <w:r>
        <w:rPr>
          <w:rFonts w:ascii="Times New Roman" w:hAnsi="Times New Roman"/>
        </w:rPr>
        <w:t>三、</w:t>
      </w:r>
      <w:r>
        <w:rPr>
          <w:rFonts w:ascii="Times New Roman" w:hAnsi="Times New Roman" w:hint="eastAsia"/>
        </w:rPr>
        <w:t>申请人</w:t>
      </w:r>
      <w:r>
        <w:rPr>
          <w:rFonts w:ascii="Times New Roman" w:hAnsi="Times New Roman"/>
        </w:rPr>
        <w:t>与控股股东及其关联人之间的业务关系、管理关系、关联交易及同业竞争等变化情况</w:t>
      </w:r>
      <w:bookmarkEnd w:id="83"/>
      <w:bookmarkEnd w:id="84"/>
      <w:bookmarkEnd w:id="85"/>
      <w:bookmarkEnd w:id="86"/>
      <w:bookmarkEnd w:id="87"/>
      <w:bookmarkEnd w:id="88"/>
    </w:p>
    <w:p w14:paraId="5925791E" w14:textId="77777777" w:rsidR="00DE1B44" w:rsidRDefault="00D40582">
      <w:pPr>
        <w:widowControl w:val="0"/>
        <w:spacing w:before="120"/>
        <w:ind w:firstLine="480"/>
        <w:rPr>
          <w:rFonts w:ascii="Times New Roman" w:hAnsi="Times New Roman" w:cs="Times New Roman"/>
          <w:kern w:val="2"/>
        </w:rPr>
      </w:pPr>
      <w:r>
        <w:rPr>
          <w:rFonts w:ascii="Times New Roman" w:hAnsi="Times New Roman" w:cs="Times New Roman"/>
          <w:kern w:val="2"/>
        </w:rPr>
        <w:t>本次发行前</w:t>
      </w:r>
      <w:r>
        <w:rPr>
          <w:rFonts w:ascii="Times New Roman" w:hAnsi="Times New Roman" w:cs="Times New Roman" w:hint="eastAsia"/>
          <w:kern w:val="2"/>
        </w:rPr>
        <w:t>后，本行均</w:t>
      </w:r>
      <w:r>
        <w:rPr>
          <w:rFonts w:ascii="Times New Roman" w:hAnsi="Times New Roman" w:cs="Times New Roman"/>
          <w:kern w:val="2"/>
        </w:rPr>
        <w:t>不存在控股股东</w:t>
      </w:r>
      <w:r>
        <w:rPr>
          <w:rFonts w:ascii="Times New Roman" w:hAnsi="Times New Roman" w:cs="Times New Roman" w:hint="eastAsia"/>
          <w:kern w:val="2"/>
        </w:rPr>
        <w:t>或</w:t>
      </w:r>
      <w:r>
        <w:rPr>
          <w:rFonts w:ascii="Times New Roman" w:hAnsi="Times New Roman" w:cs="Times New Roman"/>
          <w:kern w:val="2"/>
        </w:rPr>
        <w:t>实际控制人，故</w:t>
      </w:r>
      <w:r>
        <w:rPr>
          <w:rFonts w:ascii="Times New Roman" w:hAnsi="Times New Roman" w:cs="Times New Roman" w:hint="eastAsia"/>
          <w:kern w:val="2"/>
        </w:rPr>
        <w:t>本行</w:t>
      </w:r>
      <w:r>
        <w:rPr>
          <w:rFonts w:ascii="Times New Roman" w:hAnsi="Times New Roman" w:cs="Times New Roman"/>
          <w:kern w:val="2"/>
        </w:rPr>
        <w:t>不存在与控股股东及其关联人之间的业务关系、管理关系、关联交易及同业竞争，亦不存在变化情况。</w:t>
      </w:r>
    </w:p>
    <w:p w14:paraId="0DA45B3A" w14:textId="77777777" w:rsidR="00DE1B44" w:rsidRDefault="00D40582">
      <w:pPr>
        <w:pStyle w:val="2f0"/>
        <w:spacing w:before="120"/>
        <w:rPr>
          <w:rFonts w:ascii="Times New Roman" w:hAnsi="Times New Roman"/>
        </w:rPr>
      </w:pPr>
      <w:bookmarkStart w:id="89" w:name="_Toc457524087"/>
      <w:bookmarkStart w:id="90" w:name="_Toc457550505"/>
      <w:bookmarkStart w:id="91" w:name="_Toc497726086"/>
      <w:bookmarkStart w:id="92" w:name="_Toc460425804"/>
      <w:bookmarkStart w:id="93" w:name="_Toc457813871"/>
      <w:bookmarkStart w:id="94" w:name="_Toc89016929"/>
      <w:r>
        <w:rPr>
          <w:rFonts w:ascii="Times New Roman" w:hAnsi="Times New Roman"/>
        </w:rPr>
        <w:t>四、</w:t>
      </w:r>
      <w:bookmarkEnd w:id="89"/>
      <w:bookmarkEnd w:id="90"/>
      <w:bookmarkEnd w:id="91"/>
      <w:bookmarkEnd w:id="92"/>
      <w:bookmarkEnd w:id="93"/>
      <w:r>
        <w:rPr>
          <w:rFonts w:ascii="Times New Roman" w:hAnsi="Times New Roman" w:hint="eastAsia"/>
        </w:rPr>
        <w:t>发行对象以资产认购股票的行为是否导致增加债务或者或有负债</w:t>
      </w:r>
      <w:bookmarkEnd w:id="94"/>
    </w:p>
    <w:p w14:paraId="754C860D" w14:textId="77777777" w:rsidR="00DE1B44" w:rsidRDefault="00D40582">
      <w:pPr>
        <w:widowControl w:val="0"/>
        <w:spacing w:before="120"/>
        <w:ind w:firstLine="480"/>
        <w:rPr>
          <w:rFonts w:ascii="Times New Roman" w:hAnsi="Times New Roman" w:cs="Times New Roman"/>
          <w:kern w:val="2"/>
        </w:rPr>
      </w:pPr>
      <w:r>
        <w:rPr>
          <w:rFonts w:ascii="Times New Roman" w:hAnsi="Times New Roman" w:cs="Times New Roman" w:hint="eastAsia"/>
          <w:kern w:val="2"/>
        </w:rPr>
        <w:t>本行本次定向发行需以现金认购，不存在以资产认购股票的情况。</w:t>
      </w:r>
    </w:p>
    <w:p w14:paraId="13BF9397" w14:textId="77777777" w:rsidR="00DE1B44" w:rsidRDefault="00D40582">
      <w:pPr>
        <w:pStyle w:val="2f0"/>
        <w:spacing w:before="120"/>
        <w:rPr>
          <w:rFonts w:ascii="Times New Roman" w:hAnsi="Times New Roman"/>
        </w:rPr>
      </w:pPr>
      <w:bookmarkStart w:id="95" w:name="_Toc89016930"/>
      <w:r>
        <w:rPr>
          <w:rFonts w:ascii="Times New Roman" w:hAnsi="Times New Roman" w:hint="eastAsia"/>
        </w:rPr>
        <w:lastRenderedPageBreak/>
        <w:t>五</w:t>
      </w:r>
      <w:r>
        <w:rPr>
          <w:rFonts w:ascii="Times New Roman" w:hAnsi="Times New Roman"/>
        </w:rPr>
        <w:t>、</w:t>
      </w:r>
      <w:r>
        <w:rPr>
          <w:rFonts w:ascii="Times New Roman" w:hAnsi="Times New Roman" w:hint="eastAsia"/>
        </w:rPr>
        <w:t>本次定向发行对其他股东的权益的影响</w:t>
      </w:r>
      <w:bookmarkEnd w:id="95"/>
    </w:p>
    <w:p w14:paraId="378DCCDE" w14:textId="77777777" w:rsidR="00DE1B44" w:rsidRDefault="00D40582">
      <w:pPr>
        <w:widowControl w:val="0"/>
        <w:spacing w:before="120"/>
        <w:ind w:firstLine="480"/>
        <w:rPr>
          <w:rFonts w:ascii="Times New Roman" w:hAnsi="Times New Roman" w:cs="Times New Roman"/>
          <w:kern w:val="2"/>
        </w:rPr>
      </w:pPr>
      <w:r>
        <w:rPr>
          <w:rFonts w:ascii="Times New Roman" w:hAnsi="Times New Roman" w:cs="Times New Roman" w:hint="eastAsia"/>
          <w:kern w:val="2"/>
        </w:rPr>
        <w:t>本次发行在履行董事会及股东大会审议程序后，本行优先向现有股东征询了认购意向，在程序上保障了股东的优先认购权。本次发行中，放弃优先认购权的股东，其持股比例将受到摊薄。</w:t>
      </w:r>
    </w:p>
    <w:p w14:paraId="55F91F4A" w14:textId="77777777" w:rsidR="00DE1B44" w:rsidRDefault="00D40582">
      <w:pPr>
        <w:widowControl w:val="0"/>
        <w:spacing w:before="120"/>
        <w:ind w:firstLine="480"/>
        <w:rPr>
          <w:rFonts w:ascii="Times New Roman" w:hAnsi="Times New Roman" w:cs="Times New Roman"/>
          <w:kern w:val="2"/>
        </w:rPr>
      </w:pPr>
      <w:r>
        <w:rPr>
          <w:rFonts w:ascii="Times New Roman" w:hAnsi="Times New Roman" w:cs="Times New Roman"/>
          <w:kern w:val="2"/>
        </w:rPr>
        <w:t>本次发行后，因短期内本次发行直接产生的经济效益可能难以全面体现，</w:t>
      </w:r>
      <w:r>
        <w:rPr>
          <w:rFonts w:ascii="Times New Roman" w:hAnsi="Times New Roman" w:cs="Times New Roman" w:hint="eastAsia"/>
          <w:kern w:val="2"/>
        </w:rPr>
        <w:t>本行</w:t>
      </w:r>
      <w:r>
        <w:rPr>
          <w:rFonts w:ascii="Times New Roman" w:hAnsi="Times New Roman" w:cs="Times New Roman"/>
          <w:kern w:val="2"/>
        </w:rPr>
        <w:t>股本和净资产规模的扩大也可能摊</w:t>
      </w:r>
      <w:proofErr w:type="gramStart"/>
      <w:r>
        <w:rPr>
          <w:rFonts w:ascii="Times New Roman" w:hAnsi="Times New Roman" w:cs="Times New Roman"/>
          <w:kern w:val="2"/>
        </w:rPr>
        <w:t>薄其他</w:t>
      </w:r>
      <w:proofErr w:type="gramEnd"/>
      <w:r>
        <w:rPr>
          <w:rFonts w:ascii="Times New Roman" w:hAnsi="Times New Roman" w:cs="Times New Roman"/>
          <w:kern w:val="2"/>
        </w:rPr>
        <w:t>股东的每股收益和净资产收益率；但从长期来看，</w:t>
      </w:r>
      <w:r>
        <w:rPr>
          <w:rFonts w:ascii="Times New Roman" w:hAnsi="Times New Roman" w:cs="Times New Roman" w:hint="eastAsia"/>
          <w:kern w:val="2"/>
        </w:rPr>
        <w:t>本行</w:t>
      </w:r>
      <w:r>
        <w:rPr>
          <w:rFonts w:ascii="Times New Roman" w:hAnsi="Times New Roman" w:cs="Times New Roman"/>
          <w:kern w:val="2"/>
        </w:rPr>
        <w:t>资本充足水平的提升将有效增强</w:t>
      </w:r>
      <w:r>
        <w:rPr>
          <w:rFonts w:ascii="Times New Roman" w:hAnsi="Times New Roman" w:cs="Times New Roman" w:hint="eastAsia"/>
          <w:kern w:val="2"/>
        </w:rPr>
        <w:t>本行</w:t>
      </w:r>
      <w:r>
        <w:rPr>
          <w:rFonts w:ascii="Times New Roman" w:hAnsi="Times New Roman" w:cs="Times New Roman"/>
          <w:kern w:val="2"/>
        </w:rPr>
        <w:t>的抗风险能力，从而提升</w:t>
      </w:r>
      <w:r>
        <w:rPr>
          <w:rFonts w:ascii="Times New Roman" w:hAnsi="Times New Roman" w:cs="Times New Roman" w:hint="eastAsia"/>
          <w:kern w:val="2"/>
        </w:rPr>
        <w:t>本行</w:t>
      </w:r>
      <w:r>
        <w:rPr>
          <w:rFonts w:ascii="Times New Roman" w:hAnsi="Times New Roman" w:cs="Times New Roman"/>
          <w:kern w:val="2"/>
        </w:rPr>
        <w:t>的整体盈利能力，对其他股东权益或其他类别股东权益有着积极的影响，不存在损害其他股东权益或其他类别股东权益的情形。</w:t>
      </w:r>
    </w:p>
    <w:p w14:paraId="51322E07" w14:textId="77777777" w:rsidR="00DE1B44" w:rsidRDefault="00D40582">
      <w:pPr>
        <w:pStyle w:val="2f0"/>
        <w:spacing w:before="120"/>
        <w:rPr>
          <w:rFonts w:ascii="Times New Roman" w:hAnsi="Times New Roman"/>
        </w:rPr>
      </w:pPr>
      <w:bookmarkStart w:id="96" w:name="_Toc497726087"/>
      <w:bookmarkStart w:id="97" w:name="_Toc457813872"/>
      <w:bookmarkStart w:id="98" w:name="_Toc89016931"/>
      <w:bookmarkStart w:id="99" w:name="_Toc460425805"/>
      <w:bookmarkStart w:id="100" w:name="_Toc457524088"/>
      <w:bookmarkStart w:id="101" w:name="_Toc457550506"/>
      <w:r>
        <w:rPr>
          <w:rFonts w:ascii="Times New Roman" w:hAnsi="Times New Roman" w:hint="eastAsia"/>
        </w:rPr>
        <w:t>六</w:t>
      </w:r>
      <w:r>
        <w:rPr>
          <w:rFonts w:ascii="Times New Roman" w:hAnsi="Times New Roman"/>
        </w:rPr>
        <w:t>、本次</w:t>
      </w:r>
      <w:r>
        <w:rPr>
          <w:rFonts w:ascii="Times New Roman" w:hAnsi="Times New Roman" w:hint="eastAsia"/>
        </w:rPr>
        <w:t>定向</w:t>
      </w:r>
      <w:r>
        <w:rPr>
          <w:rFonts w:ascii="Times New Roman" w:hAnsi="Times New Roman"/>
        </w:rPr>
        <w:t>发行相关特有风险的说明</w:t>
      </w:r>
      <w:bookmarkEnd w:id="96"/>
      <w:bookmarkEnd w:id="97"/>
      <w:bookmarkEnd w:id="98"/>
      <w:bookmarkEnd w:id="99"/>
      <w:bookmarkEnd w:id="100"/>
      <w:bookmarkEnd w:id="101"/>
    </w:p>
    <w:p w14:paraId="0D1C9BB6" w14:textId="77777777" w:rsidR="00DE1B44" w:rsidRDefault="00D40582">
      <w:pPr>
        <w:pStyle w:val="4a"/>
        <w:spacing w:before="120"/>
        <w:rPr>
          <w:rFonts w:ascii="Times New Roman" w:hAnsi="Times New Roman"/>
        </w:rPr>
      </w:pPr>
      <w:r>
        <w:rPr>
          <w:rFonts w:ascii="Times New Roman" w:hAnsi="Times New Roman"/>
        </w:rPr>
        <w:t>（一）行业风险</w:t>
      </w:r>
    </w:p>
    <w:p w14:paraId="1D8E4E71" w14:textId="77777777" w:rsidR="00DE1B44" w:rsidRDefault="00D40582">
      <w:pPr>
        <w:pStyle w:val="58"/>
        <w:spacing w:before="120"/>
        <w:ind w:firstLine="482"/>
        <w:rPr>
          <w:rFonts w:ascii="Times New Roman" w:hAnsi="Times New Roman"/>
        </w:rPr>
      </w:pPr>
      <w:r>
        <w:rPr>
          <w:rFonts w:ascii="Times New Roman" w:hAnsi="Times New Roman"/>
        </w:rPr>
        <w:t>1</w:t>
      </w:r>
      <w:r>
        <w:rPr>
          <w:rFonts w:ascii="Times New Roman" w:hAnsi="Times New Roman"/>
        </w:rPr>
        <w:t>、</w:t>
      </w:r>
      <w:r>
        <w:rPr>
          <w:rFonts w:ascii="Times New Roman" w:hAnsi="Times New Roman" w:hint="eastAsia"/>
        </w:rPr>
        <w:t>社会经济环境风险</w:t>
      </w:r>
    </w:p>
    <w:p w14:paraId="7763F6CD"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rPr>
        <w:t>商业银行资产质量、业务开展、经营业绩及财务指标与国内外宏观经济</w:t>
      </w:r>
      <w:r>
        <w:rPr>
          <w:rFonts w:ascii="Times New Roman" w:hAnsi="Times New Roman" w:cs="Times New Roman" w:hint="eastAsia"/>
        </w:rPr>
        <w:t>形势、国内经济增长速度、居民收入增长水平、社会福利制度改革进程以及人口变化</w:t>
      </w:r>
      <w:r>
        <w:rPr>
          <w:rFonts w:ascii="Times New Roman" w:hAnsi="Times New Roman" w:cs="Times New Roman"/>
        </w:rPr>
        <w:t>等紧密相关</w:t>
      </w:r>
      <w:r>
        <w:rPr>
          <w:rFonts w:ascii="Times New Roman" w:hAnsi="Times New Roman" w:cs="Times New Roman" w:hint="eastAsia"/>
        </w:rPr>
        <w:t>，上述因素的变化将对本行业务产生较大影响。</w:t>
      </w:r>
      <w:r>
        <w:rPr>
          <w:rFonts w:ascii="Times New Roman" w:hAnsi="Times New Roman" w:cs="Times New Roman"/>
        </w:rPr>
        <w:t>近年来，中国经济已进入新常态，</w:t>
      </w:r>
      <w:r>
        <w:rPr>
          <w:rFonts w:ascii="Times New Roman" w:hAnsi="Times New Roman" w:cs="Times New Roman" w:hint="eastAsia"/>
        </w:rPr>
        <w:t>在新冠疫情的影响下，</w:t>
      </w:r>
      <w:r>
        <w:rPr>
          <w:rFonts w:ascii="Times New Roman" w:hAnsi="Times New Roman" w:cs="Times New Roman"/>
        </w:rPr>
        <w:t>国际经济走势仍不明朗，国家战略推进、改革红利释放、产业结构优化等因素仍对经济基本面起到一定支撑作用。经济新常态下，结构调整</w:t>
      </w:r>
      <w:r>
        <w:rPr>
          <w:rFonts w:ascii="Times New Roman" w:hAnsi="Times New Roman" w:cs="Times New Roman" w:hint="eastAsia"/>
        </w:rPr>
        <w:t>、</w:t>
      </w:r>
      <w:r>
        <w:rPr>
          <w:rFonts w:ascii="Times New Roman" w:hAnsi="Times New Roman" w:cs="Times New Roman"/>
        </w:rPr>
        <w:t>发展模式转型</w:t>
      </w:r>
      <w:r>
        <w:rPr>
          <w:rFonts w:ascii="Times New Roman" w:hAnsi="Times New Roman" w:cs="Times New Roman" w:hint="eastAsia"/>
        </w:rPr>
        <w:t>以及新冠疫情所带</w:t>
      </w:r>
      <w:r>
        <w:rPr>
          <w:rFonts w:ascii="Times New Roman" w:hAnsi="Times New Roman" w:cs="Times New Roman"/>
        </w:rPr>
        <w:t>来的经济下行和金融风险集中暴露，</w:t>
      </w:r>
      <w:r>
        <w:rPr>
          <w:rFonts w:ascii="Times New Roman" w:hAnsi="Times New Roman" w:cs="Times New Roman" w:hint="eastAsia"/>
        </w:rPr>
        <w:t>或导致</w:t>
      </w:r>
      <w:r>
        <w:rPr>
          <w:rFonts w:ascii="Times New Roman" w:hAnsi="Times New Roman" w:cs="Times New Roman"/>
        </w:rPr>
        <w:t>商业银行经营难度逐步加大。</w:t>
      </w:r>
      <w:r>
        <w:rPr>
          <w:rFonts w:ascii="Times New Roman" w:hAnsi="Times New Roman" w:cs="Times New Roman" w:hint="eastAsia"/>
        </w:rPr>
        <w:t>针对经济环境和金融市场的变化，如果本行无法及时相应调整现有经营策略，则可能会对本行业务发展、财务状况、经营业绩以及资产质量造成不利影响。</w:t>
      </w:r>
    </w:p>
    <w:p w14:paraId="510007B0" w14:textId="77777777" w:rsidR="00DE1B44" w:rsidRDefault="00D40582">
      <w:pPr>
        <w:pStyle w:val="58"/>
        <w:spacing w:before="120"/>
        <w:ind w:firstLine="482"/>
        <w:rPr>
          <w:rFonts w:ascii="Times New Roman" w:hAnsi="Times New Roman"/>
        </w:rPr>
      </w:pPr>
      <w:r>
        <w:rPr>
          <w:rFonts w:ascii="Times New Roman" w:hAnsi="Times New Roman"/>
        </w:rPr>
        <w:t>2</w:t>
      </w:r>
      <w:r>
        <w:rPr>
          <w:rFonts w:ascii="Times New Roman" w:hAnsi="Times New Roman"/>
        </w:rPr>
        <w:t>、</w:t>
      </w:r>
      <w:r>
        <w:rPr>
          <w:rFonts w:ascii="Times New Roman" w:hAnsi="Times New Roman" w:hint="eastAsia"/>
        </w:rPr>
        <w:t>竞争</w:t>
      </w:r>
      <w:r>
        <w:rPr>
          <w:rFonts w:ascii="Times New Roman" w:hAnsi="Times New Roman"/>
        </w:rPr>
        <w:t>风险</w:t>
      </w:r>
    </w:p>
    <w:p w14:paraId="0933D677"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hint="eastAsia"/>
        </w:rPr>
        <w:t>随着市场经济的进一步完善，我国的金融机构与金融体系逐渐完善，</w:t>
      </w:r>
      <w:r>
        <w:rPr>
          <w:rFonts w:ascii="Times New Roman" w:hAnsi="Times New Roman" w:cs="Times New Roman"/>
        </w:rPr>
        <w:t>银行业金融机构之间的竞争逐渐加剧。</w:t>
      </w:r>
      <w:r>
        <w:rPr>
          <w:rFonts w:ascii="Times New Roman" w:hAnsi="Times New Roman" w:cs="Times New Roman" w:hint="eastAsia"/>
        </w:rPr>
        <w:t>本行</w:t>
      </w:r>
      <w:r>
        <w:rPr>
          <w:rFonts w:ascii="Times New Roman" w:hAnsi="Times New Roman" w:cs="Times New Roman"/>
        </w:rPr>
        <w:t>的竞争对手主要包括经营所在地的大型商业银行、股份制商业银行和外资银行的分支机构，以及当地的城市商业银行、农村商业银行及地方性银行业金融机构</w:t>
      </w:r>
      <w:r>
        <w:rPr>
          <w:rFonts w:ascii="Times New Roman" w:hAnsi="Times New Roman" w:cs="Times New Roman" w:hint="eastAsia"/>
        </w:rPr>
        <w:t>。随着我国金融服务领域的逐步开放，更多外资银行进入国内，业务范围逐渐扩大，进一步加剧国内银行业的竞争，本行面临着客户流失、市场份额下降等挑战。</w:t>
      </w:r>
    </w:p>
    <w:p w14:paraId="24B73972"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hint="eastAsia"/>
        </w:rPr>
        <w:lastRenderedPageBreak/>
        <w:t>银行业竞争的加剧，可能会对本行的业务开展、财务状况、经营业绩和发展前景产生不利影响，例如：降低本行在主要业务领域的市场份额；减少本行贷款及存款规模，降低净息差及净利差；减少本行手续费及佣金收入；增加非利息支出，如销售及营销费用；降低本行资产质量。</w:t>
      </w:r>
    </w:p>
    <w:p w14:paraId="24239652"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rPr>
        <w:t>同时，随着互联网技术的不断发展，互联网金融业务对传统银行业务的影响已日益显著，商业银行在金融市场的传统主导地位正不断受到挑战。虽然</w:t>
      </w:r>
      <w:r>
        <w:rPr>
          <w:rFonts w:ascii="Times New Roman" w:hAnsi="Times New Roman" w:cs="Times New Roman" w:hint="eastAsia"/>
        </w:rPr>
        <w:t>本行</w:t>
      </w:r>
      <w:r>
        <w:rPr>
          <w:rFonts w:ascii="Times New Roman" w:hAnsi="Times New Roman" w:cs="Times New Roman"/>
        </w:rPr>
        <w:t>在不断拓展业务发展区域，但随着传统商业银行及互联网金融竞争压力的日益加剧，主要产品和服务领域的市场份额、其他产品和服务的增长速度等可能出现不同程度的下降，并可能导致利息收入减少，利息支出增加，从而对</w:t>
      </w:r>
      <w:r>
        <w:rPr>
          <w:rFonts w:ascii="Times New Roman" w:hAnsi="Times New Roman" w:cs="Times New Roman" w:hint="eastAsia"/>
        </w:rPr>
        <w:t>本行</w:t>
      </w:r>
      <w:r>
        <w:rPr>
          <w:rFonts w:ascii="Times New Roman" w:hAnsi="Times New Roman" w:cs="Times New Roman"/>
        </w:rPr>
        <w:t>的战略实施、业务开展、经营业绩和财务状况等方面造成不利影响。</w:t>
      </w:r>
    </w:p>
    <w:p w14:paraId="044A7B58"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hint="eastAsia"/>
        </w:rPr>
        <w:t>此外，随着国内资本市场的迅速发展，本行面临着其他投资渠道对资金的竞争，这些竞争可能会对本行的业务开展、财务状况以及经营业绩产生不利影响。</w:t>
      </w:r>
    </w:p>
    <w:p w14:paraId="386A913F" w14:textId="77777777" w:rsidR="00DE1B44" w:rsidRDefault="00D40582">
      <w:pPr>
        <w:pStyle w:val="58"/>
        <w:spacing w:before="120"/>
        <w:ind w:firstLine="482"/>
        <w:rPr>
          <w:rFonts w:ascii="Times New Roman" w:hAnsi="Times New Roman"/>
        </w:rPr>
      </w:pPr>
      <w:r>
        <w:rPr>
          <w:rFonts w:ascii="Times New Roman" w:hAnsi="Times New Roman"/>
        </w:rPr>
        <w:t>3</w:t>
      </w:r>
      <w:r>
        <w:rPr>
          <w:rFonts w:ascii="Times New Roman" w:hAnsi="Times New Roman"/>
        </w:rPr>
        <w:t>、</w:t>
      </w:r>
      <w:r>
        <w:rPr>
          <w:rFonts w:ascii="Times New Roman" w:hAnsi="Times New Roman" w:hint="eastAsia"/>
        </w:rPr>
        <w:t>监管政策变化的风</w:t>
      </w:r>
      <w:r>
        <w:rPr>
          <w:rFonts w:ascii="Times New Roman" w:hAnsi="Times New Roman"/>
        </w:rPr>
        <w:t>险</w:t>
      </w:r>
    </w:p>
    <w:p w14:paraId="6B52F327"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本行业务直接受我国法律、法规和监管政策变化的影响。我国银行监管制度时有变化，包括适用于本行法律法规的变化，这些变化的一部分可能会增加本行的经营成本或对业务开展施加额外限制。目前，我国的</w:t>
      </w:r>
      <w:r>
        <w:rPr>
          <w:rFonts w:ascii="Times New Roman" w:hAnsi="Times New Roman" w:cs="Times New Roman" w:hint="eastAsia"/>
        </w:rPr>
        <w:t>“</w:t>
      </w:r>
      <w:proofErr w:type="gramStart"/>
      <w:r>
        <w:rPr>
          <w:rFonts w:ascii="Times New Roman" w:hAnsi="Times New Roman" w:cs="Times New Roman"/>
        </w:rPr>
        <w:t>一委一行</w:t>
      </w:r>
      <w:proofErr w:type="gramEnd"/>
      <w:r>
        <w:rPr>
          <w:rFonts w:ascii="Times New Roman" w:hAnsi="Times New Roman" w:cs="Times New Roman"/>
        </w:rPr>
        <w:t>两会</w:t>
      </w:r>
      <w:r>
        <w:rPr>
          <w:rFonts w:ascii="Times New Roman" w:hAnsi="Times New Roman" w:cs="Times New Roman" w:hint="eastAsia"/>
        </w:rPr>
        <w:t>”</w:t>
      </w:r>
      <w:r>
        <w:rPr>
          <w:rFonts w:ascii="Times New Roman" w:hAnsi="Times New Roman" w:cs="Times New Roman"/>
        </w:rPr>
        <w:t>的金融监管体系已形成，即国务院金融稳定发展委员会负责整体协调、人民银行负责货币政策和宏观审慎政策同时参与微观审慎监管，中国银保监会和中国证监会负责微观审慎监管。未来的法律、法规、规则或政策，或对目前及未来法律、法规、规则或政策的解释，可能对本行的业务、财务状况、经营业绩及前景造成不利影响。此外，部分涉及银行业的法律、法规或政策较新，其解释及应用尚待完善，本行无法保证能够及时调整以充分适应这些变化。如果本行未能完全遵守这些法律、法规或政策，可能导致本行被处罚或业务活动受到限制，从而对本行产生不利影响。</w:t>
      </w:r>
    </w:p>
    <w:p w14:paraId="68471421"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同时，本行须接受国务院金融稳定发展委员会、人民银行、中国银保监会、国家审计署等监管机构的各种检查和监管。如本行不能满足相关监管机构的监管要求和指引，或者未能完全遵守所有的相关规则，本行将可能因此被制裁、罚款、处罚，从而使本行的业务、财务状况、经营业绩和声誉受到不利影响。</w:t>
      </w:r>
    </w:p>
    <w:p w14:paraId="09DC24A9" w14:textId="77777777" w:rsidR="00DE1B44" w:rsidRDefault="00D40582">
      <w:pPr>
        <w:pStyle w:val="58"/>
        <w:spacing w:before="120"/>
        <w:ind w:firstLine="482"/>
        <w:rPr>
          <w:rFonts w:ascii="Times New Roman" w:hAnsi="Times New Roman"/>
        </w:rPr>
      </w:pPr>
      <w:r>
        <w:rPr>
          <w:rFonts w:ascii="Times New Roman" w:hAnsi="Times New Roman"/>
        </w:rPr>
        <w:lastRenderedPageBreak/>
        <w:t>4</w:t>
      </w:r>
      <w:r>
        <w:rPr>
          <w:rFonts w:ascii="Times New Roman" w:hAnsi="Times New Roman"/>
        </w:rPr>
        <w:t>、</w:t>
      </w:r>
      <w:r>
        <w:rPr>
          <w:rFonts w:ascii="Times New Roman" w:hAnsi="Times New Roman" w:hint="eastAsia"/>
        </w:rPr>
        <w:t>货币政策变化的风</w:t>
      </w:r>
      <w:r>
        <w:rPr>
          <w:rFonts w:ascii="Times New Roman" w:hAnsi="Times New Roman"/>
        </w:rPr>
        <w:t>险</w:t>
      </w:r>
    </w:p>
    <w:p w14:paraId="5D7725BC"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货币政策及调控方式的调整将对本行的经营活动产生直接影响。近年来，人民银行在实施稳健货币政策的过程中，对货币政策调控方式进行了全方位改革，如果本行的经营不能根据货币政策变动趋势进行适当调整，货币政策变动将对本行运作和经营效益产生不确定性影响。</w:t>
      </w:r>
    </w:p>
    <w:p w14:paraId="3EEF7BEF" w14:textId="77777777" w:rsidR="00DE1B44" w:rsidRDefault="00D40582">
      <w:pPr>
        <w:pStyle w:val="4a"/>
        <w:spacing w:before="120"/>
        <w:rPr>
          <w:rFonts w:ascii="Times New Roman" w:hAnsi="Times New Roman"/>
        </w:rPr>
      </w:pPr>
      <w:r>
        <w:rPr>
          <w:rFonts w:ascii="Times New Roman" w:hAnsi="Times New Roman"/>
        </w:rPr>
        <w:t>（二）</w:t>
      </w:r>
      <w:r>
        <w:rPr>
          <w:rFonts w:ascii="Times New Roman" w:hAnsi="Times New Roman" w:hint="eastAsia"/>
        </w:rPr>
        <w:t>与本行业务有关的风险</w:t>
      </w:r>
    </w:p>
    <w:p w14:paraId="0472431D" w14:textId="77777777" w:rsidR="00DE1B44" w:rsidRDefault="00D40582">
      <w:pPr>
        <w:pStyle w:val="58"/>
        <w:spacing w:before="120"/>
        <w:ind w:firstLine="482"/>
        <w:rPr>
          <w:rFonts w:ascii="Times New Roman" w:hAnsi="Times New Roman"/>
        </w:rPr>
      </w:pPr>
      <w:r>
        <w:rPr>
          <w:rFonts w:ascii="Times New Roman" w:hAnsi="Times New Roman"/>
        </w:rPr>
        <w:t>1</w:t>
      </w:r>
      <w:r>
        <w:rPr>
          <w:rFonts w:ascii="Times New Roman" w:hAnsi="Times New Roman"/>
        </w:rPr>
        <w:t>、信用风险</w:t>
      </w:r>
    </w:p>
    <w:p w14:paraId="2E85675C"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rPr>
        <w:t>信用风险是指银行借款人或交易对手未能按照约定履行其相关义务而造成银行经济损失的风险。信用风险不仅存在于贷款业务中，还存在于其他表内业务和表外业务中，是</w:t>
      </w:r>
      <w:r>
        <w:rPr>
          <w:rFonts w:ascii="Times New Roman" w:hAnsi="Times New Roman" w:cs="Times New Roman" w:hint="eastAsia"/>
        </w:rPr>
        <w:t>本行</w:t>
      </w:r>
      <w:r>
        <w:rPr>
          <w:rFonts w:ascii="Times New Roman" w:hAnsi="Times New Roman" w:cs="Times New Roman"/>
        </w:rPr>
        <w:t>面临的主要风险之一。截至</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日，本行</w:t>
      </w:r>
      <w:r>
        <w:rPr>
          <w:rFonts w:ascii="Times New Roman" w:hAnsi="Times New Roman" w:cs="Times New Roman"/>
        </w:rPr>
        <w:t>不良贷款率分别为</w:t>
      </w:r>
      <w:r>
        <w:rPr>
          <w:rFonts w:ascii="Times New Roman" w:hAnsi="Times New Roman" w:cs="Times New Roman"/>
        </w:rPr>
        <w:t>1.55%</w:t>
      </w:r>
      <w:r>
        <w:rPr>
          <w:rFonts w:ascii="Times New Roman" w:hAnsi="Times New Roman" w:cs="Times New Roman" w:hint="eastAsia"/>
        </w:rPr>
        <w:t>、</w:t>
      </w:r>
      <w:r>
        <w:rPr>
          <w:rFonts w:ascii="Times New Roman" w:hAnsi="Times New Roman" w:cs="Times New Roman"/>
        </w:rPr>
        <w:t>1.55%</w:t>
      </w:r>
      <w:r>
        <w:rPr>
          <w:rFonts w:ascii="Times New Roman" w:hAnsi="Times New Roman" w:cs="Times New Roman" w:hint="eastAsia"/>
        </w:rPr>
        <w:t>及</w:t>
      </w:r>
      <w:r>
        <w:rPr>
          <w:rFonts w:ascii="Times New Roman" w:hAnsi="Times New Roman" w:cs="Times New Roman"/>
        </w:rPr>
        <w:t>1.25</w:t>
      </w:r>
      <w:r>
        <w:rPr>
          <w:rFonts w:ascii="Times New Roman" w:hAnsi="Times New Roman" w:cs="Times New Roman" w:hint="eastAsia"/>
        </w:rPr>
        <w:t>%</w:t>
      </w:r>
      <w:r>
        <w:rPr>
          <w:rFonts w:ascii="Times New Roman" w:hAnsi="Times New Roman" w:cs="Times New Roman"/>
        </w:rPr>
        <w:t>。若</w:t>
      </w:r>
      <w:r>
        <w:rPr>
          <w:rFonts w:ascii="Times New Roman" w:hAnsi="Times New Roman" w:cs="Times New Roman" w:hint="eastAsia"/>
        </w:rPr>
        <w:t>本行</w:t>
      </w:r>
      <w:r>
        <w:rPr>
          <w:rFonts w:ascii="Times New Roman" w:hAnsi="Times New Roman" w:cs="Times New Roman"/>
        </w:rPr>
        <w:t>的信贷风险管理政策、流程和体系未能有效运作，可能会导致贷款组合整体质量下降，不良贷款增加，从而对财务状况和经营业绩产生不利影响。</w:t>
      </w:r>
    </w:p>
    <w:p w14:paraId="4EDAF443" w14:textId="77777777" w:rsidR="00DE1B44" w:rsidRDefault="00D40582">
      <w:pPr>
        <w:pStyle w:val="58"/>
        <w:spacing w:before="120"/>
        <w:ind w:firstLine="482"/>
        <w:rPr>
          <w:rFonts w:ascii="Times New Roman" w:hAnsi="Times New Roman"/>
        </w:rPr>
      </w:pPr>
      <w:r>
        <w:rPr>
          <w:rFonts w:ascii="Times New Roman" w:hAnsi="Times New Roman"/>
        </w:rPr>
        <w:t>2</w:t>
      </w:r>
      <w:r>
        <w:rPr>
          <w:rFonts w:ascii="Times New Roman" w:hAnsi="Times New Roman"/>
        </w:rPr>
        <w:t>、</w:t>
      </w:r>
      <w:r>
        <w:rPr>
          <w:rFonts w:ascii="Times New Roman" w:hAnsi="Times New Roman" w:hint="eastAsia"/>
        </w:rPr>
        <w:t>市场</w:t>
      </w:r>
      <w:r>
        <w:rPr>
          <w:rFonts w:ascii="Times New Roman" w:hAnsi="Times New Roman"/>
        </w:rPr>
        <w:t>风险</w:t>
      </w:r>
    </w:p>
    <w:p w14:paraId="40D97EE3"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rPr>
        <w:t>市场风险是指因市场价格（利率、汇率、股票价格和商品价格等）发生不利变动而使本集团表内和表外业务发生损失的风险。随着利率市场化进程的逐步推进，银行业面临的利率竞争会有所增加，银行平衡风险与收益的难度有所加大。利率变化除影响银行利息净收入外，还会导致银行资产、负债和表外金融产品的市场价值波动。</w:t>
      </w:r>
      <w:proofErr w:type="gramStart"/>
      <w:r>
        <w:rPr>
          <w:rFonts w:ascii="Times New Roman" w:hAnsi="Times New Roman" w:cs="Times New Roman"/>
        </w:rPr>
        <w:t>若资产</w:t>
      </w:r>
      <w:proofErr w:type="gramEnd"/>
      <w:r>
        <w:rPr>
          <w:rFonts w:ascii="Times New Roman" w:hAnsi="Times New Roman" w:cs="Times New Roman"/>
        </w:rPr>
        <w:t>与负债结构不平衡，利率敏感性资产和利率敏感性负债的价值变动不一致，会对</w:t>
      </w:r>
      <w:r>
        <w:rPr>
          <w:rFonts w:ascii="Times New Roman" w:hAnsi="Times New Roman" w:cs="Times New Roman" w:hint="eastAsia"/>
        </w:rPr>
        <w:t>本行</w:t>
      </w:r>
      <w:r>
        <w:rPr>
          <w:rFonts w:ascii="Times New Roman" w:hAnsi="Times New Roman" w:cs="Times New Roman"/>
        </w:rPr>
        <w:t>盈利水平以及资本充足程度带来不确定的风险。</w:t>
      </w:r>
    </w:p>
    <w:p w14:paraId="72E5AE6B" w14:textId="77777777" w:rsidR="00DE1B44" w:rsidRDefault="00D40582">
      <w:pPr>
        <w:pStyle w:val="58"/>
        <w:spacing w:before="120"/>
        <w:ind w:firstLine="482"/>
        <w:rPr>
          <w:rFonts w:ascii="Times New Roman" w:hAnsi="Times New Roman"/>
        </w:rPr>
      </w:pPr>
      <w:r>
        <w:rPr>
          <w:rFonts w:ascii="Times New Roman" w:hAnsi="Times New Roman"/>
        </w:rPr>
        <w:t>3</w:t>
      </w:r>
      <w:r>
        <w:rPr>
          <w:rFonts w:ascii="Times New Roman" w:hAnsi="Times New Roman"/>
        </w:rPr>
        <w:t>、</w:t>
      </w:r>
      <w:r>
        <w:rPr>
          <w:rFonts w:ascii="Times New Roman" w:hAnsi="Times New Roman" w:hint="eastAsia"/>
        </w:rPr>
        <w:t>流动性</w:t>
      </w:r>
      <w:r>
        <w:rPr>
          <w:rFonts w:ascii="Times New Roman" w:hAnsi="Times New Roman"/>
        </w:rPr>
        <w:t>风险</w:t>
      </w:r>
    </w:p>
    <w:p w14:paraId="7061248C"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rPr>
        <w:t>流动性风险是指无法以合理成本及时获得充足资金，用于偿付到期债务、履行其他支付义务和满足正常业务开展的其他资金需求的风险。信贷需求的大幅度增长、贷款承诺的大量履行、非预期的不良贷款增长、存款水平的减少、货币市场融资困难、流动性管理能力等因素，均会影响</w:t>
      </w:r>
      <w:r>
        <w:rPr>
          <w:rFonts w:ascii="Times New Roman" w:hAnsi="Times New Roman" w:cs="Times New Roman" w:hint="eastAsia"/>
        </w:rPr>
        <w:t>本行</w:t>
      </w:r>
      <w:r>
        <w:rPr>
          <w:rFonts w:ascii="Times New Roman" w:hAnsi="Times New Roman" w:cs="Times New Roman"/>
        </w:rPr>
        <w:t>的流动性。</w:t>
      </w:r>
      <w:r>
        <w:rPr>
          <w:rFonts w:ascii="Times New Roman" w:hAnsi="Times New Roman" w:cs="Times New Roman" w:hint="eastAsia"/>
        </w:rPr>
        <w:t>本行</w:t>
      </w:r>
      <w:r>
        <w:rPr>
          <w:rFonts w:ascii="Times New Roman" w:hAnsi="Times New Roman" w:cs="Times New Roman"/>
        </w:rPr>
        <w:t>的负债资金主要来源于客户存款，短期存款到期后，其中相当部分一般不会被立即提取，而会成为稳定的资金沉淀。但是</w:t>
      </w:r>
      <w:r>
        <w:rPr>
          <w:rFonts w:ascii="Times New Roman" w:hAnsi="Times New Roman" w:cs="Times New Roman" w:hint="eastAsia"/>
        </w:rPr>
        <w:t>本行</w:t>
      </w:r>
      <w:r>
        <w:rPr>
          <w:rFonts w:ascii="Times New Roman" w:hAnsi="Times New Roman" w:cs="Times New Roman"/>
        </w:rPr>
        <w:t>并不能保证这些客户行为的持续性，尤其是在有更多投资产品出现的情况下。如果相当</w:t>
      </w:r>
      <w:r>
        <w:rPr>
          <w:rFonts w:ascii="Times New Roman" w:hAnsi="Times New Roman" w:cs="Times New Roman"/>
        </w:rPr>
        <w:lastRenderedPageBreak/>
        <w:t>比例的活期存款客户取出存款，或到期存款不能续存，</w:t>
      </w:r>
      <w:r>
        <w:rPr>
          <w:rFonts w:ascii="Times New Roman" w:hAnsi="Times New Roman" w:cs="Times New Roman" w:hint="eastAsia"/>
        </w:rPr>
        <w:t>本行</w:t>
      </w:r>
      <w:r>
        <w:rPr>
          <w:rFonts w:ascii="Times New Roman" w:hAnsi="Times New Roman" w:cs="Times New Roman"/>
        </w:rPr>
        <w:t>可能需要寻求成本更高的资金来源，以满足资金需求；</w:t>
      </w:r>
      <w:r>
        <w:rPr>
          <w:rFonts w:ascii="Times New Roman" w:hAnsi="Times New Roman" w:cs="Times New Roman" w:hint="eastAsia"/>
        </w:rPr>
        <w:t>本行</w:t>
      </w:r>
      <w:r>
        <w:rPr>
          <w:rFonts w:ascii="Times New Roman" w:hAnsi="Times New Roman" w:cs="Times New Roman"/>
        </w:rPr>
        <w:t>也可能无法以合理的商业条款在有资金需求时及时地取得资金。同时，如出现市场环境恶化、货币市场融资困难等情况，</w:t>
      </w:r>
      <w:r>
        <w:rPr>
          <w:rFonts w:ascii="Times New Roman" w:hAnsi="Times New Roman" w:cs="Times New Roman" w:hint="eastAsia"/>
        </w:rPr>
        <w:t>本行</w:t>
      </w:r>
      <w:r>
        <w:rPr>
          <w:rFonts w:ascii="Times New Roman" w:hAnsi="Times New Roman" w:cs="Times New Roman"/>
        </w:rPr>
        <w:t>的融资能力也可能会因此被削弱。</w:t>
      </w:r>
    </w:p>
    <w:p w14:paraId="59C3FB6E" w14:textId="77777777" w:rsidR="00DE1B44" w:rsidRDefault="00D40582">
      <w:pPr>
        <w:pStyle w:val="58"/>
        <w:spacing w:before="120"/>
        <w:ind w:firstLine="482"/>
        <w:rPr>
          <w:rFonts w:ascii="Times New Roman" w:hAnsi="Times New Roman"/>
        </w:rPr>
      </w:pPr>
      <w:r>
        <w:rPr>
          <w:rFonts w:ascii="Times New Roman" w:hAnsi="Times New Roman"/>
        </w:rPr>
        <w:t>4</w:t>
      </w:r>
      <w:r>
        <w:rPr>
          <w:rFonts w:ascii="Times New Roman" w:hAnsi="Times New Roman"/>
        </w:rPr>
        <w:t>、</w:t>
      </w:r>
      <w:r>
        <w:rPr>
          <w:rFonts w:ascii="Times New Roman" w:hAnsi="Times New Roman" w:hint="eastAsia"/>
        </w:rPr>
        <w:t>操作</w:t>
      </w:r>
      <w:r>
        <w:rPr>
          <w:rFonts w:ascii="Times New Roman" w:hAnsi="Times New Roman"/>
        </w:rPr>
        <w:t>风险</w:t>
      </w:r>
    </w:p>
    <w:p w14:paraId="4E918C71"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rPr>
        <w:t>操作风险是指由不完善或有问题的内部程序、员工和信息科技系统，以及外部事件所造成损失的风险。</w:t>
      </w:r>
      <w:r>
        <w:rPr>
          <w:rFonts w:ascii="Times New Roman" w:hAnsi="Times New Roman" w:cs="Times New Roman" w:hint="eastAsia"/>
        </w:rPr>
        <w:t>本行</w:t>
      </w:r>
      <w:r>
        <w:rPr>
          <w:rFonts w:ascii="Times New Roman" w:hAnsi="Times New Roman" w:cs="Times New Roman"/>
        </w:rPr>
        <w:t>的操作风险主要包括风险管理和内部控制不能满足新增业务控制的风险、内部信息系统不能正常运行的风险及员工或第三方的欺诈或其他不当行为风险。</w:t>
      </w:r>
    </w:p>
    <w:p w14:paraId="40C5B0F4" w14:textId="77777777" w:rsidR="00DE1B44" w:rsidRDefault="00D40582">
      <w:pPr>
        <w:pStyle w:val="58"/>
        <w:spacing w:before="120"/>
        <w:ind w:firstLine="482"/>
        <w:rPr>
          <w:rFonts w:ascii="Times New Roman" w:hAnsi="Times New Roman"/>
        </w:rPr>
      </w:pPr>
      <w:r>
        <w:rPr>
          <w:rFonts w:ascii="Times New Roman" w:hAnsi="Times New Roman" w:hint="eastAsia"/>
        </w:rPr>
        <w:t>5</w:t>
      </w:r>
      <w:r>
        <w:rPr>
          <w:rFonts w:ascii="Times New Roman" w:hAnsi="Times New Roman"/>
        </w:rPr>
        <w:t>、</w:t>
      </w:r>
      <w:r>
        <w:rPr>
          <w:rFonts w:ascii="Times New Roman" w:hAnsi="Times New Roman" w:hint="eastAsia"/>
        </w:rPr>
        <w:t>声誉</w:t>
      </w:r>
      <w:r>
        <w:rPr>
          <w:rFonts w:ascii="Times New Roman" w:hAnsi="Times New Roman"/>
        </w:rPr>
        <w:t>风险</w:t>
      </w:r>
    </w:p>
    <w:p w14:paraId="7B225BAD"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hint="eastAsia"/>
        </w:rPr>
        <w:t>声誉风险是指由企业经营、管理及其他行为或外部事件导致利益相关方对企业负面评价的风险</w:t>
      </w:r>
      <w:r>
        <w:rPr>
          <w:rFonts w:ascii="Times New Roman" w:hAnsi="Times New Roman" w:cs="Times New Roman"/>
        </w:rPr>
        <w:t>。</w:t>
      </w:r>
      <w:r>
        <w:rPr>
          <w:rFonts w:ascii="Times New Roman" w:hAnsi="Times New Roman" w:cs="Times New Roman" w:hint="eastAsia"/>
        </w:rPr>
        <w:t>本行在经营过程中，可能因为经营、管理及其他行为或外部事件遭受利益相关方的负面评价，从而导致本行的业务开展及经济利益受到不利影响。无论负面消息和报道是否准确，甚至是否与本行有关，均有可能损害本行的品牌形象和社会声誉。</w:t>
      </w:r>
    </w:p>
    <w:p w14:paraId="7023F049" w14:textId="77777777" w:rsidR="00DE1B44" w:rsidRDefault="00D40582">
      <w:pPr>
        <w:pStyle w:val="58"/>
        <w:spacing w:before="120"/>
        <w:ind w:firstLine="482"/>
        <w:rPr>
          <w:rFonts w:ascii="Times New Roman" w:hAnsi="Times New Roman"/>
        </w:rPr>
      </w:pPr>
      <w:r>
        <w:rPr>
          <w:rFonts w:ascii="Times New Roman" w:hAnsi="Times New Roman"/>
        </w:rPr>
        <w:t>6</w:t>
      </w:r>
      <w:r>
        <w:rPr>
          <w:rFonts w:ascii="Times New Roman" w:hAnsi="Times New Roman"/>
        </w:rPr>
        <w:t>、风险管理及内部控制风险</w:t>
      </w:r>
    </w:p>
    <w:p w14:paraId="2DC604DA"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rPr>
        <w:t>近年来，本行通过建立和完善风险管理及内部控制的政策、组织、流程、技术和文化，风险管理能力稳步提高。然而，本行的风险管理和内部控制能力受到本行所获的信息、风险管理工具及技术的限制。本行业务规模的增长与经营范围的扩大，也可能影响本行贯彻和维持严格内部控制的能力；本行亦不能保证所有员工能够一直遵守这些政策和程序。本行的风险管理或其他内部控制政策或程序如有任何不足之处，则可能会令本行承担信用风险、流动性风险、市场风险、操作风险或声誉风险，进而对本行的经营业绩和财务状况造成不利影响。</w:t>
      </w:r>
    </w:p>
    <w:p w14:paraId="20B4DB11" w14:textId="77777777" w:rsidR="00DE1B44" w:rsidRDefault="00D40582">
      <w:pPr>
        <w:pStyle w:val="58"/>
        <w:spacing w:before="120"/>
        <w:ind w:firstLine="482"/>
        <w:rPr>
          <w:rFonts w:ascii="Times New Roman" w:hAnsi="Times New Roman"/>
        </w:rPr>
      </w:pPr>
      <w:r>
        <w:rPr>
          <w:rFonts w:ascii="Times New Roman" w:hAnsi="Times New Roman"/>
        </w:rPr>
        <w:t>7</w:t>
      </w:r>
      <w:r>
        <w:rPr>
          <w:rFonts w:ascii="Times New Roman" w:hAnsi="Times New Roman"/>
        </w:rPr>
        <w:t>、</w:t>
      </w:r>
      <w:r>
        <w:t>信息化技术风险</w:t>
      </w:r>
    </w:p>
    <w:p w14:paraId="5544D3AC"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rPr>
        <w:t>信息化技术在银行各项工作中日益发挥出不可替代的作用。信息化技术风险是指由于信息技术的系统功能达不到设计要求或运行不可靠，系统的安全防护水平不高，或者系统的先进性达不到同业水平或技术应用出现偏差，可能给本行造成直接或间接损失的风险。</w:t>
      </w:r>
    </w:p>
    <w:p w14:paraId="4C7945AD"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rPr>
        <w:lastRenderedPageBreak/>
        <w:t>本行依托信息科技系统准确、快速地处理大量交易，以及存储和处理本行绝大部分的业务及运营活动的数据。本行采取了大量的技术手段和管理措施保障信息系统安全可靠运行，积极开展信息安全防护工作，持续完善</w:t>
      </w:r>
      <w:proofErr w:type="gramStart"/>
      <w:r>
        <w:rPr>
          <w:rFonts w:ascii="Times New Roman" w:hAnsi="Times New Roman" w:cs="Times New Roman"/>
        </w:rPr>
        <w:t>应急灾备体系</w:t>
      </w:r>
      <w:proofErr w:type="gramEnd"/>
      <w:r>
        <w:rPr>
          <w:rFonts w:ascii="Times New Roman" w:hAnsi="Times New Roman" w:cs="Times New Roman"/>
        </w:rPr>
        <w:t>。但是，如果由于信息系统软硬件存在缺陷造成系统故障、信息安全防护方面存在漏洞等因素造成本行信息系统部分或完全出现故障，本行的业务将受到不利影响。同时，如果本行不能有效、及时地改进和提升信息科技系统，将可能会对本行的竞争力、经营业绩和财务状况造成不利影响。</w:t>
      </w:r>
    </w:p>
    <w:p w14:paraId="6372CFAB" w14:textId="77777777" w:rsidR="00DE1B44" w:rsidRDefault="00D40582">
      <w:pPr>
        <w:pStyle w:val="58"/>
        <w:spacing w:before="120"/>
        <w:ind w:firstLine="482"/>
        <w:rPr>
          <w:rFonts w:ascii="Times New Roman" w:hAnsi="Times New Roman"/>
        </w:rPr>
      </w:pPr>
      <w:r>
        <w:rPr>
          <w:rFonts w:ascii="Times New Roman" w:hAnsi="Times New Roman"/>
        </w:rPr>
        <w:t>8</w:t>
      </w:r>
      <w:r>
        <w:rPr>
          <w:rFonts w:ascii="Times New Roman" w:hAnsi="Times New Roman"/>
        </w:rPr>
        <w:t>、</w:t>
      </w:r>
      <w:r>
        <w:t>即期回报摊薄风险</w:t>
      </w:r>
    </w:p>
    <w:p w14:paraId="4695BA72" w14:textId="77777777" w:rsidR="00DE1B44" w:rsidRDefault="00D40582">
      <w:pPr>
        <w:widowControl w:val="0"/>
        <w:spacing w:before="120"/>
        <w:ind w:firstLine="480"/>
        <w:rPr>
          <w:rFonts w:ascii="Times New Roman" w:hAnsi="Times New Roman" w:cs="Times New Roman"/>
        </w:rPr>
      </w:pPr>
      <w:r>
        <w:rPr>
          <w:rFonts w:ascii="Times New Roman" w:hAnsi="Times New Roman" w:cs="Times New Roman"/>
        </w:rPr>
        <w:t>本次发行完成后，</w:t>
      </w:r>
      <w:r>
        <w:rPr>
          <w:rFonts w:ascii="Times New Roman" w:hAnsi="Times New Roman" w:cs="Times New Roman" w:hint="eastAsia"/>
        </w:rPr>
        <w:t>本行</w:t>
      </w:r>
      <w:r>
        <w:rPr>
          <w:rFonts w:ascii="Times New Roman" w:hAnsi="Times New Roman" w:cs="Times New Roman"/>
        </w:rPr>
        <w:t>总股本和净资产均将相应增加。本次发行的募集资金在扣除发行费用后，将全部用于补充</w:t>
      </w:r>
      <w:r>
        <w:rPr>
          <w:rFonts w:ascii="Times New Roman" w:hAnsi="Times New Roman" w:cs="Times New Roman" w:hint="eastAsia"/>
        </w:rPr>
        <w:t>本行</w:t>
      </w:r>
      <w:r>
        <w:rPr>
          <w:rFonts w:ascii="Times New Roman" w:hAnsi="Times New Roman" w:cs="Times New Roman"/>
        </w:rPr>
        <w:t>的资本金，产生效益需要一定时间，如果</w:t>
      </w:r>
      <w:r>
        <w:rPr>
          <w:rFonts w:ascii="Times New Roman" w:hAnsi="Times New Roman" w:cs="Times New Roman" w:hint="eastAsia"/>
        </w:rPr>
        <w:t>本行</w:t>
      </w:r>
      <w:r>
        <w:rPr>
          <w:rFonts w:ascii="Times New Roman" w:hAnsi="Times New Roman" w:cs="Times New Roman"/>
        </w:rPr>
        <w:t>完成股票发行当年的业务规模和净利润未能产生相应幅度的增长，每股收益和净资产收益率等指标将出现一定程度的下降，本次募集资金到位后</w:t>
      </w:r>
      <w:r>
        <w:rPr>
          <w:rFonts w:ascii="Times New Roman" w:hAnsi="Times New Roman" w:cs="Times New Roman" w:hint="eastAsia"/>
        </w:rPr>
        <w:t>本行</w:t>
      </w:r>
      <w:r>
        <w:rPr>
          <w:rFonts w:ascii="Times New Roman" w:hAnsi="Times New Roman" w:cs="Times New Roman"/>
        </w:rPr>
        <w:t>即期回报存在被摊薄的风险。</w:t>
      </w:r>
    </w:p>
    <w:p w14:paraId="791E93C2" w14:textId="77777777" w:rsidR="00DE1B44" w:rsidRDefault="00D40582">
      <w:pPr>
        <w:pStyle w:val="1ff1"/>
        <w:spacing w:before="120"/>
        <w:ind w:firstLine="720"/>
        <w:rPr>
          <w:rFonts w:ascii="Times New Roman" w:hAnsi="Times New Roman" w:cs="Times New Roman"/>
        </w:rPr>
      </w:pPr>
      <w:bookmarkStart w:id="102" w:name="_Toc89016932"/>
      <w:r>
        <w:rPr>
          <w:rFonts w:ascii="Times New Roman" w:hAnsi="Times New Roman" w:cs="Times New Roman"/>
        </w:rPr>
        <w:lastRenderedPageBreak/>
        <w:t>第</w:t>
      </w:r>
      <w:r>
        <w:rPr>
          <w:rFonts w:ascii="Times New Roman" w:hAnsi="Times New Roman" w:cs="Times New Roman" w:hint="eastAsia"/>
        </w:rPr>
        <w:t>六</w:t>
      </w:r>
      <w:r>
        <w:rPr>
          <w:rFonts w:ascii="Times New Roman" w:hAnsi="Times New Roman" w:cs="Times New Roman"/>
        </w:rPr>
        <w:t>节</w:t>
      </w:r>
      <w:r>
        <w:rPr>
          <w:rFonts w:ascii="Times New Roman" w:hAnsi="Times New Roman" w:cs="Times New Roman" w:hint="eastAsia"/>
        </w:rPr>
        <w:t xml:space="preserve"> </w:t>
      </w:r>
      <w:r>
        <w:rPr>
          <w:rFonts w:ascii="Times New Roman" w:hAnsi="Times New Roman" w:cs="Times New Roman" w:hint="eastAsia"/>
        </w:rPr>
        <w:t>其他需要披露的重大事项</w:t>
      </w:r>
      <w:bookmarkEnd w:id="102"/>
    </w:p>
    <w:p w14:paraId="25176C58" w14:textId="77777777" w:rsidR="00DE1B44" w:rsidRDefault="00D40582">
      <w:pPr>
        <w:pStyle w:val="2f0"/>
        <w:spacing w:before="120"/>
        <w:rPr>
          <w:rFonts w:ascii="Times New Roman" w:hAnsi="Times New Roman"/>
        </w:rPr>
      </w:pPr>
      <w:bookmarkStart w:id="103" w:name="_Toc89016933"/>
      <w:r>
        <w:rPr>
          <w:rFonts w:hint="eastAsia"/>
        </w:rPr>
        <w:t>一、</w:t>
      </w:r>
      <w:r>
        <w:rPr>
          <w:rFonts w:hAnsi="黑体" w:hint="eastAsia"/>
          <w:szCs w:val="30"/>
        </w:rPr>
        <w:t>报告期内资金占用情况</w:t>
      </w:r>
      <w:bookmarkEnd w:id="103"/>
    </w:p>
    <w:p w14:paraId="0EA430FB"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本行不存在控股股东，因此不存在控股股东占用本行资金或资产的情况。报告期内，本行与关联方之间的资金往来均系正常经营业务往来，不存在持股</w:t>
      </w:r>
      <w:r>
        <w:rPr>
          <w:rFonts w:ascii="Times New Roman" w:hAnsi="Times New Roman" w:cs="Times New Roman"/>
        </w:rPr>
        <w:t>5%</w:t>
      </w:r>
      <w:r>
        <w:rPr>
          <w:rFonts w:ascii="Times New Roman" w:hAnsi="Times New Roman" w:cs="Times New Roman"/>
        </w:rPr>
        <w:t>以上股东及对本行可施加重大影响的关联方资金占用情况，不存在权益被股东及其关联方严重损害且尚未消除的情形。</w:t>
      </w:r>
    </w:p>
    <w:p w14:paraId="4BF7CBD3" w14:textId="77777777" w:rsidR="00DE1B44" w:rsidRDefault="00D40582">
      <w:pPr>
        <w:pStyle w:val="2f0"/>
        <w:spacing w:before="120"/>
        <w:rPr>
          <w:rFonts w:ascii="Times New Roman" w:hAnsi="Times New Roman"/>
        </w:rPr>
      </w:pPr>
      <w:bookmarkStart w:id="104" w:name="_Toc89016934"/>
      <w:r>
        <w:rPr>
          <w:rFonts w:hint="eastAsia"/>
        </w:rPr>
        <w:t>二、</w:t>
      </w:r>
      <w:r>
        <w:rPr>
          <w:rFonts w:hAnsi="黑体" w:hint="eastAsia"/>
          <w:szCs w:val="30"/>
        </w:rPr>
        <w:t>报告期内提前使用募集资金的情形</w:t>
      </w:r>
      <w:bookmarkEnd w:id="104"/>
    </w:p>
    <w:p w14:paraId="7C5331CB"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报告期内</w:t>
      </w:r>
      <w:r>
        <w:rPr>
          <w:rFonts w:ascii="Times New Roman" w:hAnsi="Times New Roman" w:cs="Times New Roman"/>
        </w:rPr>
        <w:t>，本行不存在通过发行股份募集资金的情形。因此，本行报告期内不存在提前使用募集资金的情形。</w:t>
      </w:r>
    </w:p>
    <w:p w14:paraId="1EAA3847" w14:textId="77777777" w:rsidR="00DE1B44" w:rsidRDefault="00D40582">
      <w:pPr>
        <w:pStyle w:val="2f0"/>
        <w:spacing w:before="120"/>
        <w:rPr>
          <w:rFonts w:ascii="Times New Roman" w:hAnsi="Times New Roman"/>
        </w:rPr>
      </w:pPr>
      <w:bookmarkStart w:id="105" w:name="_Toc89016935"/>
      <w:r>
        <w:rPr>
          <w:rFonts w:hint="eastAsia"/>
        </w:rPr>
        <w:t>三、</w:t>
      </w:r>
      <w:r>
        <w:rPr>
          <w:rFonts w:hAnsi="黑体" w:hint="eastAsia"/>
          <w:szCs w:val="30"/>
        </w:rPr>
        <w:t>公司股权质押、冻结情况</w:t>
      </w:r>
      <w:bookmarkEnd w:id="105"/>
    </w:p>
    <w:p w14:paraId="033DB544"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截至</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月末，本行共有</w:t>
      </w:r>
      <w:r>
        <w:rPr>
          <w:rFonts w:ascii="Times New Roman" w:hAnsi="Times New Roman" w:cs="Times New Roman"/>
        </w:rPr>
        <w:t>8</w:t>
      </w:r>
      <w:r>
        <w:rPr>
          <w:rFonts w:ascii="Times New Roman" w:hAnsi="Times New Roman" w:cs="Times New Roman"/>
        </w:rPr>
        <w:t>个股东被质押股权涉及司法冻结，持股股份占总股本的比例为</w:t>
      </w:r>
      <w:r>
        <w:rPr>
          <w:rFonts w:ascii="Times New Roman" w:hAnsi="Times New Roman" w:cs="Times New Roman"/>
        </w:rPr>
        <w:t>2.95%</w:t>
      </w:r>
      <w:r>
        <w:rPr>
          <w:rFonts w:ascii="Times New Roman" w:hAnsi="Times New Roman" w:cs="Times New Roman"/>
        </w:rPr>
        <w:t>。</w:t>
      </w:r>
    </w:p>
    <w:p w14:paraId="715FB164"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报告期末，本行主要股东中，持有本行股份</w:t>
      </w:r>
      <w:r>
        <w:rPr>
          <w:rFonts w:ascii="Times New Roman" w:hAnsi="Times New Roman" w:cs="Times New Roman"/>
        </w:rPr>
        <w:t>5%</w:t>
      </w:r>
      <w:r>
        <w:rPr>
          <w:rFonts w:ascii="Times New Roman" w:hAnsi="Times New Roman" w:cs="Times New Roman"/>
        </w:rPr>
        <w:t>以上股东所持本行股份无质押或冻结情况。在本行有提名</w:t>
      </w:r>
      <w:r>
        <w:rPr>
          <w:rFonts w:ascii="Times New Roman" w:hAnsi="Times New Roman" w:cs="Times New Roman"/>
        </w:rPr>
        <w:t>/</w:t>
      </w:r>
      <w:r>
        <w:rPr>
          <w:rFonts w:ascii="Times New Roman" w:hAnsi="Times New Roman" w:cs="Times New Roman"/>
        </w:rPr>
        <w:t>派出监事的股东</w:t>
      </w:r>
      <w:r>
        <w:rPr>
          <w:rFonts w:ascii="Times New Roman" w:hAnsi="Times New Roman" w:cs="Times New Roman" w:hint="eastAsia"/>
        </w:rPr>
        <w:t>单位江苏苏钢集团有限公司存在出质本行股权的情形，质押比例为</w:t>
      </w:r>
      <w:r>
        <w:rPr>
          <w:rFonts w:ascii="Times New Roman" w:hAnsi="Times New Roman" w:cs="Times New Roman"/>
        </w:rPr>
        <w:t>99.997%</w:t>
      </w:r>
      <w:r>
        <w:rPr>
          <w:rFonts w:ascii="Times New Roman" w:hAnsi="Times New Roman" w:cs="Times New Roman"/>
        </w:rPr>
        <w:t>。江苏苏钢集团有限公司被质押的本行股权涉</w:t>
      </w:r>
      <w:r>
        <w:rPr>
          <w:rFonts w:ascii="Times New Roman" w:hAnsi="Times New Roman" w:cs="Times New Roman" w:hint="eastAsia"/>
        </w:rPr>
        <w:t>及司法冻结，持股股份占总股本的比例为</w:t>
      </w:r>
      <w:r>
        <w:rPr>
          <w:rFonts w:ascii="Times New Roman" w:hAnsi="Times New Roman" w:cs="Times New Roman"/>
        </w:rPr>
        <w:t>1.13%</w:t>
      </w:r>
      <w:r>
        <w:rPr>
          <w:rFonts w:ascii="Times New Roman" w:hAnsi="Times New Roman" w:cs="Times New Roman"/>
        </w:rPr>
        <w:t>。</w:t>
      </w:r>
    </w:p>
    <w:p w14:paraId="7F25324D" w14:textId="77777777" w:rsidR="00DE1B44" w:rsidRDefault="00D40582">
      <w:pPr>
        <w:pStyle w:val="2f0"/>
        <w:spacing w:before="120"/>
        <w:rPr>
          <w:rFonts w:ascii="Times New Roman" w:hAnsi="Times New Roman"/>
        </w:rPr>
      </w:pPr>
      <w:bookmarkStart w:id="106" w:name="_Toc89016936"/>
      <w:r>
        <w:rPr>
          <w:rFonts w:hint="eastAsia"/>
        </w:rPr>
        <w:t>四、</w:t>
      </w:r>
      <w:r>
        <w:rPr>
          <w:rFonts w:hAnsi="黑体"/>
          <w:szCs w:val="30"/>
        </w:rPr>
        <w:t>对外担保情况</w:t>
      </w:r>
      <w:bookmarkEnd w:id="106"/>
    </w:p>
    <w:p w14:paraId="5107B72C"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hint="eastAsia"/>
        </w:rPr>
        <w:t>报告期内，本行不存在违规对外提供担保且担保尚未解除的情形。</w:t>
      </w:r>
    </w:p>
    <w:p w14:paraId="300AEEEC" w14:textId="77777777" w:rsidR="00DE1B44" w:rsidRDefault="00D40582">
      <w:pPr>
        <w:pStyle w:val="2f0"/>
        <w:spacing w:before="120"/>
        <w:rPr>
          <w:rFonts w:ascii="Times New Roman" w:hAnsi="Times New Roman"/>
        </w:rPr>
      </w:pPr>
      <w:bookmarkStart w:id="107" w:name="_Toc89016937"/>
      <w:r>
        <w:rPr>
          <w:rFonts w:hint="eastAsia"/>
        </w:rPr>
        <w:t>五、</w:t>
      </w:r>
      <w:r>
        <w:rPr>
          <w:rFonts w:hAnsi="黑体" w:hint="eastAsia"/>
          <w:szCs w:val="30"/>
        </w:rPr>
        <w:t>是否存在现任董事、监事、高级管理人员最近二十四个月内受到过中国银保监会、中国证监会行政处罚</w:t>
      </w:r>
      <w:bookmarkEnd w:id="107"/>
    </w:p>
    <w:p w14:paraId="2E7CA8B4" w14:textId="77777777" w:rsidR="00DE1B44" w:rsidRDefault="00D40582">
      <w:pPr>
        <w:pStyle w:val="affa"/>
        <w:shd w:val="clear" w:color="auto" w:fill="FFFFFF"/>
        <w:spacing w:before="120"/>
        <w:ind w:firstLine="480"/>
        <w:rPr>
          <w:rFonts w:ascii="Times New Roman" w:hAnsi="Times New Roman"/>
        </w:rPr>
      </w:pPr>
      <w:r>
        <w:rPr>
          <w:rFonts w:ascii="Times New Roman" w:hAnsi="Times New Roman"/>
        </w:rPr>
        <w:t>截至本定向发行说明书签署之日，本行不存在现任董事、监事、高级管理人员最近二十四个月内受到过中国银保监会、中国证监会行政处罚的情形。</w:t>
      </w:r>
    </w:p>
    <w:p w14:paraId="7F60DA7A" w14:textId="77777777" w:rsidR="00DE1B44" w:rsidRDefault="00D40582">
      <w:pPr>
        <w:pStyle w:val="2f0"/>
        <w:spacing w:before="120"/>
        <w:rPr>
          <w:rFonts w:ascii="Times New Roman" w:hAnsi="Times New Roman"/>
        </w:rPr>
      </w:pPr>
      <w:bookmarkStart w:id="108" w:name="_Toc89016938"/>
      <w:r>
        <w:rPr>
          <w:rFonts w:hint="eastAsia"/>
        </w:rPr>
        <w:lastRenderedPageBreak/>
        <w:t>六、</w:t>
      </w:r>
      <w:r>
        <w:rPr>
          <w:rFonts w:hAnsi="黑体" w:hint="eastAsia"/>
          <w:szCs w:val="30"/>
        </w:rPr>
        <w:t>公司股份托管情况</w:t>
      </w:r>
      <w:bookmarkEnd w:id="108"/>
    </w:p>
    <w:p w14:paraId="41AA7966"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为提高股权管理规范性和股权信息透明度，进一步加强股权管理，维护股东合法权益，根据中国银保监会《商业银行股权托管办法》有关规定，本行在广东股权交易中心股份有限公司完成了股份登记托管，符合相关监管要求</w:t>
      </w:r>
      <w:r>
        <w:rPr>
          <w:rFonts w:ascii="Times New Roman" w:hAnsi="Times New Roman" w:cs="Times New Roman"/>
        </w:rPr>
        <w:t>。</w:t>
      </w:r>
    </w:p>
    <w:p w14:paraId="44001A4B" w14:textId="77777777" w:rsidR="00DE1B44" w:rsidRDefault="00D40582">
      <w:pPr>
        <w:pStyle w:val="2f0"/>
        <w:spacing w:before="120"/>
        <w:rPr>
          <w:rFonts w:ascii="Times New Roman" w:hAnsi="Times New Roman"/>
        </w:rPr>
      </w:pPr>
      <w:bookmarkStart w:id="109" w:name="_Toc89016939"/>
      <w:r>
        <w:rPr>
          <w:rFonts w:hint="eastAsia"/>
        </w:rPr>
        <w:t>七、是否存在其他严重损害股东合法权益或者社会公共利益的情形</w:t>
      </w:r>
      <w:bookmarkEnd w:id="109"/>
    </w:p>
    <w:p w14:paraId="52FD79B9" w14:textId="77777777" w:rsidR="00DE1B44" w:rsidRDefault="00D40582">
      <w:pPr>
        <w:spacing w:before="120"/>
        <w:ind w:firstLine="480"/>
        <w:rPr>
          <w:rFonts w:ascii="Times New Roman" w:hAnsi="Times New Roman" w:cs="Times New Roman"/>
        </w:rPr>
      </w:pPr>
      <w:r>
        <w:rPr>
          <w:rFonts w:ascii="Times New Roman" w:hAnsi="Times New Roman" w:cs="Times New Roman" w:hint="eastAsia"/>
        </w:rPr>
        <w:t>截至本定向发行说明书出具之日，本行不存在严重损害股东合法权益或者社会公共利益的情形。</w:t>
      </w:r>
    </w:p>
    <w:p w14:paraId="61339D2D" w14:textId="77777777" w:rsidR="00DE1B44" w:rsidRDefault="00D40582">
      <w:pPr>
        <w:pStyle w:val="1ff1"/>
        <w:spacing w:before="120"/>
        <w:ind w:firstLine="720"/>
        <w:rPr>
          <w:rFonts w:ascii="Times New Roman" w:hAnsi="Times New Roman" w:cs="Times New Roman"/>
        </w:rPr>
      </w:pPr>
      <w:bookmarkStart w:id="110" w:name="_Toc89016940"/>
      <w:r>
        <w:rPr>
          <w:rFonts w:ascii="Times New Roman" w:hAnsi="Times New Roman" w:cs="Times New Roman"/>
        </w:rPr>
        <w:lastRenderedPageBreak/>
        <w:t>第</w:t>
      </w:r>
      <w:r>
        <w:rPr>
          <w:rFonts w:ascii="Times New Roman" w:hAnsi="Times New Roman" w:cs="Times New Roman" w:hint="eastAsia"/>
        </w:rPr>
        <w:t>七</w:t>
      </w:r>
      <w:r>
        <w:rPr>
          <w:rFonts w:ascii="Times New Roman" w:hAnsi="Times New Roman" w:cs="Times New Roman"/>
        </w:rPr>
        <w:t>节</w:t>
      </w:r>
      <w:r>
        <w:rPr>
          <w:rFonts w:ascii="Times New Roman" w:hAnsi="Times New Roman" w:cs="Times New Roman" w:hint="eastAsia"/>
        </w:rPr>
        <w:t xml:space="preserve"> </w:t>
      </w:r>
      <w:r>
        <w:rPr>
          <w:rFonts w:ascii="Times New Roman" w:hAnsi="Times New Roman" w:cs="Times New Roman" w:hint="eastAsia"/>
        </w:rPr>
        <w:t>本次定向发行相关机构信息</w:t>
      </w:r>
      <w:bookmarkEnd w:id="110"/>
    </w:p>
    <w:p w14:paraId="1421A190" w14:textId="77777777" w:rsidR="00DE1B44" w:rsidRDefault="00D40582">
      <w:pPr>
        <w:pStyle w:val="2f0"/>
        <w:spacing w:before="120"/>
        <w:rPr>
          <w:rFonts w:ascii="Times New Roman" w:hAnsi="Times New Roman"/>
        </w:rPr>
      </w:pPr>
      <w:bookmarkStart w:id="111" w:name="_Toc89016941"/>
      <w:r>
        <w:rPr>
          <w:rFonts w:ascii="Times New Roman" w:hAnsi="Times New Roman"/>
        </w:rPr>
        <w:t>一、律师事务所</w:t>
      </w:r>
      <w:bookmarkEnd w:id="111"/>
    </w:p>
    <w:p w14:paraId="693FDF76"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名称：</w:t>
      </w:r>
      <w:r>
        <w:rPr>
          <w:rFonts w:ascii="Times New Roman" w:hAnsi="Times New Roman" w:cs="Times New Roman" w:hint="eastAsia"/>
        </w:rPr>
        <w:t>北京大成（广州）律师事务所</w:t>
      </w:r>
    </w:p>
    <w:p w14:paraId="526C9D04"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负责人：</w:t>
      </w:r>
      <w:r>
        <w:rPr>
          <w:rFonts w:ascii="Times New Roman" w:hAnsi="Times New Roman" w:cs="Times New Roman" w:hint="eastAsia"/>
        </w:rPr>
        <w:t>卢跃峰</w:t>
      </w:r>
    </w:p>
    <w:p w14:paraId="2BD0728E"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地址：</w:t>
      </w:r>
      <w:r>
        <w:rPr>
          <w:rFonts w:ascii="Times New Roman" w:hAnsi="Times New Roman" w:cs="Times New Roman" w:hint="eastAsia"/>
        </w:rPr>
        <w:t>广州市珠江新城珠江东路</w:t>
      </w:r>
      <w:r>
        <w:rPr>
          <w:rFonts w:ascii="Times New Roman" w:hAnsi="Times New Roman" w:cs="Times New Roman"/>
        </w:rPr>
        <w:t>6</w:t>
      </w:r>
      <w:r>
        <w:rPr>
          <w:rFonts w:ascii="Times New Roman" w:hAnsi="Times New Roman" w:cs="Times New Roman"/>
        </w:rPr>
        <w:t>号广州金大福金融中心</w:t>
      </w:r>
      <w:r>
        <w:rPr>
          <w:rFonts w:ascii="Times New Roman" w:hAnsi="Times New Roman" w:cs="Times New Roman"/>
        </w:rPr>
        <w:t>14</w:t>
      </w:r>
      <w:r>
        <w:rPr>
          <w:rFonts w:ascii="Times New Roman" w:hAnsi="Times New Roman" w:cs="Times New Roman"/>
        </w:rPr>
        <w:t>层、</w:t>
      </w:r>
      <w:r>
        <w:rPr>
          <w:rFonts w:ascii="Times New Roman" w:hAnsi="Times New Roman" w:cs="Times New Roman"/>
        </w:rPr>
        <w:t>15</w:t>
      </w:r>
      <w:r>
        <w:rPr>
          <w:rFonts w:ascii="Times New Roman" w:hAnsi="Times New Roman" w:cs="Times New Roman"/>
        </w:rPr>
        <w:t>层（</w:t>
      </w:r>
      <w:r>
        <w:rPr>
          <w:rFonts w:ascii="Times New Roman" w:hAnsi="Times New Roman" w:cs="Times New Roman"/>
        </w:rPr>
        <w:t>07-12</w:t>
      </w:r>
      <w:r>
        <w:rPr>
          <w:rFonts w:ascii="Times New Roman" w:hAnsi="Times New Roman" w:cs="Times New Roman"/>
        </w:rPr>
        <w:t>）单元</w:t>
      </w:r>
    </w:p>
    <w:p w14:paraId="76C76BBA"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联系</w:t>
      </w:r>
      <w:r>
        <w:rPr>
          <w:rFonts w:ascii="Times New Roman" w:hAnsi="Times New Roman" w:cs="Times New Roman"/>
        </w:rPr>
        <w:t>电话：</w:t>
      </w:r>
      <w:r>
        <w:rPr>
          <w:rFonts w:ascii="Times New Roman" w:hAnsi="Times New Roman" w:cs="Times New Roman" w:hint="eastAsia"/>
        </w:rPr>
        <w:t>020-85277000</w:t>
      </w:r>
    </w:p>
    <w:p w14:paraId="5B7CBCF9"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传真：</w:t>
      </w:r>
      <w:r>
        <w:rPr>
          <w:rFonts w:ascii="Times New Roman" w:hAnsi="Times New Roman" w:cs="Times New Roman" w:hint="eastAsia"/>
        </w:rPr>
        <w:t>020-85277002</w:t>
      </w:r>
    </w:p>
    <w:p w14:paraId="5B6A86C7"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经办律师：</w:t>
      </w:r>
      <w:r>
        <w:rPr>
          <w:rFonts w:ascii="Times New Roman" w:hAnsi="Times New Roman" w:cs="Times New Roman" w:hint="eastAsia"/>
        </w:rPr>
        <w:t>张之珂、张明琪</w:t>
      </w:r>
    </w:p>
    <w:p w14:paraId="20C176D5" w14:textId="77777777" w:rsidR="00DE1B44" w:rsidRDefault="00D40582">
      <w:pPr>
        <w:pStyle w:val="2f0"/>
        <w:spacing w:before="120"/>
        <w:rPr>
          <w:rFonts w:ascii="Times New Roman" w:hAnsi="Times New Roman"/>
        </w:rPr>
      </w:pPr>
      <w:bookmarkStart w:id="112" w:name="_Toc89016942"/>
      <w:r>
        <w:rPr>
          <w:rFonts w:ascii="Times New Roman" w:hAnsi="Times New Roman"/>
        </w:rPr>
        <w:t>二、会计师事务所</w:t>
      </w:r>
      <w:bookmarkEnd w:id="112"/>
    </w:p>
    <w:p w14:paraId="38F88A7E"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名称：安永华明会计师事务所（特殊普通合伙）</w:t>
      </w:r>
    </w:p>
    <w:p w14:paraId="31E5D7B2"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负责人：</w:t>
      </w:r>
      <w:proofErr w:type="gramStart"/>
      <w:r>
        <w:rPr>
          <w:rFonts w:ascii="Times New Roman" w:hAnsi="Times New Roman" w:cs="Times New Roman"/>
        </w:rPr>
        <w:t>毛鞍宁</w:t>
      </w:r>
      <w:proofErr w:type="gramEnd"/>
    </w:p>
    <w:p w14:paraId="59908BEC"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住所</w:t>
      </w:r>
      <w:r>
        <w:rPr>
          <w:rFonts w:ascii="Times New Roman" w:hAnsi="Times New Roman" w:cs="Times New Roman"/>
        </w:rPr>
        <w:t>：北京市东城区东长安街</w:t>
      </w:r>
      <w:r>
        <w:rPr>
          <w:rFonts w:ascii="Times New Roman" w:hAnsi="Times New Roman" w:cs="Times New Roman"/>
        </w:rPr>
        <w:t>1</w:t>
      </w:r>
      <w:r>
        <w:rPr>
          <w:rFonts w:ascii="Times New Roman" w:hAnsi="Times New Roman" w:cs="Times New Roman"/>
        </w:rPr>
        <w:t>号东方广场安永大楼</w:t>
      </w:r>
      <w:r>
        <w:rPr>
          <w:rFonts w:ascii="Times New Roman" w:hAnsi="Times New Roman" w:cs="Times New Roman"/>
        </w:rPr>
        <w:t>17</w:t>
      </w:r>
      <w:r>
        <w:rPr>
          <w:rFonts w:ascii="Times New Roman" w:hAnsi="Times New Roman" w:cs="Times New Roman"/>
        </w:rPr>
        <w:t>层</w:t>
      </w:r>
      <w:r>
        <w:rPr>
          <w:rFonts w:ascii="Times New Roman" w:hAnsi="Times New Roman" w:cs="Times New Roman"/>
        </w:rPr>
        <w:t>01-12</w:t>
      </w:r>
      <w:r>
        <w:rPr>
          <w:rFonts w:ascii="Times New Roman" w:hAnsi="Times New Roman" w:cs="Times New Roman"/>
        </w:rPr>
        <w:t>室</w:t>
      </w:r>
    </w:p>
    <w:p w14:paraId="1954C8C9"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联系</w:t>
      </w:r>
      <w:r>
        <w:rPr>
          <w:rFonts w:ascii="Times New Roman" w:hAnsi="Times New Roman" w:cs="Times New Roman"/>
        </w:rPr>
        <w:t>电话：</w:t>
      </w:r>
      <w:r>
        <w:t>020-28381125</w:t>
      </w:r>
    </w:p>
    <w:p w14:paraId="64A777A5"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传真：</w:t>
      </w:r>
      <w:r>
        <w:rPr>
          <w:rFonts w:ascii="Times New Roman" w:hAnsi="Times New Roman" w:cs="Times New Roman"/>
        </w:rPr>
        <w:t>020-28812618</w:t>
      </w:r>
    </w:p>
    <w:p w14:paraId="07A5F0BA"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签字</w:t>
      </w:r>
      <w:r>
        <w:rPr>
          <w:rFonts w:ascii="Times New Roman" w:hAnsi="Times New Roman" w:cs="Times New Roman"/>
        </w:rPr>
        <w:t>注册会计师：赵雅、</w:t>
      </w:r>
      <w:r>
        <w:rPr>
          <w:rFonts w:ascii="Times New Roman" w:hAnsi="Times New Roman" w:cs="Times New Roman" w:hint="eastAsia"/>
        </w:rPr>
        <w:t>何明智</w:t>
      </w:r>
    </w:p>
    <w:p w14:paraId="0410C5BF" w14:textId="77777777" w:rsidR="00DE1B44" w:rsidRDefault="00DE1B44">
      <w:pPr>
        <w:pStyle w:val="affa"/>
        <w:shd w:val="clear" w:color="auto" w:fill="FFFFFF"/>
        <w:spacing w:before="120"/>
        <w:ind w:firstLine="480"/>
        <w:rPr>
          <w:rFonts w:ascii="Times New Roman" w:hAnsi="Times New Roman"/>
        </w:rPr>
      </w:pPr>
    </w:p>
    <w:p w14:paraId="127EF061" w14:textId="77777777" w:rsidR="00DE1B44" w:rsidRDefault="00D40582">
      <w:pPr>
        <w:pStyle w:val="1ff1"/>
        <w:spacing w:before="120"/>
        <w:ind w:firstLine="720"/>
        <w:rPr>
          <w:rFonts w:ascii="Times New Roman" w:hAnsi="Times New Roman" w:cs="Times New Roman"/>
        </w:rPr>
      </w:pPr>
      <w:bookmarkStart w:id="113" w:name="_Toc89016943"/>
      <w:r>
        <w:rPr>
          <w:rFonts w:ascii="Times New Roman" w:hAnsi="Times New Roman" w:cs="Times New Roman"/>
        </w:rPr>
        <w:lastRenderedPageBreak/>
        <w:t>第</w:t>
      </w:r>
      <w:r>
        <w:rPr>
          <w:rFonts w:ascii="Times New Roman" w:hAnsi="Times New Roman" w:cs="Times New Roman" w:hint="eastAsia"/>
        </w:rPr>
        <w:t>八</w:t>
      </w:r>
      <w:r>
        <w:rPr>
          <w:rFonts w:ascii="Times New Roman" w:hAnsi="Times New Roman" w:cs="Times New Roman"/>
        </w:rPr>
        <w:t>节</w:t>
      </w:r>
      <w:r>
        <w:rPr>
          <w:rFonts w:ascii="Times New Roman" w:hAnsi="Times New Roman" w:cs="Times New Roman" w:hint="eastAsia"/>
        </w:rPr>
        <w:t xml:space="preserve"> </w:t>
      </w:r>
      <w:r>
        <w:rPr>
          <w:rFonts w:ascii="Times New Roman" w:hAnsi="Times New Roman" w:cs="Times New Roman" w:hint="eastAsia"/>
        </w:rPr>
        <w:t>董事、监事、高级管理人员声明</w:t>
      </w:r>
      <w:bookmarkEnd w:id="113"/>
    </w:p>
    <w:p w14:paraId="2AD8715C" w14:textId="77777777" w:rsidR="00DE1B44" w:rsidRDefault="00DE1B44">
      <w:pPr>
        <w:snapToGrid w:val="0"/>
        <w:spacing w:before="120"/>
        <w:ind w:firstLine="480"/>
        <w:jc w:val="center"/>
        <w:rPr>
          <w:rFonts w:ascii="Times New Roman" w:hAnsi="Times New Roman" w:cs="Times New Roman"/>
        </w:rPr>
      </w:pPr>
    </w:p>
    <w:p w14:paraId="4C81B222" w14:textId="77777777" w:rsidR="00DE1B44" w:rsidRDefault="00DE1B44">
      <w:pPr>
        <w:snapToGrid w:val="0"/>
        <w:spacing w:before="120"/>
        <w:ind w:firstLine="480"/>
        <w:jc w:val="center"/>
        <w:rPr>
          <w:rFonts w:ascii="Times New Roman" w:hAnsi="Times New Roman" w:cs="Times New Roman"/>
        </w:rPr>
      </w:pPr>
    </w:p>
    <w:p w14:paraId="269BA8C8" w14:textId="77777777" w:rsidR="00DE1B44" w:rsidRDefault="00DE1B44">
      <w:pPr>
        <w:snapToGrid w:val="0"/>
        <w:spacing w:before="120"/>
        <w:ind w:firstLine="480"/>
        <w:jc w:val="center"/>
        <w:rPr>
          <w:rFonts w:ascii="Times New Roman" w:hAnsi="Times New Roman" w:cs="Times New Roman"/>
        </w:rPr>
      </w:pPr>
    </w:p>
    <w:p w14:paraId="3CA6BFBF" w14:textId="77777777" w:rsidR="00DE1B44" w:rsidRDefault="00DE1B44">
      <w:pPr>
        <w:snapToGrid w:val="0"/>
        <w:spacing w:before="120"/>
        <w:ind w:firstLine="480"/>
        <w:jc w:val="center"/>
        <w:rPr>
          <w:rFonts w:ascii="Times New Roman" w:hAnsi="Times New Roman" w:cs="Times New Roman"/>
        </w:rPr>
      </w:pPr>
    </w:p>
    <w:p w14:paraId="6416D9FA" w14:textId="77777777" w:rsidR="00DE1B44" w:rsidRDefault="00DE1B44">
      <w:pPr>
        <w:snapToGrid w:val="0"/>
        <w:spacing w:before="120"/>
        <w:ind w:firstLine="480"/>
        <w:jc w:val="center"/>
        <w:rPr>
          <w:rFonts w:ascii="Times New Roman" w:hAnsi="Times New Roman" w:cs="Times New Roman"/>
        </w:rPr>
      </w:pPr>
    </w:p>
    <w:p w14:paraId="5BB5329F" w14:textId="77777777" w:rsidR="00DE1B44" w:rsidRDefault="00DE1B44">
      <w:pPr>
        <w:snapToGrid w:val="0"/>
        <w:spacing w:before="120"/>
        <w:ind w:firstLine="480"/>
        <w:jc w:val="center"/>
        <w:rPr>
          <w:rFonts w:ascii="Times New Roman" w:hAnsi="Times New Roman" w:cs="Times New Roman"/>
        </w:rPr>
      </w:pPr>
    </w:p>
    <w:p w14:paraId="5163DFB1" w14:textId="77777777" w:rsidR="00DE1B44" w:rsidRDefault="00DE1B44">
      <w:pPr>
        <w:snapToGrid w:val="0"/>
        <w:spacing w:before="120"/>
        <w:ind w:firstLine="480"/>
        <w:jc w:val="center"/>
        <w:rPr>
          <w:rFonts w:ascii="Times New Roman" w:hAnsi="Times New Roman" w:cs="Times New Roman"/>
        </w:rPr>
      </w:pPr>
    </w:p>
    <w:p w14:paraId="7F8972A5" w14:textId="77777777" w:rsidR="00DE1B44" w:rsidRDefault="00DE1B44">
      <w:pPr>
        <w:snapToGrid w:val="0"/>
        <w:spacing w:before="120"/>
        <w:ind w:firstLine="480"/>
        <w:jc w:val="center"/>
        <w:rPr>
          <w:rFonts w:ascii="Times New Roman" w:hAnsi="Times New Roman" w:cs="Times New Roman"/>
        </w:rPr>
      </w:pPr>
    </w:p>
    <w:p w14:paraId="570032FA" w14:textId="77777777" w:rsidR="00DE1B44" w:rsidRDefault="00DE1B44">
      <w:pPr>
        <w:snapToGrid w:val="0"/>
        <w:spacing w:before="120"/>
        <w:ind w:firstLine="480"/>
        <w:jc w:val="center"/>
        <w:rPr>
          <w:rFonts w:ascii="Times New Roman" w:hAnsi="Times New Roman" w:cs="Times New Roman"/>
        </w:rPr>
      </w:pPr>
    </w:p>
    <w:p w14:paraId="3DB09795" w14:textId="77777777" w:rsidR="00DE1B44" w:rsidRDefault="00DE1B44">
      <w:pPr>
        <w:snapToGrid w:val="0"/>
        <w:spacing w:before="120"/>
        <w:ind w:firstLine="480"/>
        <w:jc w:val="center"/>
        <w:rPr>
          <w:rFonts w:ascii="Times New Roman" w:hAnsi="Times New Roman" w:cs="Times New Roman"/>
        </w:rPr>
      </w:pPr>
    </w:p>
    <w:p w14:paraId="3AB40526" w14:textId="77777777" w:rsidR="00DE1B44" w:rsidRDefault="00DE1B44">
      <w:pPr>
        <w:snapToGrid w:val="0"/>
        <w:spacing w:before="120"/>
        <w:ind w:firstLine="480"/>
        <w:jc w:val="center"/>
        <w:rPr>
          <w:rFonts w:ascii="Times New Roman" w:hAnsi="Times New Roman" w:cs="Times New Roman"/>
        </w:rPr>
      </w:pPr>
    </w:p>
    <w:p w14:paraId="27364A5D" w14:textId="77777777" w:rsidR="00DE1B44" w:rsidRDefault="00DE1B44">
      <w:pPr>
        <w:snapToGrid w:val="0"/>
        <w:spacing w:before="120"/>
        <w:ind w:firstLine="480"/>
        <w:jc w:val="center"/>
        <w:rPr>
          <w:rFonts w:ascii="Times New Roman" w:hAnsi="Times New Roman" w:cs="Times New Roman"/>
        </w:rPr>
      </w:pPr>
    </w:p>
    <w:p w14:paraId="68CF972B" w14:textId="77777777" w:rsidR="00DE1B44" w:rsidRDefault="00DE1B44">
      <w:pPr>
        <w:snapToGrid w:val="0"/>
        <w:spacing w:before="120"/>
        <w:ind w:firstLine="480"/>
        <w:jc w:val="center"/>
        <w:rPr>
          <w:rFonts w:ascii="Times New Roman" w:hAnsi="Times New Roman" w:cs="Times New Roman"/>
        </w:rPr>
      </w:pPr>
    </w:p>
    <w:p w14:paraId="7EE72E19" w14:textId="77777777" w:rsidR="00DE1B44" w:rsidRDefault="00DE1B44">
      <w:pPr>
        <w:snapToGrid w:val="0"/>
        <w:spacing w:before="120"/>
        <w:ind w:firstLine="480"/>
        <w:jc w:val="center"/>
        <w:rPr>
          <w:rFonts w:ascii="Times New Roman" w:hAnsi="Times New Roman" w:cs="Times New Roman"/>
        </w:rPr>
      </w:pPr>
    </w:p>
    <w:p w14:paraId="05E0815A" w14:textId="77777777" w:rsidR="00DE1B44" w:rsidRDefault="00DE1B44">
      <w:pPr>
        <w:snapToGrid w:val="0"/>
        <w:spacing w:before="120"/>
        <w:ind w:firstLine="480"/>
        <w:jc w:val="center"/>
        <w:rPr>
          <w:rFonts w:ascii="Times New Roman" w:hAnsi="Times New Roman" w:cs="Times New Roman"/>
        </w:rPr>
      </w:pPr>
    </w:p>
    <w:p w14:paraId="10CF0E60" w14:textId="77777777" w:rsidR="00DE1B44" w:rsidRDefault="00DE1B44">
      <w:pPr>
        <w:snapToGrid w:val="0"/>
        <w:spacing w:before="120"/>
        <w:ind w:firstLine="480"/>
        <w:jc w:val="center"/>
        <w:rPr>
          <w:rFonts w:ascii="Times New Roman" w:hAnsi="Times New Roman" w:cs="Times New Roman"/>
        </w:rPr>
      </w:pPr>
    </w:p>
    <w:p w14:paraId="72672096" w14:textId="77777777" w:rsidR="00DE1B44" w:rsidRDefault="00DE1B44">
      <w:pPr>
        <w:snapToGrid w:val="0"/>
        <w:spacing w:before="120"/>
        <w:ind w:firstLine="480"/>
        <w:jc w:val="center"/>
        <w:rPr>
          <w:rFonts w:ascii="Times New Roman" w:hAnsi="Times New Roman" w:cs="Times New Roman"/>
        </w:rPr>
      </w:pPr>
    </w:p>
    <w:p w14:paraId="7959FEAB" w14:textId="77777777" w:rsidR="00DE1B44" w:rsidRDefault="00DE1B44">
      <w:pPr>
        <w:snapToGrid w:val="0"/>
        <w:spacing w:before="120"/>
        <w:ind w:firstLine="480"/>
        <w:jc w:val="center"/>
        <w:rPr>
          <w:rFonts w:ascii="Times New Roman" w:hAnsi="Times New Roman" w:cs="Times New Roman"/>
        </w:rPr>
      </w:pPr>
    </w:p>
    <w:p w14:paraId="0C8BE0C8" w14:textId="77777777" w:rsidR="00DE1B44" w:rsidRDefault="00DE1B44">
      <w:pPr>
        <w:snapToGrid w:val="0"/>
        <w:spacing w:before="120"/>
        <w:ind w:firstLine="480"/>
        <w:jc w:val="center"/>
        <w:rPr>
          <w:rFonts w:ascii="Times New Roman" w:hAnsi="Times New Roman" w:cs="Times New Roman"/>
        </w:rPr>
      </w:pPr>
    </w:p>
    <w:p w14:paraId="6D3B1977" w14:textId="77777777" w:rsidR="00DE1B44" w:rsidRDefault="00DE1B44">
      <w:pPr>
        <w:snapToGrid w:val="0"/>
        <w:spacing w:before="120"/>
        <w:ind w:firstLine="480"/>
        <w:jc w:val="center"/>
        <w:rPr>
          <w:rFonts w:ascii="Times New Roman" w:hAnsi="Times New Roman" w:cs="Times New Roman"/>
        </w:rPr>
      </w:pPr>
    </w:p>
    <w:p w14:paraId="0F4CEF02" w14:textId="77777777" w:rsidR="00DE1B44" w:rsidRDefault="00DE1B44">
      <w:pPr>
        <w:snapToGrid w:val="0"/>
        <w:spacing w:before="120"/>
        <w:ind w:firstLine="480"/>
        <w:jc w:val="center"/>
        <w:rPr>
          <w:rFonts w:ascii="Times New Roman" w:hAnsi="Times New Roman" w:cs="Times New Roman"/>
        </w:rPr>
      </w:pPr>
    </w:p>
    <w:p w14:paraId="1579CE1C" w14:textId="77777777" w:rsidR="00DE1B44" w:rsidRDefault="00DE1B44">
      <w:pPr>
        <w:snapToGrid w:val="0"/>
        <w:spacing w:before="120"/>
        <w:ind w:firstLine="480"/>
        <w:jc w:val="center"/>
        <w:rPr>
          <w:rFonts w:ascii="Times New Roman" w:hAnsi="Times New Roman" w:cs="Times New Roman"/>
        </w:rPr>
      </w:pPr>
    </w:p>
    <w:p w14:paraId="7CE4CC5A" w14:textId="77777777" w:rsidR="00DE1B44" w:rsidRDefault="00DE1B44">
      <w:pPr>
        <w:snapToGrid w:val="0"/>
        <w:spacing w:before="120"/>
        <w:ind w:firstLine="480"/>
        <w:jc w:val="center"/>
        <w:rPr>
          <w:rFonts w:ascii="Times New Roman" w:hAnsi="Times New Roman" w:cs="Times New Roman"/>
        </w:rPr>
      </w:pPr>
    </w:p>
    <w:p w14:paraId="7080A422" w14:textId="77777777" w:rsidR="00DE1B44" w:rsidRDefault="00DE1B44">
      <w:pPr>
        <w:snapToGrid w:val="0"/>
        <w:spacing w:before="120"/>
        <w:ind w:firstLine="480"/>
        <w:jc w:val="center"/>
        <w:rPr>
          <w:rFonts w:ascii="Times New Roman" w:hAnsi="Times New Roman" w:cs="Times New Roman"/>
        </w:rPr>
      </w:pPr>
    </w:p>
    <w:p w14:paraId="1225ADE8" w14:textId="11CDEF37"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694080" behindDoc="0" locked="0" layoutInCell="1" allowOverlap="1" wp14:anchorId="37B0F6E4" wp14:editId="288A7D11">
            <wp:simplePos x="0" y="0"/>
            <wp:positionH relativeFrom="column">
              <wp:posOffset>-945811</wp:posOffset>
            </wp:positionH>
            <wp:positionV relativeFrom="paragraph">
              <wp:posOffset>-147571</wp:posOffset>
            </wp:positionV>
            <wp:extent cx="7535096" cy="8431618"/>
            <wp:effectExtent l="0" t="0" r="8890" b="762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01.jpg"/>
                    <pic:cNvPicPr/>
                  </pic:nvPicPr>
                  <pic:blipFill rotWithShape="1">
                    <a:blip r:embed="rId18">
                      <a:extLst>
                        <a:ext uri="{28A0092B-C50C-407E-A947-70E740481C1C}">
                          <a14:useLocalDpi xmlns:a14="http://schemas.microsoft.com/office/drawing/2010/main" val="0"/>
                        </a:ext>
                      </a:extLst>
                    </a:blip>
                    <a:srcRect t="9722" b="11607"/>
                    <a:stretch/>
                  </pic:blipFill>
                  <pic:spPr bwMode="auto">
                    <a:xfrm>
                      <a:off x="0" y="0"/>
                      <a:ext cx="7535096" cy="8431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4A8D5301"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2AB63045" w14:textId="77777777" w:rsidR="00DE1B44" w:rsidRDefault="00DE1B44">
      <w:pPr>
        <w:widowControl w:val="0"/>
        <w:spacing w:before="120"/>
        <w:ind w:firstLineChars="0" w:firstLine="431"/>
        <w:rPr>
          <w:rFonts w:ascii="Times New Roman" w:hAnsi="Times New Roman" w:cs="Times New Roman"/>
          <w:kern w:val="2"/>
          <w:szCs w:val="22"/>
        </w:rPr>
      </w:pPr>
    </w:p>
    <w:p w14:paraId="2A6697EA" w14:textId="7F2A913F"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4B5607CD" w14:textId="77777777">
        <w:tc>
          <w:tcPr>
            <w:tcW w:w="1668" w:type="dxa"/>
            <w:shd w:val="clear" w:color="auto" w:fill="auto"/>
            <w:vAlign w:val="bottom"/>
          </w:tcPr>
          <w:p w14:paraId="3CDEC579"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494A8826"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79632C5D" w14:textId="77777777">
        <w:tc>
          <w:tcPr>
            <w:tcW w:w="1668" w:type="dxa"/>
            <w:shd w:val="clear" w:color="auto" w:fill="auto"/>
          </w:tcPr>
          <w:p w14:paraId="3E760FD3"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5249EF03"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proofErr w:type="gramStart"/>
            <w:r>
              <w:rPr>
                <w:rFonts w:ascii="Times New Roman" w:hAnsi="Times New Roman" w:cs="Times New Roman" w:hint="eastAsia"/>
                <w:color w:val="000000"/>
              </w:rPr>
              <w:t>王滨</w:t>
            </w:r>
            <w:proofErr w:type="gramEnd"/>
          </w:p>
        </w:tc>
      </w:tr>
    </w:tbl>
    <w:p w14:paraId="6CA9E9AA" w14:textId="7619C278" w:rsidR="00DE1B44" w:rsidRDefault="00DE1B44">
      <w:pPr>
        <w:widowControl w:val="0"/>
        <w:spacing w:before="120"/>
        <w:ind w:firstLineChars="0" w:firstLine="431"/>
        <w:rPr>
          <w:rFonts w:ascii="Times New Roman" w:hAnsi="Times New Roman" w:cs="Times New Roman"/>
          <w:kern w:val="2"/>
          <w:szCs w:val="22"/>
        </w:rPr>
      </w:pPr>
    </w:p>
    <w:p w14:paraId="4D75FE97" w14:textId="77777777" w:rsidR="00DE1B44" w:rsidRDefault="00DE1B44">
      <w:pPr>
        <w:widowControl w:val="0"/>
        <w:spacing w:before="120"/>
        <w:ind w:firstLineChars="0" w:firstLine="0"/>
        <w:rPr>
          <w:rFonts w:ascii="Times New Roman" w:hAnsi="Times New Roman" w:cs="Times New Roman"/>
          <w:kern w:val="2"/>
          <w:szCs w:val="22"/>
        </w:rPr>
      </w:pPr>
    </w:p>
    <w:p w14:paraId="42B4CCFC" w14:textId="77777777" w:rsidR="00DE1B44" w:rsidRDefault="00DE1B44">
      <w:pPr>
        <w:widowControl w:val="0"/>
        <w:spacing w:before="120"/>
        <w:ind w:firstLineChars="0" w:firstLine="431"/>
        <w:rPr>
          <w:rFonts w:ascii="Times New Roman" w:hAnsi="Times New Roman" w:cs="Times New Roman"/>
          <w:kern w:val="2"/>
          <w:szCs w:val="22"/>
        </w:rPr>
      </w:pPr>
    </w:p>
    <w:p w14:paraId="2D28A921" w14:textId="77777777" w:rsidR="00DE1B44" w:rsidRDefault="00DE1B44">
      <w:pPr>
        <w:widowControl w:val="0"/>
        <w:spacing w:before="120"/>
        <w:ind w:firstLineChars="0" w:firstLine="431"/>
        <w:rPr>
          <w:rFonts w:ascii="Times New Roman" w:hAnsi="Times New Roman" w:cs="Times New Roman"/>
          <w:kern w:val="2"/>
          <w:szCs w:val="22"/>
        </w:rPr>
      </w:pPr>
    </w:p>
    <w:p w14:paraId="0BED18B4" w14:textId="77777777" w:rsidR="00DE1B44" w:rsidRDefault="00DE1B44">
      <w:pPr>
        <w:widowControl w:val="0"/>
        <w:spacing w:before="120"/>
        <w:ind w:firstLineChars="0" w:firstLine="431"/>
        <w:rPr>
          <w:rFonts w:ascii="Times New Roman" w:hAnsi="Times New Roman" w:cs="Times New Roman"/>
          <w:kern w:val="2"/>
          <w:szCs w:val="22"/>
        </w:rPr>
      </w:pPr>
    </w:p>
    <w:p w14:paraId="21D97055"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2DB73689"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68B3EE73"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59CF92F5" w14:textId="0C12AD9F"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695104" behindDoc="0" locked="0" layoutInCell="1" allowOverlap="1" wp14:anchorId="044E25B7" wp14:editId="3BA64FE4">
            <wp:simplePos x="0" y="0"/>
            <wp:positionH relativeFrom="column">
              <wp:posOffset>-735700</wp:posOffset>
            </wp:positionH>
            <wp:positionV relativeFrom="paragraph">
              <wp:posOffset>-147482</wp:posOffset>
            </wp:positionV>
            <wp:extent cx="7202350" cy="8399268"/>
            <wp:effectExtent l="76200" t="76200" r="74930" b="781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02.jpg"/>
                    <pic:cNvPicPr/>
                  </pic:nvPicPr>
                  <pic:blipFill rotWithShape="1">
                    <a:blip r:embed="rId19">
                      <a:extLst>
                        <a:ext uri="{28A0092B-C50C-407E-A947-70E740481C1C}">
                          <a14:useLocalDpi xmlns:a14="http://schemas.microsoft.com/office/drawing/2010/main" val="0"/>
                        </a:ext>
                      </a:extLst>
                    </a:blip>
                    <a:srcRect l="2094" t="10814" r="2094" b="10814"/>
                    <a:stretch/>
                  </pic:blipFill>
                  <pic:spPr bwMode="auto">
                    <a:xfrm rot="21540000">
                      <a:off x="0" y="0"/>
                      <a:ext cx="7201949" cy="83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0B45B166" w14:textId="76644D7A"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0BB35B38" w14:textId="55F8B07D" w:rsidR="00DE1B44" w:rsidRDefault="00DE1B44">
      <w:pPr>
        <w:widowControl w:val="0"/>
        <w:spacing w:before="120"/>
        <w:ind w:firstLineChars="0" w:firstLine="431"/>
        <w:rPr>
          <w:rFonts w:ascii="Times New Roman" w:hAnsi="Times New Roman" w:cs="Times New Roman"/>
          <w:kern w:val="2"/>
          <w:szCs w:val="22"/>
        </w:rPr>
      </w:pPr>
    </w:p>
    <w:p w14:paraId="7ABF198E" w14:textId="7777777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219279AF" w14:textId="77777777">
        <w:tc>
          <w:tcPr>
            <w:tcW w:w="1668" w:type="dxa"/>
            <w:shd w:val="clear" w:color="auto" w:fill="auto"/>
            <w:vAlign w:val="bottom"/>
          </w:tcPr>
          <w:p w14:paraId="10444EDB"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2791DB30"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686A6EC8" w14:textId="77777777">
        <w:tc>
          <w:tcPr>
            <w:tcW w:w="1668" w:type="dxa"/>
            <w:shd w:val="clear" w:color="auto" w:fill="auto"/>
          </w:tcPr>
          <w:p w14:paraId="0B52FFBA"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0A292B2F"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王凯</w:t>
            </w:r>
          </w:p>
        </w:tc>
      </w:tr>
    </w:tbl>
    <w:p w14:paraId="5628DE26" w14:textId="77777777" w:rsidR="00DE1B44" w:rsidRDefault="00DE1B44">
      <w:pPr>
        <w:widowControl w:val="0"/>
        <w:spacing w:before="120"/>
        <w:ind w:firstLineChars="0" w:firstLine="431"/>
        <w:rPr>
          <w:rFonts w:ascii="Times New Roman" w:hAnsi="Times New Roman" w:cs="Times New Roman"/>
          <w:kern w:val="2"/>
          <w:szCs w:val="22"/>
        </w:rPr>
      </w:pPr>
    </w:p>
    <w:p w14:paraId="78DF3C6E" w14:textId="77777777" w:rsidR="00DE1B44" w:rsidRDefault="00DE1B44">
      <w:pPr>
        <w:widowControl w:val="0"/>
        <w:spacing w:before="120"/>
        <w:ind w:firstLineChars="0" w:firstLine="0"/>
        <w:rPr>
          <w:rFonts w:ascii="Times New Roman" w:hAnsi="Times New Roman" w:cs="Times New Roman"/>
          <w:kern w:val="2"/>
          <w:szCs w:val="22"/>
        </w:rPr>
      </w:pPr>
    </w:p>
    <w:p w14:paraId="271E45FE" w14:textId="77777777" w:rsidR="00DE1B44" w:rsidRDefault="00DE1B44">
      <w:pPr>
        <w:widowControl w:val="0"/>
        <w:spacing w:before="120"/>
        <w:ind w:firstLineChars="0" w:firstLine="431"/>
        <w:rPr>
          <w:rFonts w:ascii="Times New Roman" w:hAnsi="Times New Roman" w:cs="Times New Roman"/>
          <w:kern w:val="2"/>
          <w:szCs w:val="22"/>
        </w:rPr>
      </w:pPr>
    </w:p>
    <w:p w14:paraId="4F6FE8D4" w14:textId="77777777" w:rsidR="00DE1B44" w:rsidRDefault="00DE1B44">
      <w:pPr>
        <w:widowControl w:val="0"/>
        <w:spacing w:before="120"/>
        <w:ind w:firstLineChars="0" w:firstLine="431"/>
        <w:rPr>
          <w:rFonts w:ascii="Times New Roman" w:hAnsi="Times New Roman" w:cs="Times New Roman"/>
          <w:kern w:val="2"/>
          <w:szCs w:val="22"/>
        </w:rPr>
      </w:pPr>
    </w:p>
    <w:p w14:paraId="1343F8C4" w14:textId="77777777" w:rsidR="00DE1B44" w:rsidRDefault="00DE1B44">
      <w:pPr>
        <w:widowControl w:val="0"/>
        <w:spacing w:before="120"/>
        <w:ind w:firstLineChars="0" w:firstLine="431"/>
        <w:rPr>
          <w:rFonts w:ascii="Times New Roman" w:hAnsi="Times New Roman" w:cs="Times New Roman"/>
          <w:kern w:val="2"/>
          <w:szCs w:val="22"/>
        </w:rPr>
      </w:pPr>
    </w:p>
    <w:p w14:paraId="31AB3253"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0FB659B2"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619BB656"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2DAEF5AF" w14:textId="04DF4B1E"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696128" behindDoc="0" locked="0" layoutInCell="1" allowOverlap="1" wp14:anchorId="35C08153" wp14:editId="31E38839">
            <wp:simplePos x="0" y="0"/>
            <wp:positionH relativeFrom="column">
              <wp:posOffset>-914400</wp:posOffset>
            </wp:positionH>
            <wp:positionV relativeFrom="paragraph">
              <wp:posOffset>-158366</wp:posOffset>
            </wp:positionV>
            <wp:extent cx="7517094" cy="8633636"/>
            <wp:effectExtent l="0" t="0" r="825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03.jpg"/>
                    <pic:cNvPicPr/>
                  </pic:nvPicPr>
                  <pic:blipFill rotWithShape="1">
                    <a:blip r:embed="rId20">
                      <a:extLst>
                        <a:ext uri="{28A0092B-C50C-407E-A947-70E740481C1C}">
                          <a14:useLocalDpi xmlns:a14="http://schemas.microsoft.com/office/drawing/2010/main" val="0"/>
                        </a:ext>
                      </a:extLst>
                    </a:blip>
                    <a:srcRect t="9722" b="9722"/>
                    <a:stretch/>
                  </pic:blipFill>
                  <pic:spPr bwMode="auto">
                    <a:xfrm>
                      <a:off x="0" y="0"/>
                      <a:ext cx="7517094" cy="8633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2C13F864"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152CE88D" w14:textId="0C964162" w:rsidR="00DE1B44" w:rsidRDefault="00DE1B44">
      <w:pPr>
        <w:widowControl w:val="0"/>
        <w:spacing w:before="120"/>
        <w:ind w:firstLineChars="0" w:firstLine="431"/>
        <w:rPr>
          <w:rFonts w:ascii="Times New Roman" w:hAnsi="Times New Roman" w:cs="Times New Roman"/>
          <w:kern w:val="2"/>
          <w:szCs w:val="22"/>
        </w:rPr>
      </w:pPr>
    </w:p>
    <w:p w14:paraId="76E222FD" w14:textId="7777777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6F9CB3DE" w14:textId="77777777">
        <w:tc>
          <w:tcPr>
            <w:tcW w:w="1668" w:type="dxa"/>
            <w:shd w:val="clear" w:color="auto" w:fill="auto"/>
            <w:vAlign w:val="bottom"/>
          </w:tcPr>
          <w:p w14:paraId="5C6545D6"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3434FB62"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7C4BE14E" w14:textId="77777777">
        <w:tc>
          <w:tcPr>
            <w:tcW w:w="1668" w:type="dxa"/>
            <w:shd w:val="clear" w:color="auto" w:fill="auto"/>
          </w:tcPr>
          <w:p w14:paraId="69AD409C"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36948F58"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proofErr w:type="gramStart"/>
            <w:r>
              <w:rPr>
                <w:rFonts w:ascii="Times New Roman" w:hAnsi="Times New Roman" w:cs="Times New Roman" w:hint="eastAsia"/>
                <w:color w:val="000000"/>
              </w:rPr>
              <w:t>苏恒轩</w:t>
            </w:r>
            <w:proofErr w:type="gramEnd"/>
          </w:p>
        </w:tc>
      </w:tr>
    </w:tbl>
    <w:p w14:paraId="060F7256" w14:textId="77777777" w:rsidR="00DE1B44" w:rsidRDefault="00DE1B44">
      <w:pPr>
        <w:widowControl w:val="0"/>
        <w:spacing w:before="120"/>
        <w:ind w:firstLineChars="0" w:firstLine="431"/>
        <w:rPr>
          <w:rFonts w:ascii="Times New Roman" w:hAnsi="Times New Roman" w:cs="Times New Roman"/>
          <w:kern w:val="2"/>
          <w:szCs w:val="22"/>
        </w:rPr>
      </w:pPr>
    </w:p>
    <w:p w14:paraId="19A2109B" w14:textId="77777777" w:rsidR="00DE1B44" w:rsidRDefault="00DE1B44">
      <w:pPr>
        <w:widowControl w:val="0"/>
        <w:spacing w:before="120"/>
        <w:ind w:firstLineChars="0" w:firstLine="0"/>
        <w:rPr>
          <w:rFonts w:ascii="Times New Roman" w:hAnsi="Times New Roman" w:cs="Times New Roman"/>
          <w:kern w:val="2"/>
          <w:szCs w:val="22"/>
        </w:rPr>
      </w:pPr>
    </w:p>
    <w:p w14:paraId="7963C918" w14:textId="77777777" w:rsidR="00DE1B44" w:rsidRDefault="00DE1B44">
      <w:pPr>
        <w:widowControl w:val="0"/>
        <w:spacing w:before="120"/>
        <w:ind w:firstLineChars="0" w:firstLine="431"/>
        <w:rPr>
          <w:rFonts w:ascii="Times New Roman" w:hAnsi="Times New Roman" w:cs="Times New Roman"/>
          <w:kern w:val="2"/>
          <w:szCs w:val="22"/>
        </w:rPr>
      </w:pPr>
    </w:p>
    <w:p w14:paraId="0426A62B" w14:textId="77777777" w:rsidR="00DE1B44" w:rsidRDefault="00DE1B44">
      <w:pPr>
        <w:widowControl w:val="0"/>
        <w:spacing w:before="120"/>
        <w:ind w:firstLineChars="0" w:firstLine="431"/>
        <w:rPr>
          <w:rFonts w:ascii="Times New Roman" w:hAnsi="Times New Roman" w:cs="Times New Roman"/>
          <w:kern w:val="2"/>
          <w:szCs w:val="22"/>
        </w:rPr>
      </w:pPr>
    </w:p>
    <w:p w14:paraId="59C16A41" w14:textId="77777777" w:rsidR="00DE1B44" w:rsidRDefault="00DE1B44">
      <w:pPr>
        <w:widowControl w:val="0"/>
        <w:spacing w:before="120"/>
        <w:ind w:firstLineChars="0" w:firstLine="431"/>
        <w:rPr>
          <w:rFonts w:ascii="Times New Roman" w:hAnsi="Times New Roman" w:cs="Times New Roman"/>
          <w:kern w:val="2"/>
          <w:szCs w:val="22"/>
        </w:rPr>
      </w:pPr>
    </w:p>
    <w:p w14:paraId="6C162703"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28E39168"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3D4E0B3D"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7611EF6F" w14:textId="3D656D30"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697152" behindDoc="0" locked="0" layoutInCell="1" allowOverlap="1" wp14:anchorId="65F11545" wp14:editId="70C30629">
            <wp:simplePos x="0" y="0"/>
            <wp:positionH relativeFrom="column">
              <wp:posOffset>-891495</wp:posOffset>
            </wp:positionH>
            <wp:positionV relativeFrom="paragraph">
              <wp:posOffset>-179897</wp:posOffset>
            </wp:positionV>
            <wp:extent cx="7474688" cy="8284220"/>
            <wp:effectExtent l="0" t="0" r="0" b="254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04.jpg"/>
                    <pic:cNvPicPr/>
                  </pic:nvPicPr>
                  <pic:blipFill rotWithShape="1">
                    <a:blip r:embed="rId21">
                      <a:extLst>
                        <a:ext uri="{28A0092B-C50C-407E-A947-70E740481C1C}">
                          <a14:useLocalDpi xmlns:a14="http://schemas.microsoft.com/office/drawing/2010/main" val="0"/>
                        </a:ext>
                      </a:extLst>
                    </a:blip>
                    <a:srcRect t="11319" b="11319"/>
                    <a:stretch/>
                  </pic:blipFill>
                  <pic:spPr bwMode="auto">
                    <a:xfrm>
                      <a:off x="0" y="0"/>
                      <a:ext cx="7474688" cy="828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291B7215"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1CF453BE" w14:textId="77777777" w:rsidR="00DE1B44" w:rsidRDefault="00DE1B44">
      <w:pPr>
        <w:widowControl w:val="0"/>
        <w:spacing w:before="120"/>
        <w:ind w:firstLineChars="0" w:firstLine="431"/>
        <w:rPr>
          <w:rFonts w:ascii="Times New Roman" w:hAnsi="Times New Roman" w:cs="Times New Roman"/>
          <w:kern w:val="2"/>
          <w:szCs w:val="22"/>
        </w:rPr>
      </w:pPr>
    </w:p>
    <w:p w14:paraId="643D57C5" w14:textId="62D5CD0E"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4319B8A8" w14:textId="77777777">
        <w:tc>
          <w:tcPr>
            <w:tcW w:w="1668" w:type="dxa"/>
            <w:shd w:val="clear" w:color="auto" w:fill="auto"/>
            <w:vAlign w:val="bottom"/>
          </w:tcPr>
          <w:p w14:paraId="205CFFCD"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2ACE3025"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12C6F88D" w14:textId="77777777">
        <w:tc>
          <w:tcPr>
            <w:tcW w:w="1668" w:type="dxa"/>
            <w:shd w:val="clear" w:color="auto" w:fill="auto"/>
          </w:tcPr>
          <w:p w14:paraId="4CCDEE3B"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1339282D"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proofErr w:type="gramStart"/>
            <w:r>
              <w:rPr>
                <w:rFonts w:ascii="Times New Roman" w:hAnsi="Times New Roman" w:cs="Times New Roman" w:hint="eastAsia"/>
                <w:color w:val="000000"/>
              </w:rPr>
              <w:t>尹</w:t>
            </w:r>
            <w:proofErr w:type="gramEnd"/>
            <w:r>
              <w:rPr>
                <w:rFonts w:ascii="Times New Roman" w:hAnsi="Times New Roman" w:cs="Times New Roman" w:hint="eastAsia"/>
                <w:color w:val="000000"/>
              </w:rPr>
              <w:t>矣</w:t>
            </w:r>
          </w:p>
        </w:tc>
      </w:tr>
    </w:tbl>
    <w:p w14:paraId="763A0785" w14:textId="26DF29D5" w:rsidR="00DE1B44" w:rsidRDefault="00DE1B44">
      <w:pPr>
        <w:widowControl w:val="0"/>
        <w:spacing w:before="120"/>
        <w:ind w:firstLineChars="0" w:firstLine="431"/>
        <w:rPr>
          <w:rFonts w:ascii="Times New Roman" w:hAnsi="Times New Roman" w:cs="Times New Roman"/>
          <w:kern w:val="2"/>
          <w:szCs w:val="22"/>
        </w:rPr>
      </w:pPr>
    </w:p>
    <w:p w14:paraId="2B3F7267" w14:textId="77777777" w:rsidR="00DE1B44" w:rsidRDefault="00DE1B44">
      <w:pPr>
        <w:widowControl w:val="0"/>
        <w:spacing w:before="120"/>
        <w:ind w:firstLineChars="0" w:firstLine="0"/>
        <w:rPr>
          <w:rFonts w:ascii="Times New Roman" w:hAnsi="Times New Roman" w:cs="Times New Roman"/>
          <w:kern w:val="2"/>
          <w:szCs w:val="22"/>
        </w:rPr>
      </w:pPr>
    </w:p>
    <w:p w14:paraId="3C14A146" w14:textId="77777777" w:rsidR="00DE1B44" w:rsidRDefault="00DE1B44">
      <w:pPr>
        <w:widowControl w:val="0"/>
        <w:spacing w:before="120"/>
        <w:ind w:firstLineChars="0" w:firstLine="431"/>
        <w:rPr>
          <w:rFonts w:ascii="Times New Roman" w:hAnsi="Times New Roman" w:cs="Times New Roman"/>
          <w:kern w:val="2"/>
          <w:szCs w:val="22"/>
        </w:rPr>
      </w:pPr>
    </w:p>
    <w:p w14:paraId="7E7BDBAF" w14:textId="77777777" w:rsidR="00DE1B44" w:rsidRDefault="00DE1B44">
      <w:pPr>
        <w:widowControl w:val="0"/>
        <w:spacing w:before="120"/>
        <w:ind w:firstLineChars="0" w:firstLine="431"/>
        <w:rPr>
          <w:rFonts w:ascii="Times New Roman" w:hAnsi="Times New Roman" w:cs="Times New Roman"/>
          <w:kern w:val="2"/>
          <w:szCs w:val="22"/>
        </w:rPr>
      </w:pPr>
    </w:p>
    <w:p w14:paraId="70A7BFEF" w14:textId="77777777" w:rsidR="00DE1B44" w:rsidRDefault="00DE1B44">
      <w:pPr>
        <w:widowControl w:val="0"/>
        <w:spacing w:before="120"/>
        <w:ind w:firstLineChars="0" w:firstLine="431"/>
        <w:rPr>
          <w:rFonts w:ascii="Times New Roman" w:hAnsi="Times New Roman" w:cs="Times New Roman"/>
          <w:kern w:val="2"/>
          <w:szCs w:val="22"/>
        </w:rPr>
      </w:pPr>
    </w:p>
    <w:p w14:paraId="6E7B1B4C"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03D32CF9"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5770F165"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22E99E96" w14:textId="432E2493"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698176" behindDoc="0" locked="0" layoutInCell="1" allowOverlap="1" wp14:anchorId="6E070326" wp14:editId="23D0FBA0">
            <wp:simplePos x="0" y="0"/>
            <wp:positionH relativeFrom="column">
              <wp:posOffset>-860765</wp:posOffset>
            </wp:positionH>
            <wp:positionV relativeFrom="paragraph">
              <wp:posOffset>-189983</wp:posOffset>
            </wp:positionV>
            <wp:extent cx="7473456" cy="8314661"/>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05.jpg"/>
                    <pic:cNvPicPr/>
                  </pic:nvPicPr>
                  <pic:blipFill rotWithShape="1">
                    <a:blip r:embed="rId22">
                      <a:extLst>
                        <a:ext uri="{28A0092B-C50C-407E-A947-70E740481C1C}">
                          <a14:useLocalDpi xmlns:a14="http://schemas.microsoft.com/office/drawing/2010/main" val="0"/>
                        </a:ext>
                      </a:extLst>
                    </a:blip>
                    <a:srcRect t="8738" b="13604"/>
                    <a:stretch/>
                  </pic:blipFill>
                  <pic:spPr bwMode="auto">
                    <a:xfrm>
                      <a:off x="0" y="0"/>
                      <a:ext cx="7473456" cy="83146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7775B3BC"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797D2BEE" w14:textId="77777777" w:rsidR="00DE1B44" w:rsidRDefault="00DE1B44">
      <w:pPr>
        <w:widowControl w:val="0"/>
        <w:spacing w:before="120"/>
        <w:ind w:firstLineChars="0" w:firstLine="431"/>
        <w:rPr>
          <w:rFonts w:ascii="Times New Roman" w:hAnsi="Times New Roman" w:cs="Times New Roman"/>
          <w:kern w:val="2"/>
          <w:szCs w:val="22"/>
        </w:rPr>
      </w:pPr>
    </w:p>
    <w:p w14:paraId="520B3462" w14:textId="4034AB8E"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36ADEC3A" w14:textId="77777777">
        <w:tc>
          <w:tcPr>
            <w:tcW w:w="1668" w:type="dxa"/>
            <w:shd w:val="clear" w:color="auto" w:fill="auto"/>
            <w:vAlign w:val="bottom"/>
          </w:tcPr>
          <w:p w14:paraId="12E5753C"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07CF4C47"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557A70E3" w14:textId="77777777">
        <w:tc>
          <w:tcPr>
            <w:tcW w:w="1668" w:type="dxa"/>
            <w:shd w:val="clear" w:color="auto" w:fill="auto"/>
          </w:tcPr>
          <w:p w14:paraId="494C3BE5"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0CA29D55"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张涤</w:t>
            </w:r>
          </w:p>
        </w:tc>
      </w:tr>
    </w:tbl>
    <w:p w14:paraId="55499858" w14:textId="77777777" w:rsidR="00DE1B44" w:rsidRDefault="00DE1B44">
      <w:pPr>
        <w:widowControl w:val="0"/>
        <w:spacing w:before="120"/>
        <w:ind w:firstLineChars="0" w:firstLine="431"/>
        <w:rPr>
          <w:rFonts w:ascii="Times New Roman" w:hAnsi="Times New Roman" w:cs="Times New Roman"/>
          <w:kern w:val="2"/>
          <w:szCs w:val="22"/>
        </w:rPr>
      </w:pPr>
    </w:p>
    <w:p w14:paraId="036646AF" w14:textId="77777777" w:rsidR="00DE1B44" w:rsidRDefault="00DE1B44">
      <w:pPr>
        <w:widowControl w:val="0"/>
        <w:spacing w:before="120"/>
        <w:ind w:firstLineChars="0" w:firstLine="0"/>
        <w:rPr>
          <w:rFonts w:ascii="Times New Roman" w:hAnsi="Times New Roman" w:cs="Times New Roman"/>
          <w:kern w:val="2"/>
          <w:szCs w:val="22"/>
        </w:rPr>
      </w:pPr>
    </w:p>
    <w:p w14:paraId="05B24B78" w14:textId="2E7637E9" w:rsidR="00DE1B44" w:rsidRDefault="00DE1B44">
      <w:pPr>
        <w:widowControl w:val="0"/>
        <w:spacing w:before="120"/>
        <w:ind w:firstLineChars="0" w:firstLine="431"/>
        <w:rPr>
          <w:rFonts w:ascii="Times New Roman" w:hAnsi="Times New Roman" w:cs="Times New Roman"/>
          <w:kern w:val="2"/>
          <w:szCs w:val="22"/>
        </w:rPr>
      </w:pPr>
    </w:p>
    <w:p w14:paraId="2405EE4C" w14:textId="77777777" w:rsidR="00DE1B44" w:rsidRDefault="00DE1B44">
      <w:pPr>
        <w:widowControl w:val="0"/>
        <w:spacing w:before="120"/>
        <w:ind w:firstLineChars="0" w:firstLine="431"/>
        <w:rPr>
          <w:rFonts w:ascii="Times New Roman" w:hAnsi="Times New Roman" w:cs="Times New Roman"/>
          <w:kern w:val="2"/>
          <w:szCs w:val="22"/>
        </w:rPr>
      </w:pPr>
    </w:p>
    <w:p w14:paraId="129399D3" w14:textId="77777777" w:rsidR="00DE1B44" w:rsidRDefault="00DE1B44">
      <w:pPr>
        <w:widowControl w:val="0"/>
        <w:spacing w:before="120"/>
        <w:ind w:firstLineChars="0" w:firstLine="431"/>
        <w:rPr>
          <w:rFonts w:ascii="Times New Roman" w:hAnsi="Times New Roman" w:cs="Times New Roman"/>
          <w:kern w:val="2"/>
          <w:szCs w:val="22"/>
        </w:rPr>
      </w:pPr>
    </w:p>
    <w:p w14:paraId="438100AE"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4703E28F"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7B176F7F"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4D1D5C63" w14:textId="169A10D8"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699200" behindDoc="0" locked="0" layoutInCell="1" allowOverlap="1" wp14:anchorId="588D3436" wp14:editId="4ECA3383">
            <wp:simplePos x="0" y="0"/>
            <wp:positionH relativeFrom="column">
              <wp:posOffset>-911835</wp:posOffset>
            </wp:positionH>
            <wp:positionV relativeFrom="paragraph">
              <wp:posOffset>-200291</wp:posOffset>
            </wp:positionV>
            <wp:extent cx="7493388" cy="8346558"/>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06.jpg"/>
                    <pic:cNvPicPr/>
                  </pic:nvPicPr>
                  <pic:blipFill rotWithShape="1">
                    <a:blip r:embed="rId23">
                      <a:extLst>
                        <a:ext uri="{28A0092B-C50C-407E-A947-70E740481C1C}">
                          <a14:useLocalDpi xmlns:a14="http://schemas.microsoft.com/office/drawing/2010/main" val="0"/>
                        </a:ext>
                      </a:extLst>
                    </a:blip>
                    <a:srcRect t="8710" b="13562"/>
                    <a:stretch/>
                  </pic:blipFill>
                  <pic:spPr bwMode="auto">
                    <a:xfrm>
                      <a:off x="0" y="0"/>
                      <a:ext cx="7493388" cy="83465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7A6E288A"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6F162985" w14:textId="77777777" w:rsidR="00DE1B44" w:rsidRDefault="00DE1B44">
      <w:pPr>
        <w:widowControl w:val="0"/>
        <w:spacing w:before="120"/>
        <w:ind w:firstLineChars="0" w:firstLine="431"/>
        <w:rPr>
          <w:rFonts w:ascii="Times New Roman" w:hAnsi="Times New Roman" w:cs="Times New Roman"/>
          <w:kern w:val="2"/>
          <w:szCs w:val="22"/>
        </w:rPr>
      </w:pPr>
    </w:p>
    <w:p w14:paraId="4043C907" w14:textId="40AE1F11"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47E9D2B3" w14:textId="77777777">
        <w:tc>
          <w:tcPr>
            <w:tcW w:w="1668" w:type="dxa"/>
            <w:shd w:val="clear" w:color="auto" w:fill="auto"/>
            <w:vAlign w:val="bottom"/>
          </w:tcPr>
          <w:p w14:paraId="0383F92C"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78FAC879"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55BB5768" w14:textId="77777777">
        <w:tc>
          <w:tcPr>
            <w:tcW w:w="1668" w:type="dxa"/>
            <w:shd w:val="clear" w:color="auto" w:fill="auto"/>
          </w:tcPr>
          <w:p w14:paraId="704509E5"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23999379"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杨东伟</w:t>
            </w:r>
          </w:p>
        </w:tc>
      </w:tr>
    </w:tbl>
    <w:p w14:paraId="0F151171" w14:textId="77777777" w:rsidR="00DE1B44" w:rsidRDefault="00DE1B44">
      <w:pPr>
        <w:widowControl w:val="0"/>
        <w:spacing w:before="120"/>
        <w:ind w:firstLineChars="0" w:firstLine="431"/>
        <w:rPr>
          <w:rFonts w:ascii="Times New Roman" w:hAnsi="Times New Roman" w:cs="Times New Roman"/>
          <w:kern w:val="2"/>
          <w:szCs w:val="22"/>
        </w:rPr>
      </w:pPr>
    </w:p>
    <w:p w14:paraId="364ADBAA" w14:textId="77777777" w:rsidR="00DE1B44" w:rsidRDefault="00DE1B44">
      <w:pPr>
        <w:widowControl w:val="0"/>
        <w:spacing w:before="120"/>
        <w:ind w:firstLineChars="0" w:firstLine="0"/>
        <w:rPr>
          <w:rFonts w:ascii="Times New Roman" w:hAnsi="Times New Roman" w:cs="Times New Roman"/>
          <w:kern w:val="2"/>
          <w:szCs w:val="22"/>
        </w:rPr>
      </w:pPr>
    </w:p>
    <w:p w14:paraId="70D9EAC3" w14:textId="77777777" w:rsidR="00DE1B44" w:rsidRDefault="00DE1B44">
      <w:pPr>
        <w:widowControl w:val="0"/>
        <w:spacing w:before="120"/>
        <w:ind w:firstLineChars="0" w:firstLine="431"/>
        <w:rPr>
          <w:rFonts w:ascii="Times New Roman" w:hAnsi="Times New Roman" w:cs="Times New Roman"/>
          <w:kern w:val="2"/>
          <w:szCs w:val="22"/>
        </w:rPr>
      </w:pPr>
    </w:p>
    <w:p w14:paraId="73102B28" w14:textId="77777777" w:rsidR="00DE1B44" w:rsidRDefault="00DE1B44">
      <w:pPr>
        <w:widowControl w:val="0"/>
        <w:spacing w:before="120"/>
        <w:ind w:firstLineChars="0" w:firstLine="431"/>
        <w:rPr>
          <w:rFonts w:ascii="Times New Roman" w:hAnsi="Times New Roman" w:cs="Times New Roman"/>
          <w:kern w:val="2"/>
          <w:szCs w:val="22"/>
        </w:rPr>
      </w:pPr>
    </w:p>
    <w:p w14:paraId="4E548229" w14:textId="77777777" w:rsidR="00DE1B44" w:rsidRDefault="00DE1B44">
      <w:pPr>
        <w:widowControl w:val="0"/>
        <w:spacing w:before="120"/>
        <w:ind w:firstLineChars="0" w:firstLine="431"/>
        <w:rPr>
          <w:rFonts w:ascii="Times New Roman" w:hAnsi="Times New Roman" w:cs="Times New Roman"/>
          <w:kern w:val="2"/>
          <w:szCs w:val="22"/>
        </w:rPr>
      </w:pPr>
    </w:p>
    <w:p w14:paraId="1B1236A3"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24C6D998"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7B964F8B"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50767198" w14:textId="7C104B0C"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00224" behindDoc="0" locked="0" layoutInCell="1" allowOverlap="1" wp14:anchorId="1BAB8720" wp14:editId="594A3364">
            <wp:simplePos x="0" y="0"/>
            <wp:positionH relativeFrom="column">
              <wp:posOffset>-850604</wp:posOffset>
            </wp:positionH>
            <wp:positionV relativeFrom="paragraph">
              <wp:posOffset>-200276</wp:posOffset>
            </wp:positionV>
            <wp:extent cx="7493363" cy="8516679"/>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07.jpg"/>
                    <pic:cNvPicPr/>
                  </pic:nvPicPr>
                  <pic:blipFill rotWithShape="1">
                    <a:blip r:embed="rId24">
                      <a:extLst>
                        <a:ext uri="{28A0092B-C50C-407E-A947-70E740481C1C}">
                          <a14:useLocalDpi xmlns:a14="http://schemas.microsoft.com/office/drawing/2010/main" val="0"/>
                        </a:ext>
                      </a:extLst>
                    </a:blip>
                    <a:srcRect t="9106" b="11582"/>
                    <a:stretch/>
                  </pic:blipFill>
                  <pic:spPr bwMode="auto">
                    <a:xfrm>
                      <a:off x="0" y="0"/>
                      <a:ext cx="7493363" cy="8516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6AF0B5D9"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2F7D39AC" w14:textId="77777777" w:rsidR="00DE1B44" w:rsidRDefault="00DE1B44">
      <w:pPr>
        <w:widowControl w:val="0"/>
        <w:spacing w:before="120"/>
        <w:ind w:firstLineChars="0" w:firstLine="431"/>
        <w:rPr>
          <w:rFonts w:ascii="Times New Roman" w:hAnsi="Times New Roman" w:cs="Times New Roman"/>
          <w:kern w:val="2"/>
          <w:szCs w:val="22"/>
        </w:rPr>
      </w:pPr>
    </w:p>
    <w:p w14:paraId="721A4E6D" w14:textId="5D19FB6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2B5BAB62" w14:textId="77777777">
        <w:tc>
          <w:tcPr>
            <w:tcW w:w="1668" w:type="dxa"/>
            <w:shd w:val="clear" w:color="auto" w:fill="auto"/>
            <w:vAlign w:val="bottom"/>
          </w:tcPr>
          <w:p w14:paraId="763FAEB8"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041EC441"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02F0BE29" w14:textId="77777777">
        <w:tc>
          <w:tcPr>
            <w:tcW w:w="1668" w:type="dxa"/>
            <w:shd w:val="clear" w:color="auto" w:fill="auto"/>
          </w:tcPr>
          <w:p w14:paraId="76CAAA29"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57EEE5BF"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刘李孝</w:t>
            </w:r>
          </w:p>
        </w:tc>
      </w:tr>
    </w:tbl>
    <w:p w14:paraId="68BBE257" w14:textId="77777777" w:rsidR="00DE1B44" w:rsidRDefault="00DE1B44">
      <w:pPr>
        <w:widowControl w:val="0"/>
        <w:spacing w:before="120"/>
        <w:ind w:firstLineChars="0" w:firstLine="431"/>
        <w:rPr>
          <w:rFonts w:ascii="Times New Roman" w:hAnsi="Times New Roman" w:cs="Times New Roman"/>
          <w:kern w:val="2"/>
          <w:szCs w:val="22"/>
        </w:rPr>
      </w:pPr>
    </w:p>
    <w:p w14:paraId="0AE70D56" w14:textId="77777777" w:rsidR="00DE1B44" w:rsidRDefault="00DE1B44">
      <w:pPr>
        <w:widowControl w:val="0"/>
        <w:spacing w:before="120"/>
        <w:ind w:firstLineChars="0" w:firstLine="0"/>
        <w:rPr>
          <w:rFonts w:ascii="Times New Roman" w:hAnsi="Times New Roman" w:cs="Times New Roman"/>
          <w:kern w:val="2"/>
          <w:szCs w:val="22"/>
        </w:rPr>
      </w:pPr>
    </w:p>
    <w:p w14:paraId="5CF74BAC" w14:textId="77777777" w:rsidR="00DE1B44" w:rsidRDefault="00DE1B44">
      <w:pPr>
        <w:widowControl w:val="0"/>
        <w:spacing w:before="120"/>
        <w:ind w:firstLineChars="0" w:firstLine="431"/>
        <w:rPr>
          <w:rFonts w:ascii="Times New Roman" w:hAnsi="Times New Roman" w:cs="Times New Roman"/>
          <w:kern w:val="2"/>
          <w:szCs w:val="22"/>
        </w:rPr>
      </w:pPr>
    </w:p>
    <w:p w14:paraId="161EDE81" w14:textId="77777777" w:rsidR="00DE1B44" w:rsidRDefault="00DE1B44">
      <w:pPr>
        <w:widowControl w:val="0"/>
        <w:spacing w:before="120"/>
        <w:ind w:firstLineChars="0" w:firstLine="431"/>
        <w:rPr>
          <w:rFonts w:ascii="Times New Roman" w:hAnsi="Times New Roman" w:cs="Times New Roman"/>
          <w:kern w:val="2"/>
          <w:szCs w:val="22"/>
        </w:rPr>
      </w:pPr>
    </w:p>
    <w:p w14:paraId="394AA63F" w14:textId="77777777" w:rsidR="00DE1B44" w:rsidRDefault="00DE1B44">
      <w:pPr>
        <w:widowControl w:val="0"/>
        <w:spacing w:before="120"/>
        <w:ind w:firstLineChars="0" w:firstLine="431"/>
        <w:rPr>
          <w:rFonts w:ascii="Times New Roman" w:hAnsi="Times New Roman" w:cs="Times New Roman"/>
          <w:kern w:val="2"/>
          <w:szCs w:val="22"/>
        </w:rPr>
      </w:pPr>
    </w:p>
    <w:p w14:paraId="7FD89F3E"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3461FDFE"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2E59C57A"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44F9A8BF" w14:textId="069DA3A2"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01248" behindDoc="0" locked="0" layoutInCell="1" allowOverlap="1" wp14:anchorId="67265BCB" wp14:editId="7984DB6A">
            <wp:simplePos x="0" y="0"/>
            <wp:positionH relativeFrom="column">
              <wp:posOffset>-818396</wp:posOffset>
            </wp:positionH>
            <wp:positionV relativeFrom="paragraph">
              <wp:posOffset>-83790</wp:posOffset>
            </wp:positionV>
            <wp:extent cx="7473449" cy="8516679"/>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08.jpg"/>
                    <pic:cNvPicPr/>
                  </pic:nvPicPr>
                  <pic:blipFill rotWithShape="1">
                    <a:blip r:embed="rId25">
                      <a:extLst>
                        <a:ext uri="{28A0092B-C50C-407E-A947-70E740481C1C}">
                          <a14:useLocalDpi xmlns:a14="http://schemas.microsoft.com/office/drawing/2010/main" val="0"/>
                        </a:ext>
                      </a:extLst>
                    </a:blip>
                    <a:srcRect t="8936" b="11518"/>
                    <a:stretch/>
                  </pic:blipFill>
                  <pic:spPr bwMode="auto">
                    <a:xfrm>
                      <a:off x="0" y="0"/>
                      <a:ext cx="7473449" cy="8516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38CB6F8B"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6F82FE43" w14:textId="3B985575" w:rsidR="00DE1B44" w:rsidRDefault="00DE1B44">
      <w:pPr>
        <w:widowControl w:val="0"/>
        <w:spacing w:before="120"/>
        <w:ind w:firstLineChars="0" w:firstLine="431"/>
        <w:rPr>
          <w:rFonts w:ascii="Times New Roman" w:hAnsi="Times New Roman" w:cs="Times New Roman"/>
          <w:kern w:val="2"/>
          <w:szCs w:val="22"/>
        </w:rPr>
      </w:pPr>
    </w:p>
    <w:p w14:paraId="0F613738" w14:textId="7777777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2415EBAC" w14:textId="77777777">
        <w:tc>
          <w:tcPr>
            <w:tcW w:w="1668" w:type="dxa"/>
            <w:shd w:val="clear" w:color="auto" w:fill="auto"/>
            <w:vAlign w:val="bottom"/>
          </w:tcPr>
          <w:p w14:paraId="1F9021F5"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777379D6"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0F42CE90" w14:textId="77777777">
        <w:tc>
          <w:tcPr>
            <w:tcW w:w="1668" w:type="dxa"/>
            <w:shd w:val="clear" w:color="auto" w:fill="auto"/>
          </w:tcPr>
          <w:p w14:paraId="77FEF2BB"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0AB2FA8E"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蔡成维</w:t>
            </w:r>
          </w:p>
        </w:tc>
      </w:tr>
    </w:tbl>
    <w:p w14:paraId="10FB2DE7" w14:textId="77777777" w:rsidR="00DE1B44" w:rsidRDefault="00DE1B44">
      <w:pPr>
        <w:widowControl w:val="0"/>
        <w:spacing w:before="120"/>
        <w:ind w:firstLineChars="0" w:firstLine="431"/>
        <w:rPr>
          <w:rFonts w:ascii="Times New Roman" w:hAnsi="Times New Roman" w:cs="Times New Roman"/>
          <w:kern w:val="2"/>
          <w:szCs w:val="22"/>
        </w:rPr>
      </w:pPr>
    </w:p>
    <w:p w14:paraId="0F1CA441" w14:textId="77777777" w:rsidR="00DE1B44" w:rsidRDefault="00DE1B44">
      <w:pPr>
        <w:widowControl w:val="0"/>
        <w:spacing w:before="120"/>
        <w:ind w:firstLineChars="0" w:firstLine="0"/>
        <w:rPr>
          <w:rFonts w:ascii="Times New Roman" w:hAnsi="Times New Roman" w:cs="Times New Roman"/>
          <w:kern w:val="2"/>
          <w:szCs w:val="22"/>
        </w:rPr>
      </w:pPr>
    </w:p>
    <w:p w14:paraId="58D600F7" w14:textId="77777777" w:rsidR="00DE1B44" w:rsidRDefault="00DE1B44">
      <w:pPr>
        <w:widowControl w:val="0"/>
        <w:spacing w:before="120"/>
        <w:ind w:firstLineChars="0" w:firstLine="431"/>
        <w:rPr>
          <w:rFonts w:ascii="Times New Roman" w:hAnsi="Times New Roman" w:cs="Times New Roman"/>
          <w:kern w:val="2"/>
          <w:szCs w:val="22"/>
        </w:rPr>
      </w:pPr>
    </w:p>
    <w:p w14:paraId="24EFFC24" w14:textId="77777777" w:rsidR="00DE1B44" w:rsidRDefault="00DE1B44">
      <w:pPr>
        <w:widowControl w:val="0"/>
        <w:spacing w:before="120"/>
        <w:ind w:firstLineChars="0" w:firstLine="431"/>
        <w:rPr>
          <w:rFonts w:ascii="Times New Roman" w:hAnsi="Times New Roman" w:cs="Times New Roman"/>
          <w:kern w:val="2"/>
          <w:szCs w:val="22"/>
        </w:rPr>
      </w:pPr>
    </w:p>
    <w:p w14:paraId="25A8C6F3" w14:textId="77777777" w:rsidR="00DE1B44" w:rsidRDefault="00DE1B44">
      <w:pPr>
        <w:widowControl w:val="0"/>
        <w:spacing w:before="120"/>
        <w:ind w:firstLineChars="0" w:firstLine="431"/>
        <w:rPr>
          <w:rFonts w:ascii="Times New Roman" w:hAnsi="Times New Roman" w:cs="Times New Roman"/>
          <w:kern w:val="2"/>
          <w:szCs w:val="22"/>
        </w:rPr>
      </w:pPr>
    </w:p>
    <w:p w14:paraId="56E511E5"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2CEC722F"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05E52F72"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65CF65F3" w14:textId="1F4E6607"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02272" behindDoc="0" locked="0" layoutInCell="1" allowOverlap="1" wp14:anchorId="08ADF2B2" wp14:editId="3A5B106E">
            <wp:simplePos x="0" y="0"/>
            <wp:positionH relativeFrom="column">
              <wp:posOffset>-914400</wp:posOffset>
            </wp:positionH>
            <wp:positionV relativeFrom="paragraph">
              <wp:posOffset>-136821</wp:posOffset>
            </wp:positionV>
            <wp:extent cx="7537385" cy="8591107"/>
            <wp:effectExtent l="0" t="0" r="6985" b="63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09.jpg"/>
                    <pic:cNvPicPr/>
                  </pic:nvPicPr>
                  <pic:blipFill rotWithShape="1">
                    <a:blip r:embed="rId26">
                      <a:extLst>
                        <a:ext uri="{28A0092B-C50C-407E-A947-70E740481C1C}">
                          <a14:useLocalDpi xmlns:a14="http://schemas.microsoft.com/office/drawing/2010/main" val="0"/>
                        </a:ext>
                      </a:extLst>
                    </a:blip>
                    <a:srcRect t="8317" b="11684"/>
                    <a:stretch/>
                  </pic:blipFill>
                  <pic:spPr bwMode="auto">
                    <a:xfrm>
                      <a:off x="0" y="0"/>
                      <a:ext cx="7537385" cy="8591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60871ACE"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3A1C3085" w14:textId="77777777" w:rsidR="00DE1B44" w:rsidRDefault="00DE1B44">
      <w:pPr>
        <w:widowControl w:val="0"/>
        <w:spacing w:before="120"/>
        <w:ind w:firstLineChars="0" w:firstLine="431"/>
        <w:rPr>
          <w:rFonts w:ascii="Times New Roman" w:hAnsi="Times New Roman" w:cs="Times New Roman"/>
          <w:kern w:val="2"/>
          <w:szCs w:val="22"/>
        </w:rPr>
      </w:pPr>
    </w:p>
    <w:p w14:paraId="667E366E" w14:textId="70F774B6"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4FA05FB8" w14:textId="77777777">
        <w:tc>
          <w:tcPr>
            <w:tcW w:w="1668" w:type="dxa"/>
            <w:shd w:val="clear" w:color="auto" w:fill="auto"/>
            <w:vAlign w:val="bottom"/>
          </w:tcPr>
          <w:p w14:paraId="12FB0B2E"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43E8A8CB"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39B1C09A" w14:textId="77777777">
        <w:tc>
          <w:tcPr>
            <w:tcW w:w="1668" w:type="dxa"/>
            <w:shd w:val="clear" w:color="auto" w:fill="auto"/>
          </w:tcPr>
          <w:p w14:paraId="5684E5DE"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43734F30"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proofErr w:type="gramStart"/>
            <w:r>
              <w:rPr>
                <w:rFonts w:ascii="Times New Roman" w:hAnsi="Times New Roman" w:cs="Times New Roman" w:hint="eastAsia"/>
                <w:color w:val="000000"/>
              </w:rPr>
              <w:t>刘详扬</w:t>
            </w:r>
            <w:proofErr w:type="gramEnd"/>
          </w:p>
        </w:tc>
      </w:tr>
    </w:tbl>
    <w:p w14:paraId="73369774" w14:textId="77777777" w:rsidR="00DE1B44" w:rsidRDefault="00DE1B44">
      <w:pPr>
        <w:widowControl w:val="0"/>
        <w:spacing w:before="120"/>
        <w:ind w:firstLineChars="0" w:firstLine="431"/>
        <w:rPr>
          <w:rFonts w:ascii="Times New Roman" w:hAnsi="Times New Roman" w:cs="Times New Roman"/>
          <w:kern w:val="2"/>
          <w:szCs w:val="22"/>
        </w:rPr>
      </w:pPr>
    </w:p>
    <w:p w14:paraId="105D303C" w14:textId="77777777" w:rsidR="00DE1B44" w:rsidRDefault="00DE1B44">
      <w:pPr>
        <w:widowControl w:val="0"/>
        <w:spacing w:before="120"/>
        <w:ind w:firstLineChars="0" w:firstLine="0"/>
        <w:rPr>
          <w:rFonts w:ascii="Times New Roman" w:hAnsi="Times New Roman" w:cs="Times New Roman"/>
          <w:kern w:val="2"/>
          <w:szCs w:val="22"/>
        </w:rPr>
      </w:pPr>
    </w:p>
    <w:p w14:paraId="62102145" w14:textId="77777777" w:rsidR="00DE1B44" w:rsidRDefault="00DE1B44">
      <w:pPr>
        <w:widowControl w:val="0"/>
        <w:spacing w:before="120"/>
        <w:ind w:firstLineChars="0" w:firstLine="431"/>
        <w:rPr>
          <w:rFonts w:ascii="Times New Roman" w:hAnsi="Times New Roman" w:cs="Times New Roman"/>
          <w:kern w:val="2"/>
          <w:szCs w:val="22"/>
        </w:rPr>
      </w:pPr>
    </w:p>
    <w:p w14:paraId="1FD94C1B" w14:textId="77777777" w:rsidR="00DE1B44" w:rsidRDefault="00DE1B44">
      <w:pPr>
        <w:widowControl w:val="0"/>
        <w:spacing w:before="120"/>
        <w:ind w:firstLineChars="0" w:firstLine="431"/>
        <w:rPr>
          <w:rFonts w:ascii="Times New Roman" w:hAnsi="Times New Roman" w:cs="Times New Roman"/>
          <w:kern w:val="2"/>
          <w:szCs w:val="22"/>
        </w:rPr>
      </w:pPr>
    </w:p>
    <w:p w14:paraId="6E495AD5" w14:textId="77777777" w:rsidR="00DE1B44" w:rsidRDefault="00DE1B44">
      <w:pPr>
        <w:widowControl w:val="0"/>
        <w:spacing w:before="120"/>
        <w:ind w:firstLineChars="0" w:firstLine="431"/>
        <w:rPr>
          <w:rFonts w:ascii="Times New Roman" w:hAnsi="Times New Roman" w:cs="Times New Roman"/>
          <w:kern w:val="2"/>
          <w:szCs w:val="22"/>
        </w:rPr>
      </w:pPr>
    </w:p>
    <w:p w14:paraId="0F2E91F8"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08A2A2DA"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624E2ACF"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6BCD2814" w14:textId="6543643D"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03296" behindDoc="0" locked="0" layoutInCell="1" allowOverlap="1" wp14:anchorId="71D06F0B" wp14:editId="05BC70AE">
            <wp:simplePos x="0" y="0"/>
            <wp:positionH relativeFrom="column">
              <wp:posOffset>-924560</wp:posOffset>
            </wp:positionH>
            <wp:positionV relativeFrom="paragraph">
              <wp:posOffset>-158514</wp:posOffset>
            </wp:positionV>
            <wp:extent cx="7535094" cy="8516679"/>
            <wp:effectExtent l="0" t="0" r="889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10.jpg"/>
                    <pic:cNvPicPr/>
                  </pic:nvPicPr>
                  <pic:blipFill rotWithShape="1">
                    <a:blip r:embed="rId27">
                      <a:extLst>
                        <a:ext uri="{28A0092B-C50C-407E-A947-70E740481C1C}">
                          <a14:useLocalDpi xmlns:a14="http://schemas.microsoft.com/office/drawing/2010/main" val="0"/>
                        </a:ext>
                      </a:extLst>
                    </a:blip>
                    <a:srcRect t="9624" b="10912"/>
                    <a:stretch/>
                  </pic:blipFill>
                  <pic:spPr bwMode="auto">
                    <a:xfrm>
                      <a:off x="0" y="0"/>
                      <a:ext cx="7535094" cy="8516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38878226"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4198C173" w14:textId="77777777" w:rsidR="00DE1B44" w:rsidRDefault="00DE1B44">
      <w:pPr>
        <w:widowControl w:val="0"/>
        <w:spacing w:before="120"/>
        <w:ind w:firstLineChars="0" w:firstLine="431"/>
        <w:rPr>
          <w:rFonts w:ascii="Times New Roman" w:hAnsi="Times New Roman" w:cs="Times New Roman"/>
          <w:kern w:val="2"/>
          <w:szCs w:val="22"/>
        </w:rPr>
      </w:pPr>
    </w:p>
    <w:p w14:paraId="1C4223DC" w14:textId="0D6540CE"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3183F0BE" w14:textId="77777777">
        <w:tc>
          <w:tcPr>
            <w:tcW w:w="1668" w:type="dxa"/>
            <w:shd w:val="clear" w:color="auto" w:fill="auto"/>
            <w:vAlign w:val="bottom"/>
          </w:tcPr>
          <w:p w14:paraId="3066628C"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62DF7477"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34887B40" w14:textId="77777777">
        <w:tc>
          <w:tcPr>
            <w:tcW w:w="1668" w:type="dxa"/>
            <w:shd w:val="clear" w:color="auto" w:fill="auto"/>
          </w:tcPr>
          <w:p w14:paraId="2DB77800"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72835CB5"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汤小青</w:t>
            </w:r>
          </w:p>
        </w:tc>
      </w:tr>
    </w:tbl>
    <w:p w14:paraId="72ED0483" w14:textId="77777777" w:rsidR="00DE1B44" w:rsidRDefault="00DE1B44">
      <w:pPr>
        <w:widowControl w:val="0"/>
        <w:spacing w:before="120"/>
        <w:ind w:firstLineChars="0" w:firstLine="431"/>
        <w:rPr>
          <w:rFonts w:ascii="Times New Roman" w:hAnsi="Times New Roman" w:cs="Times New Roman"/>
          <w:kern w:val="2"/>
          <w:szCs w:val="22"/>
        </w:rPr>
      </w:pPr>
    </w:p>
    <w:p w14:paraId="09D3139F" w14:textId="77777777" w:rsidR="00DE1B44" w:rsidRDefault="00DE1B44">
      <w:pPr>
        <w:widowControl w:val="0"/>
        <w:spacing w:before="120"/>
        <w:ind w:firstLineChars="0" w:firstLine="0"/>
        <w:rPr>
          <w:rFonts w:ascii="Times New Roman" w:hAnsi="Times New Roman" w:cs="Times New Roman"/>
          <w:kern w:val="2"/>
          <w:szCs w:val="22"/>
        </w:rPr>
      </w:pPr>
    </w:p>
    <w:p w14:paraId="01A48253" w14:textId="77777777" w:rsidR="00DE1B44" w:rsidRDefault="00DE1B44">
      <w:pPr>
        <w:widowControl w:val="0"/>
        <w:spacing w:before="120"/>
        <w:ind w:firstLineChars="0" w:firstLine="431"/>
        <w:rPr>
          <w:rFonts w:ascii="Times New Roman" w:hAnsi="Times New Roman" w:cs="Times New Roman"/>
          <w:kern w:val="2"/>
          <w:szCs w:val="22"/>
        </w:rPr>
      </w:pPr>
    </w:p>
    <w:p w14:paraId="1F28492D" w14:textId="77777777" w:rsidR="00DE1B44" w:rsidRDefault="00DE1B44">
      <w:pPr>
        <w:widowControl w:val="0"/>
        <w:spacing w:before="120"/>
        <w:ind w:firstLineChars="0" w:firstLine="431"/>
        <w:rPr>
          <w:rFonts w:ascii="Times New Roman" w:hAnsi="Times New Roman" w:cs="Times New Roman"/>
          <w:kern w:val="2"/>
          <w:szCs w:val="22"/>
        </w:rPr>
      </w:pPr>
    </w:p>
    <w:p w14:paraId="678BFE77" w14:textId="77777777" w:rsidR="00DE1B44" w:rsidRDefault="00DE1B44">
      <w:pPr>
        <w:widowControl w:val="0"/>
        <w:spacing w:before="120"/>
        <w:ind w:firstLineChars="0" w:firstLine="431"/>
        <w:rPr>
          <w:rFonts w:ascii="Times New Roman" w:hAnsi="Times New Roman" w:cs="Times New Roman"/>
          <w:kern w:val="2"/>
          <w:szCs w:val="22"/>
        </w:rPr>
      </w:pPr>
    </w:p>
    <w:p w14:paraId="00AE0CA3"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30278C80"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7845E8AF" w14:textId="77777777" w:rsidR="00DE1B44" w:rsidRDefault="00D40582">
      <w:pPr>
        <w:spacing w:beforeLines="0" w:before="0" w:line="240" w:lineRule="auto"/>
        <w:ind w:firstLineChars="0" w:firstLine="0"/>
        <w:jc w:val="left"/>
        <w:rPr>
          <w:rFonts w:ascii="黑体" w:eastAsia="黑体" w:hAnsi="黑体" w:cs="Times New Roman"/>
          <w:sz w:val="28"/>
        </w:rPr>
      </w:pPr>
      <w:r>
        <w:rPr>
          <w:rFonts w:ascii="黑体" w:eastAsia="黑体" w:hAnsi="黑体" w:cs="Times New Roman"/>
          <w:sz w:val="28"/>
        </w:rPr>
        <w:br w:type="page"/>
      </w:r>
    </w:p>
    <w:p w14:paraId="2CFC7348" w14:textId="67DADFE7"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04320" behindDoc="0" locked="0" layoutInCell="1" allowOverlap="1" wp14:anchorId="584A0BF8" wp14:editId="6D15CA5E">
            <wp:simplePos x="0" y="0"/>
            <wp:positionH relativeFrom="column">
              <wp:posOffset>-903482</wp:posOffset>
            </wp:positionH>
            <wp:positionV relativeFrom="paragraph">
              <wp:posOffset>-147438</wp:posOffset>
            </wp:positionV>
            <wp:extent cx="7517095" cy="8304028"/>
            <wp:effectExtent l="0" t="0" r="8255" b="190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11.jpg"/>
                    <pic:cNvPicPr/>
                  </pic:nvPicPr>
                  <pic:blipFill rotWithShape="1">
                    <a:blip r:embed="rId28">
                      <a:extLst>
                        <a:ext uri="{28A0092B-C50C-407E-A947-70E740481C1C}">
                          <a14:useLocalDpi xmlns:a14="http://schemas.microsoft.com/office/drawing/2010/main" val="0"/>
                        </a:ext>
                      </a:extLst>
                    </a:blip>
                    <a:srcRect t="8829" b="13690"/>
                    <a:stretch/>
                  </pic:blipFill>
                  <pic:spPr bwMode="auto">
                    <a:xfrm>
                      <a:off x="0" y="0"/>
                      <a:ext cx="7517095" cy="8304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6BDF4A06"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7027C336" w14:textId="77777777" w:rsidR="00DE1B44" w:rsidRDefault="00DE1B44">
      <w:pPr>
        <w:widowControl w:val="0"/>
        <w:spacing w:before="120"/>
        <w:ind w:firstLineChars="0" w:firstLine="431"/>
        <w:rPr>
          <w:rFonts w:ascii="Times New Roman" w:hAnsi="Times New Roman" w:cs="Times New Roman"/>
          <w:kern w:val="2"/>
          <w:szCs w:val="22"/>
        </w:rPr>
      </w:pPr>
    </w:p>
    <w:p w14:paraId="4078D259" w14:textId="5C57E31B"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4B3352B1" w14:textId="77777777">
        <w:tc>
          <w:tcPr>
            <w:tcW w:w="1668" w:type="dxa"/>
            <w:shd w:val="clear" w:color="auto" w:fill="auto"/>
            <w:vAlign w:val="bottom"/>
          </w:tcPr>
          <w:p w14:paraId="762A712D"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5544CB2D"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40F8A35F" w14:textId="77777777">
        <w:tc>
          <w:tcPr>
            <w:tcW w:w="1668" w:type="dxa"/>
            <w:shd w:val="clear" w:color="auto" w:fill="auto"/>
          </w:tcPr>
          <w:p w14:paraId="0AF825DF"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6CD1A01E"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proofErr w:type="gramStart"/>
            <w:r>
              <w:rPr>
                <w:rFonts w:ascii="Times New Roman" w:hAnsi="Times New Roman" w:cs="Times New Roman" w:hint="eastAsia"/>
                <w:color w:val="000000"/>
              </w:rPr>
              <w:t>陈亚初</w:t>
            </w:r>
            <w:proofErr w:type="gramEnd"/>
          </w:p>
        </w:tc>
      </w:tr>
    </w:tbl>
    <w:p w14:paraId="1DA052BF" w14:textId="77777777" w:rsidR="00DE1B44" w:rsidRDefault="00DE1B44">
      <w:pPr>
        <w:widowControl w:val="0"/>
        <w:spacing w:before="120"/>
        <w:ind w:firstLineChars="0" w:firstLine="431"/>
        <w:rPr>
          <w:rFonts w:ascii="Times New Roman" w:hAnsi="Times New Roman" w:cs="Times New Roman"/>
          <w:kern w:val="2"/>
          <w:szCs w:val="22"/>
        </w:rPr>
      </w:pPr>
    </w:p>
    <w:p w14:paraId="2A933E0F" w14:textId="77777777" w:rsidR="00DE1B44" w:rsidRDefault="00DE1B44">
      <w:pPr>
        <w:widowControl w:val="0"/>
        <w:spacing w:before="120"/>
        <w:ind w:firstLineChars="0" w:firstLine="0"/>
        <w:rPr>
          <w:rFonts w:ascii="Times New Roman" w:hAnsi="Times New Roman" w:cs="Times New Roman"/>
          <w:kern w:val="2"/>
          <w:szCs w:val="22"/>
        </w:rPr>
      </w:pPr>
    </w:p>
    <w:p w14:paraId="6DC082AA" w14:textId="77777777" w:rsidR="00DE1B44" w:rsidRDefault="00DE1B44">
      <w:pPr>
        <w:widowControl w:val="0"/>
        <w:spacing w:before="120"/>
        <w:ind w:firstLineChars="0" w:firstLine="431"/>
        <w:rPr>
          <w:rFonts w:ascii="Times New Roman" w:hAnsi="Times New Roman" w:cs="Times New Roman"/>
          <w:kern w:val="2"/>
          <w:szCs w:val="22"/>
        </w:rPr>
      </w:pPr>
    </w:p>
    <w:p w14:paraId="0D619CF6" w14:textId="77777777" w:rsidR="00DE1B44" w:rsidRDefault="00DE1B44">
      <w:pPr>
        <w:widowControl w:val="0"/>
        <w:spacing w:before="120"/>
        <w:ind w:firstLineChars="0" w:firstLine="431"/>
        <w:rPr>
          <w:rFonts w:ascii="Times New Roman" w:hAnsi="Times New Roman" w:cs="Times New Roman"/>
          <w:kern w:val="2"/>
          <w:szCs w:val="22"/>
        </w:rPr>
      </w:pPr>
    </w:p>
    <w:p w14:paraId="74CF3DBD" w14:textId="77777777" w:rsidR="00DE1B44" w:rsidRDefault="00DE1B44">
      <w:pPr>
        <w:widowControl w:val="0"/>
        <w:spacing w:before="120"/>
        <w:ind w:firstLineChars="0" w:firstLine="431"/>
        <w:rPr>
          <w:rFonts w:ascii="Times New Roman" w:hAnsi="Times New Roman" w:cs="Times New Roman"/>
          <w:kern w:val="2"/>
          <w:szCs w:val="22"/>
        </w:rPr>
      </w:pPr>
    </w:p>
    <w:p w14:paraId="4D807A97"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54EBC14E"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7363ADFE"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5216CF40" w14:textId="6B05AB5B"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05344" behindDoc="0" locked="0" layoutInCell="1" allowOverlap="1" wp14:anchorId="61C1CDA4" wp14:editId="28E73FCC">
            <wp:simplePos x="0" y="0"/>
            <wp:positionH relativeFrom="column">
              <wp:posOffset>-914400</wp:posOffset>
            </wp:positionH>
            <wp:positionV relativeFrom="paragraph">
              <wp:posOffset>-158691</wp:posOffset>
            </wp:positionV>
            <wp:extent cx="7493330" cy="8410353"/>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12.jpg"/>
                    <pic:cNvPicPr/>
                  </pic:nvPicPr>
                  <pic:blipFill rotWithShape="1">
                    <a:blip r:embed="rId29">
                      <a:extLst>
                        <a:ext uri="{28A0092B-C50C-407E-A947-70E740481C1C}">
                          <a14:useLocalDpi xmlns:a14="http://schemas.microsoft.com/office/drawing/2010/main" val="0"/>
                        </a:ext>
                      </a:extLst>
                    </a:blip>
                    <a:srcRect t="9601" b="12076"/>
                    <a:stretch/>
                  </pic:blipFill>
                  <pic:spPr bwMode="auto">
                    <a:xfrm>
                      <a:off x="0" y="0"/>
                      <a:ext cx="7493330" cy="84103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5019AC55"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03F509CE" w14:textId="77777777" w:rsidR="00DE1B44" w:rsidRDefault="00DE1B44">
      <w:pPr>
        <w:widowControl w:val="0"/>
        <w:spacing w:before="120"/>
        <w:ind w:firstLineChars="0" w:firstLine="431"/>
        <w:rPr>
          <w:rFonts w:ascii="Times New Roman" w:hAnsi="Times New Roman" w:cs="Times New Roman"/>
          <w:kern w:val="2"/>
          <w:szCs w:val="22"/>
        </w:rPr>
      </w:pPr>
    </w:p>
    <w:p w14:paraId="6A85DDE7" w14:textId="63B84A92"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542C8201" w14:textId="77777777">
        <w:tc>
          <w:tcPr>
            <w:tcW w:w="1668" w:type="dxa"/>
            <w:shd w:val="clear" w:color="auto" w:fill="auto"/>
            <w:vAlign w:val="bottom"/>
          </w:tcPr>
          <w:p w14:paraId="2C9EDE5B"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65C51110"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3D881CA7" w14:textId="77777777">
        <w:tc>
          <w:tcPr>
            <w:tcW w:w="1668" w:type="dxa"/>
            <w:shd w:val="clear" w:color="auto" w:fill="auto"/>
          </w:tcPr>
          <w:p w14:paraId="4A844F7B"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50EA09D5"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郭云钊</w:t>
            </w:r>
          </w:p>
        </w:tc>
      </w:tr>
    </w:tbl>
    <w:p w14:paraId="29BFF834" w14:textId="77777777" w:rsidR="00DE1B44" w:rsidRDefault="00DE1B44">
      <w:pPr>
        <w:widowControl w:val="0"/>
        <w:spacing w:before="120"/>
        <w:ind w:firstLineChars="0" w:firstLine="431"/>
        <w:rPr>
          <w:rFonts w:ascii="Times New Roman" w:hAnsi="Times New Roman" w:cs="Times New Roman"/>
          <w:kern w:val="2"/>
          <w:szCs w:val="22"/>
        </w:rPr>
      </w:pPr>
    </w:p>
    <w:p w14:paraId="44A1ABF2" w14:textId="77777777" w:rsidR="00DE1B44" w:rsidRDefault="00DE1B44">
      <w:pPr>
        <w:widowControl w:val="0"/>
        <w:spacing w:before="120"/>
        <w:ind w:firstLineChars="0" w:firstLine="0"/>
        <w:rPr>
          <w:rFonts w:ascii="Times New Roman" w:hAnsi="Times New Roman" w:cs="Times New Roman"/>
          <w:kern w:val="2"/>
          <w:szCs w:val="22"/>
        </w:rPr>
      </w:pPr>
    </w:p>
    <w:p w14:paraId="094E4094" w14:textId="77777777" w:rsidR="00DE1B44" w:rsidRDefault="00DE1B44">
      <w:pPr>
        <w:widowControl w:val="0"/>
        <w:spacing w:before="120"/>
        <w:ind w:firstLineChars="0" w:firstLine="431"/>
        <w:rPr>
          <w:rFonts w:ascii="Times New Roman" w:hAnsi="Times New Roman" w:cs="Times New Roman"/>
          <w:kern w:val="2"/>
          <w:szCs w:val="22"/>
        </w:rPr>
      </w:pPr>
    </w:p>
    <w:p w14:paraId="1A102331" w14:textId="77777777" w:rsidR="00DE1B44" w:rsidRDefault="00DE1B44">
      <w:pPr>
        <w:widowControl w:val="0"/>
        <w:spacing w:before="120"/>
        <w:ind w:firstLineChars="0" w:firstLine="431"/>
        <w:rPr>
          <w:rFonts w:ascii="Times New Roman" w:hAnsi="Times New Roman" w:cs="Times New Roman"/>
          <w:kern w:val="2"/>
          <w:szCs w:val="22"/>
        </w:rPr>
      </w:pPr>
    </w:p>
    <w:p w14:paraId="7822D5D4" w14:textId="77777777" w:rsidR="00DE1B44" w:rsidRDefault="00DE1B44">
      <w:pPr>
        <w:widowControl w:val="0"/>
        <w:spacing w:before="120"/>
        <w:ind w:firstLineChars="0" w:firstLine="431"/>
        <w:rPr>
          <w:rFonts w:ascii="Times New Roman" w:hAnsi="Times New Roman" w:cs="Times New Roman"/>
          <w:kern w:val="2"/>
          <w:szCs w:val="22"/>
        </w:rPr>
      </w:pPr>
    </w:p>
    <w:p w14:paraId="6B722DB5"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16507729"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27F823DB" w14:textId="77777777" w:rsidR="00DE1B44" w:rsidRDefault="00DE1B44">
      <w:pPr>
        <w:widowControl w:val="0"/>
        <w:spacing w:before="120"/>
        <w:ind w:firstLineChars="0" w:firstLine="431"/>
        <w:jc w:val="right"/>
        <w:rPr>
          <w:rFonts w:ascii="Times New Roman" w:hAnsi="Times New Roman" w:cs="Times New Roman"/>
          <w:kern w:val="2"/>
          <w:szCs w:val="22"/>
        </w:rPr>
      </w:pPr>
    </w:p>
    <w:p w14:paraId="758458BB" w14:textId="77777777" w:rsidR="00DE1B44" w:rsidRDefault="00DE1B44">
      <w:pPr>
        <w:widowControl w:val="0"/>
        <w:spacing w:before="120"/>
        <w:ind w:firstLineChars="0" w:firstLine="431"/>
        <w:jc w:val="right"/>
        <w:rPr>
          <w:rFonts w:ascii="Times New Roman" w:hAnsi="Times New Roman" w:cs="Times New Roman"/>
          <w:kern w:val="2"/>
          <w:szCs w:val="22"/>
        </w:rPr>
      </w:pPr>
    </w:p>
    <w:p w14:paraId="714CE568"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2E09C124" w14:textId="5414F1C8"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06368" behindDoc="0" locked="0" layoutInCell="1" allowOverlap="1" wp14:anchorId="4845264A" wp14:editId="58350378">
            <wp:simplePos x="0" y="0"/>
            <wp:positionH relativeFrom="column">
              <wp:posOffset>-946150</wp:posOffset>
            </wp:positionH>
            <wp:positionV relativeFrom="paragraph">
              <wp:posOffset>-158218</wp:posOffset>
            </wp:positionV>
            <wp:extent cx="7517094" cy="8250865"/>
            <wp:effectExtent l="0" t="0" r="825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13.jpg"/>
                    <pic:cNvPicPr/>
                  </pic:nvPicPr>
                  <pic:blipFill rotWithShape="1">
                    <a:blip r:embed="rId30">
                      <a:extLst>
                        <a:ext uri="{28A0092B-C50C-407E-A947-70E740481C1C}">
                          <a14:useLocalDpi xmlns:a14="http://schemas.microsoft.com/office/drawing/2010/main" val="0"/>
                        </a:ext>
                      </a:extLst>
                    </a:blip>
                    <a:srcRect t="9325" b="13690"/>
                    <a:stretch/>
                  </pic:blipFill>
                  <pic:spPr bwMode="auto">
                    <a:xfrm>
                      <a:off x="0" y="0"/>
                      <a:ext cx="7517094" cy="8250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47434D62"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7BFC7121" w14:textId="17B68032" w:rsidR="00DE1B44" w:rsidRDefault="00DE1B44">
      <w:pPr>
        <w:widowControl w:val="0"/>
        <w:spacing w:before="120"/>
        <w:ind w:firstLineChars="0" w:firstLine="431"/>
        <w:rPr>
          <w:rFonts w:ascii="Times New Roman" w:hAnsi="Times New Roman" w:cs="Times New Roman"/>
          <w:kern w:val="2"/>
          <w:szCs w:val="22"/>
        </w:rPr>
      </w:pPr>
    </w:p>
    <w:p w14:paraId="1E8CF899" w14:textId="7777777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03BA579C" w14:textId="77777777">
        <w:tc>
          <w:tcPr>
            <w:tcW w:w="1668" w:type="dxa"/>
            <w:shd w:val="clear" w:color="auto" w:fill="auto"/>
            <w:vAlign w:val="bottom"/>
          </w:tcPr>
          <w:p w14:paraId="2129D7EE"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5D4D90D6"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50A8F958" w14:textId="77777777">
        <w:tc>
          <w:tcPr>
            <w:tcW w:w="1668" w:type="dxa"/>
            <w:shd w:val="clear" w:color="auto" w:fill="auto"/>
          </w:tcPr>
          <w:p w14:paraId="1EBFA46F"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391408F9"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陈</w:t>
            </w:r>
            <w:proofErr w:type="gramStart"/>
            <w:r>
              <w:rPr>
                <w:rFonts w:ascii="Times New Roman" w:hAnsi="Times New Roman" w:cs="Times New Roman" w:hint="eastAsia"/>
                <w:color w:val="000000"/>
              </w:rPr>
              <w:t>世</w:t>
            </w:r>
            <w:proofErr w:type="gramEnd"/>
            <w:r>
              <w:rPr>
                <w:rFonts w:ascii="Times New Roman" w:hAnsi="Times New Roman" w:cs="Times New Roman" w:hint="eastAsia"/>
                <w:color w:val="000000"/>
              </w:rPr>
              <w:t>敏</w:t>
            </w:r>
          </w:p>
        </w:tc>
      </w:tr>
    </w:tbl>
    <w:p w14:paraId="7D728A58" w14:textId="77777777" w:rsidR="00DE1B44" w:rsidRDefault="00DE1B44">
      <w:pPr>
        <w:widowControl w:val="0"/>
        <w:spacing w:before="120"/>
        <w:ind w:firstLineChars="0" w:firstLine="431"/>
        <w:rPr>
          <w:rFonts w:ascii="Times New Roman" w:hAnsi="Times New Roman" w:cs="Times New Roman"/>
          <w:kern w:val="2"/>
          <w:szCs w:val="22"/>
        </w:rPr>
      </w:pPr>
    </w:p>
    <w:p w14:paraId="2E3248F5" w14:textId="77777777" w:rsidR="00DE1B44" w:rsidRDefault="00DE1B44">
      <w:pPr>
        <w:widowControl w:val="0"/>
        <w:spacing w:before="120"/>
        <w:ind w:firstLineChars="0" w:firstLine="0"/>
        <w:rPr>
          <w:rFonts w:ascii="Times New Roman" w:hAnsi="Times New Roman" w:cs="Times New Roman"/>
          <w:kern w:val="2"/>
          <w:szCs w:val="22"/>
        </w:rPr>
      </w:pPr>
    </w:p>
    <w:p w14:paraId="5A25A390" w14:textId="77777777" w:rsidR="00DE1B44" w:rsidRDefault="00DE1B44">
      <w:pPr>
        <w:widowControl w:val="0"/>
        <w:spacing w:before="120"/>
        <w:ind w:firstLineChars="0" w:firstLine="431"/>
        <w:rPr>
          <w:rFonts w:ascii="Times New Roman" w:hAnsi="Times New Roman" w:cs="Times New Roman"/>
          <w:kern w:val="2"/>
          <w:szCs w:val="22"/>
        </w:rPr>
      </w:pPr>
    </w:p>
    <w:p w14:paraId="7100ACDE" w14:textId="77777777" w:rsidR="00DE1B44" w:rsidRDefault="00DE1B44">
      <w:pPr>
        <w:widowControl w:val="0"/>
        <w:spacing w:before="120"/>
        <w:ind w:firstLineChars="0" w:firstLine="431"/>
        <w:rPr>
          <w:rFonts w:ascii="Times New Roman" w:hAnsi="Times New Roman" w:cs="Times New Roman"/>
          <w:kern w:val="2"/>
          <w:szCs w:val="22"/>
        </w:rPr>
      </w:pPr>
    </w:p>
    <w:p w14:paraId="41F4AD85" w14:textId="77777777" w:rsidR="00DE1B44" w:rsidRDefault="00DE1B44">
      <w:pPr>
        <w:widowControl w:val="0"/>
        <w:spacing w:before="120"/>
        <w:ind w:firstLineChars="0" w:firstLine="431"/>
        <w:rPr>
          <w:rFonts w:ascii="Times New Roman" w:hAnsi="Times New Roman" w:cs="Times New Roman"/>
          <w:kern w:val="2"/>
          <w:szCs w:val="22"/>
        </w:rPr>
      </w:pPr>
    </w:p>
    <w:p w14:paraId="62B19E4E"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5313121E"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1DAAE570"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4030B9AD" w14:textId="2A15D7E3"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07392" behindDoc="0" locked="0" layoutInCell="1" allowOverlap="1" wp14:anchorId="7A3F9129" wp14:editId="28E1474A">
            <wp:simplePos x="0" y="0"/>
            <wp:positionH relativeFrom="column">
              <wp:posOffset>-914223</wp:posOffset>
            </wp:positionH>
            <wp:positionV relativeFrom="paragraph">
              <wp:posOffset>-125848</wp:posOffset>
            </wp:positionV>
            <wp:extent cx="7517096" cy="8495414"/>
            <wp:effectExtent l="0" t="0" r="8255" b="127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14.jpg"/>
                    <pic:cNvPicPr/>
                  </pic:nvPicPr>
                  <pic:blipFill rotWithShape="1">
                    <a:blip r:embed="rId31">
                      <a:extLst>
                        <a:ext uri="{28A0092B-C50C-407E-A947-70E740481C1C}">
                          <a14:useLocalDpi xmlns:a14="http://schemas.microsoft.com/office/drawing/2010/main" val="0"/>
                        </a:ext>
                      </a:extLst>
                    </a:blip>
                    <a:srcRect t="9127" b="11607"/>
                    <a:stretch/>
                  </pic:blipFill>
                  <pic:spPr bwMode="auto">
                    <a:xfrm>
                      <a:off x="0" y="0"/>
                      <a:ext cx="7517096" cy="8495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28500056"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20299898" w14:textId="228035F5" w:rsidR="00DE1B44" w:rsidRDefault="00DE1B44">
      <w:pPr>
        <w:widowControl w:val="0"/>
        <w:spacing w:before="120"/>
        <w:ind w:firstLineChars="0" w:firstLine="431"/>
        <w:rPr>
          <w:rFonts w:ascii="Times New Roman" w:hAnsi="Times New Roman" w:cs="Times New Roman"/>
          <w:kern w:val="2"/>
          <w:szCs w:val="22"/>
        </w:rPr>
      </w:pPr>
    </w:p>
    <w:p w14:paraId="76CFBF48" w14:textId="7777777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36A72AE2" w14:textId="77777777">
        <w:tc>
          <w:tcPr>
            <w:tcW w:w="1668" w:type="dxa"/>
            <w:shd w:val="clear" w:color="auto" w:fill="auto"/>
            <w:vAlign w:val="bottom"/>
          </w:tcPr>
          <w:p w14:paraId="1AEA129D"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董事签字</w:t>
            </w:r>
            <w:r>
              <w:rPr>
                <w:rFonts w:ascii="Calibri" w:hAnsi="Calibri" w:cs="Times New Roman"/>
                <w:color w:val="000000"/>
                <w:szCs w:val="20"/>
              </w:rPr>
              <w:t>：</w:t>
            </w:r>
          </w:p>
        </w:tc>
        <w:tc>
          <w:tcPr>
            <w:tcW w:w="3402" w:type="dxa"/>
            <w:tcBorders>
              <w:bottom w:val="single" w:sz="4" w:space="0" w:color="auto"/>
            </w:tcBorders>
            <w:shd w:val="clear" w:color="auto" w:fill="auto"/>
          </w:tcPr>
          <w:p w14:paraId="20D8C26A"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08A5E452" w14:textId="77777777">
        <w:tc>
          <w:tcPr>
            <w:tcW w:w="1668" w:type="dxa"/>
            <w:shd w:val="clear" w:color="auto" w:fill="auto"/>
          </w:tcPr>
          <w:p w14:paraId="4624F9CA"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138FA47C"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赵旭东</w:t>
            </w:r>
          </w:p>
        </w:tc>
      </w:tr>
    </w:tbl>
    <w:p w14:paraId="5F34C4E6" w14:textId="77777777" w:rsidR="00DE1B44" w:rsidRDefault="00DE1B44">
      <w:pPr>
        <w:widowControl w:val="0"/>
        <w:spacing w:before="120"/>
        <w:ind w:firstLineChars="0" w:firstLine="431"/>
        <w:rPr>
          <w:rFonts w:ascii="Times New Roman" w:hAnsi="Times New Roman" w:cs="Times New Roman"/>
          <w:kern w:val="2"/>
          <w:szCs w:val="22"/>
        </w:rPr>
      </w:pPr>
    </w:p>
    <w:p w14:paraId="0672A4B8" w14:textId="77777777" w:rsidR="00DE1B44" w:rsidRDefault="00DE1B44">
      <w:pPr>
        <w:widowControl w:val="0"/>
        <w:spacing w:before="120"/>
        <w:ind w:firstLineChars="0" w:firstLine="0"/>
        <w:rPr>
          <w:rFonts w:ascii="Times New Roman" w:hAnsi="Times New Roman" w:cs="Times New Roman"/>
          <w:kern w:val="2"/>
          <w:szCs w:val="22"/>
        </w:rPr>
      </w:pPr>
    </w:p>
    <w:p w14:paraId="7725CF4D" w14:textId="77777777" w:rsidR="00DE1B44" w:rsidRDefault="00DE1B44">
      <w:pPr>
        <w:widowControl w:val="0"/>
        <w:spacing w:before="120"/>
        <w:ind w:firstLineChars="0" w:firstLine="431"/>
        <w:rPr>
          <w:rFonts w:ascii="Times New Roman" w:hAnsi="Times New Roman" w:cs="Times New Roman"/>
          <w:kern w:val="2"/>
          <w:szCs w:val="22"/>
        </w:rPr>
      </w:pPr>
    </w:p>
    <w:p w14:paraId="008EC07A" w14:textId="77777777" w:rsidR="00DE1B44" w:rsidRDefault="00DE1B44">
      <w:pPr>
        <w:widowControl w:val="0"/>
        <w:spacing w:before="120"/>
        <w:ind w:firstLineChars="0" w:firstLine="431"/>
        <w:rPr>
          <w:rFonts w:ascii="Times New Roman" w:hAnsi="Times New Roman" w:cs="Times New Roman"/>
          <w:kern w:val="2"/>
          <w:szCs w:val="22"/>
        </w:rPr>
      </w:pPr>
    </w:p>
    <w:p w14:paraId="7F7AB367" w14:textId="77777777" w:rsidR="00DE1B44" w:rsidRDefault="00DE1B44">
      <w:pPr>
        <w:widowControl w:val="0"/>
        <w:spacing w:before="120"/>
        <w:ind w:firstLineChars="0" w:firstLine="431"/>
        <w:rPr>
          <w:rFonts w:ascii="Times New Roman" w:hAnsi="Times New Roman" w:cs="Times New Roman"/>
          <w:kern w:val="2"/>
          <w:szCs w:val="22"/>
        </w:rPr>
      </w:pPr>
    </w:p>
    <w:p w14:paraId="21416145"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643D53D4"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1FC5DBF6"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04942E15" w14:textId="63B53AA7"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08416" behindDoc="0" locked="0" layoutInCell="1" allowOverlap="1" wp14:anchorId="3DC70C42" wp14:editId="29A9DA49">
            <wp:simplePos x="0" y="0"/>
            <wp:positionH relativeFrom="column">
              <wp:posOffset>-893135</wp:posOffset>
            </wp:positionH>
            <wp:positionV relativeFrom="paragraph">
              <wp:posOffset>-83687</wp:posOffset>
            </wp:positionV>
            <wp:extent cx="7495954" cy="8623005"/>
            <wp:effectExtent l="0" t="0" r="0" b="698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15.jpg"/>
                    <pic:cNvPicPr/>
                  </pic:nvPicPr>
                  <pic:blipFill rotWithShape="1">
                    <a:blip r:embed="rId32">
                      <a:extLst>
                        <a:ext uri="{28A0092B-C50C-407E-A947-70E740481C1C}">
                          <a14:useLocalDpi xmlns:a14="http://schemas.microsoft.com/office/drawing/2010/main" val="0"/>
                        </a:ext>
                      </a:extLst>
                    </a:blip>
                    <a:srcRect t="8435" b="11074"/>
                    <a:stretch/>
                  </pic:blipFill>
                  <pic:spPr bwMode="auto">
                    <a:xfrm>
                      <a:off x="0" y="0"/>
                      <a:ext cx="7498800" cy="8626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43B89A92"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1C0E9CB2" w14:textId="77777777" w:rsidR="00DE1B44" w:rsidRDefault="00DE1B44">
      <w:pPr>
        <w:widowControl w:val="0"/>
        <w:spacing w:before="120"/>
        <w:ind w:firstLineChars="0" w:firstLine="431"/>
        <w:rPr>
          <w:rFonts w:ascii="Times New Roman" w:hAnsi="Times New Roman" w:cs="Times New Roman"/>
          <w:kern w:val="2"/>
          <w:szCs w:val="22"/>
        </w:rPr>
      </w:pPr>
    </w:p>
    <w:p w14:paraId="779E2157" w14:textId="1C418E15"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7CCB218E" w14:textId="77777777">
        <w:tc>
          <w:tcPr>
            <w:tcW w:w="1668" w:type="dxa"/>
            <w:shd w:val="clear" w:color="auto" w:fill="auto"/>
            <w:vAlign w:val="bottom"/>
          </w:tcPr>
          <w:p w14:paraId="08720E28"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监事签字</w:t>
            </w:r>
            <w:r>
              <w:rPr>
                <w:rFonts w:ascii="Calibri" w:hAnsi="Calibri" w:cs="Times New Roman"/>
                <w:color w:val="000000"/>
                <w:szCs w:val="20"/>
              </w:rPr>
              <w:t>：</w:t>
            </w:r>
          </w:p>
        </w:tc>
        <w:tc>
          <w:tcPr>
            <w:tcW w:w="3402" w:type="dxa"/>
            <w:tcBorders>
              <w:bottom w:val="single" w:sz="4" w:space="0" w:color="auto"/>
            </w:tcBorders>
            <w:shd w:val="clear" w:color="auto" w:fill="auto"/>
          </w:tcPr>
          <w:p w14:paraId="1A95B846"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59679AB6" w14:textId="77777777">
        <w:tc>
          <w:tcPr>
            <w:tcW w:w="1668" w:type="dxa"/>
            <w:shd w:val="clear" w:color="auto" w:fill="auto"/>
          </w:tcPr>
          <w:p w14:paraId="17D33368"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1C67E923"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罗玉冰</w:t>
            </w:r>
          </w:p>
        </w:tc>
      </w:tr>
    </w:tbl>
    <w:p w14:paraId="76A71E64" w14:textId="77777777" w:rsidR="00DE1B44" w:rsidRDefault="00DE1B44">
      <w:pPr>
        <w:widowControl w:val="0"/>
        <w:spacing w:before="120"/>
        <w:ind w:firstLineChars="0" w:firstLine="0"/>
        <w:rPr>
          <w:rFonts w:ascii="Times New Roman" w:hAnsi="Times New Roman" w:cs="Times New Roman"/>
          <w:kern w:val="2"/>
          <w:szCs w:val="22"/>
        </w:rPr>
      </w:pPr>
    </w:p>
    <w:p w14:paraId="0445E036" w14:textId="77777777" w:rsidR="00DE1B44" w:rsidRDefault="00DE1B44">
      <w:pPr>
        <w:widowControl w:val="0"/>
        <w:spacing w:before="120"/>
        <w:ind w:firstLineChars="0" w:firstLine="0"/>
        <w:rPr>
          <w:rFonts w:ascii="Times New Roman" w:hAnsi="Times New Roman" w:cs="Times New Roman"/>
          <w:kern w:val="2"/>
          <w:szCs w:val="22"/>
        </w:rPr>
      </w:pPr>
    </w:p>
    <w:p w14:paraId="07B73117" w14:textId="121E2B71" w:rsidR="00DE1B44" w:rsidRDefault="00DE1B44">
      <w:pPr>
        <w:widowControl w:val="0"/>
        <w:spacing w:before="120"/>
        <w:ind w:firstLineChars="0" w:firstLine="431"/>
        <w:rPr>
          <w:rFonts w:ascii="Times New Roman" w:hAnsi="Times New Roman" w:cs="Times New Roman"/>
          <w:kern w:val="2"/>
          <w:szCs w:val="22"/>
        </w:rPr>
      </w:pPr>
    </w:p>
    <w:p w14:paraId="19E2FF0C" w14:textId="77777777" w:rsidR="00DE1B44" w:rsidRDefault="00DE1B44">
      <w:pPr>
        <w:widowControl w:val="0"/>
        <w:spacing w:before="120"/>
        <w:ind w:firstLineChars="0" w:firstLine="431"/>
        <w:rPr>
          <w:rFonts w:ascii="Times New Roman" w:hAnsi="Times New Roman" w:cs="Times New Roman"/>
          <w:kern w:val="2"/>
          <w:szCs w:val="22"/>
        </w:rPr>
      </w:pPr>
    </w:p>
    <w:p w14:paraId="345F31F9" w14:textId="77777777" w:rsidR="00DE1B44" w:rsidRDefault="00DE1B44">
      <w:pPr>
        <w:widowControl w:val="0"/>
        <w:spacing w:before="120"/>
        <w:ind w:firstLineChars="0" w:firstLine="431"/>
        <w:rPr>
          <w:rFonts w:ascii="Times New Roman" w:hAnsi="Times New Roman" w:cs="Times New Roman"/>
          <w:kern w:val="2"/>
          <w:szCs w:val="22"/>
        </w:rPr>
      </w:pPr>
    </w:p>
    <w:p w14:paraId="430CE34A"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607872CF"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07D962BE" w14:textId="77777777" w:rsidR="00DE1B44" w:rsidRDefault="00DE1B44">
      <w:pPr>
        <w:widowControl w:val="0"/>
        <w:spacing w:before="120"/>
        <w:ind w:firstLineChars="0" w:firstLine="431"/>
        <w:jc w:val="right"/>
        <w:rPr>
          <w:rFonts w:ascii="Times New Roman" w:hAnsi="Times New Roman" w:cs="Times New Roman"/>
          <w:kern w:val="2"/>
          <w:szCs w:val="22"/>
        </w:rPr>
      </w:pPr>
    </w:p>
    <w:p w14:paraId="39ADC9F2"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5B292839" w14:textId="3CAA4B5D"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09440" behindDoc="0" locked="0" layoutInCell="1" allowOverlap="1" wp14:anchorId="15857F81" wp14:editId="3906C696">
            <wp:simplePos x="0" y="0"/>
            <wp:positionH relativeFrom="column">
              <wp:posOffset>-892810</wp:posOffset>
            </wp:positionH>
            <wp:positionV relativeFrom="paragraph">
              <wp:posOffset>-157760</wp:posOffset>
            </wp:positionV>
            <wp:extent cx="7495954" cy="8580474"/>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16.jpg"/>
                    <pic:cNvPicPr/>
                  </pic:nvPicPr>
                  <pic:blipFill rotWithShape="1">
                    <a:blip r:embed="rId33">
                      <a:extLst>
                        <a:ext uri="{28A0092B-C50C-407E-A947-70E740481C1C}">
                          <a14:useLocalDpi xmlns:a14="http://schemas.microsoft.com/office/drawing/2010/main" val="0"/>
                        </a:ext>
                      </a:extLst>
                    </a:blip>
                    <a:srcRect t="8848" b="10925"/>
                    <a:stretch/>
                  </pic:blipFill>
                  <pic:spPr bwMode="auto">
                    <a:xfrm>
                      <a:off x="0" y="0"/>
                      <a:ext cx="7495954" cy="85804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54F8EE58"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6CDC856D" w14:textId="4B3382D2" w:rsidR="00DE1B44" w:rsidRDefault="00DE1B44">
      <w:pPr>
        <w:widowControl w:val="0"/>
        <w:spacing w:before="120"/>
        <w:ind w:firstLineChars="0" w:firstLine="431"/>
        <w:rPr>
          <w:rFonts w:ascii="Times New Roman" w:hAnsi="Times New Roman" w:cs="Times New Roman"/>
          <w:kern w:val="2"/>
          <w:szCs w:val="22"/>
        </w:rPr>
      </w:pPr>
    </w:p>
    <w:p w14:paraId="62F7902B" w14:textId="7777777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608A7242" w14:textId="77777777">
        <w:tc>
          <w:tcPr>
            <w:tcW w:w="1668" w:type="dxa"/>
            <w:shd w:val="clear" w:color="auto" w:fill="auto"/>
            <w:vAlign w:val="bottom"/>
          </w:tcPr>
          <w:p w14:paraId="4E62BF46"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监事签字</w:t>
            </w:r>
            <w:r>
              <w:rPr>
                <w:rFonts w:ascii="Calibri" w:hAnsi="Calibri" w:cs="Times New Roman"/>
                <w:color w:val="000000"/>
                <w:szCs w:val="20"/>
              </w:rPr>
              <w:t>：</w:t>
            </w:r>
          </w:p>
        </w:tc>
        <w:tc>
          <w:tcPr>
            <w:tcW w:w="3402" w:type="dxa"/>
            <w:tcBorders>
              <w:bottom w:val="single" w:sz="4" w:space="0" w:color="auto"/>
            </w:tcBorders>
            <w:shd w:val="clear" w:color="auto" w:fill="auto"/>
          </w:tcPr>
          <w:p w14:paraId="3D50D1B9"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27F57687" w14:textId="77777777">
        <w:tc>
          <w:tcPr>
            <w:tcW w:w="1668" w:type="dxa"/>
            <w:shd w:val="clear" w:color="auto" w:fill="auto"/>
          </w:tcPr>
          <w:p w14:paraId="3A4E35D4"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6573D669"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陈能</w:t>
            </w:r>
          </w:p>
        </w:tc>
      </w:tr>
    </w:tbl>
    <w:p w14:paraId="0ED0E09A" w14:textId="77777777" w:rsidR="00DE1B44" w:rsidRDefault="00DE1B44">
      <w:pPr>
        <w:widowControl w:val="0"/>
        <w:spacing w:before="120"/>
        <w:ind w:firstLineChars="0" w:firstLine="0"/>
        <w:rPr>
          <w:rFonts w:ascii="Times New Roman" w:hAnsi="Times New Roman" w:cs="Times New Roman"/>
          <w:kern w:val="2"/>
          <w:szCs w:val="22"/>
        </w:rPr>
      </w:pPr>
    </w:p>
    <w:p w14:paraId="7E453953" w14:textId="77777777" w:rsidR="00DE1B44" w:rsidRDefault="00DE1B44">
      <w:pPr>
        <w:widowControl w:val="0"/>
        <w:spacing w:before="120"/>
        <w:ind w:firstLineChars="0" w:firstLine="0"/>
        <w:rPr>
          <w:rFonts w:ascii="Times New Roman" w:hAnsi="Times New Roman" w:cs="Times New Roman"/>
          <w:kern w:val="2"/>
          <w:szCs w:val="22"/>
        </w:rPr>
      </w:pPr>
    </w:p>
    <w:p w14:paraId="40B52CFF" w14:textId="77777777" w:rsidR="00DE1B44" w:rsidRDefault="00DE1B44">
      <w:pPr>
        <w:widowControl w:val="0"/>
        <w:spacing w:before="120"/>
        <w:ind w:firstLineChars="0" w:firstLine="431"/>
        <w:rPr>
          <w:rFonts w:ascii="Times New Roman" w:hAnsi="Times New Roman" w:cs="Times New Roman"/>
          <w:kern w:val="2"/>
          <w:szCs w:val="22"/>
        </w:rPr>
      </w:pPr>
    </w:p>
    <w:p w14:paraId="018C189E" w14:textId="77777777" w:rsidR="00DE1B44" w:rsidRDefault="00DE1B44">
      <w:pPr>
        <w:widowControl w:val="0"/>
        <w:spacing w:before="120"/>
        <w:ind w:firstLineChars="0" w:firstLine="431"/>
        <w:rPr>
          <w:rFonts w:ascii="Times New Roman" w:hAnsi="Times New Roman" w:cs="Times New Roman"/>
          <w:kern w:val="2"/>
          <w:szCs w:val="22"/>
        </w:rPr>
      </w:pPr>
    </w:p>
    <w:p w14:paraId="7699210A" w14:textId="77777777" w:rsidR="00DE1B44" w:rsidRDefault="00DE1B44">
      <w:pPr>
        <w:widowControl w:val="0"/>
        <w:spacing w:before="120"/>
        <w:ind w:firstLineChars="0" w:firstLine="431"/>
        <w:rPr>
          <w:rFonts w:ascii="Times New Roman" w:hAnsi="Times New Roman" w:cs="Times New Roman"/>
          <w:kern w:val="2"/>
          <w:szCs w:val="22"/>
        </w:rPr>
      </w:pPr>
    </w:p>
    <w:p w14:paraId="6B956CF3"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5E819672"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2C756A1C"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2F746DB8" w14:textId="3326483D"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10464" behindDoc="0" locked="0" layoutInCell="1" allowOverlap="1" wp14:anchorId="0CC0ACB5" wp14:editId="03B89F32">
            <wp:simplePos x="0" y="0"/>
            <wp:positionH relativeFrom="column">
              <wp:posOffset>-924560</wp:posOffset>
            </wp:positionH>
            <wp:positionV relativeFrom="paragraph">
              <wp:posOffset>-189688</wp:posOffset>
            </wp:positionV>
            <wp:extent cx="7517095" cy="8739963"/>
            <wp:effectExtent l="0" t="0" r="8255" b="444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17.jpg"/>
                    <pic:cNvPicPr/>
                  </pic:nvPicPr>
                  <pic:blipFill rotWithShape="1">
                    <a:blip r:embed="rId34">
                      <a:extLst>
                        <a:ext uri="{28A0092B-C50C-407E-A947-70E740481C1C}">
                          <a14:useLocalDpi xmlns:a14="http://schemas.microsoft.com/office/drawing/2010/main" val="0"/>
                        </a:ext>
                      </a:extLst>
                    </a:blip>
                    <a:srcRect l="2" t="8035" r="-2" b="10417"/>
                    <a:stretch/>
                  </pic:blipFill>
                  <pic:spPr bwMode="auto">
                    <a:xfrm>
                      <a:off x="0" y="0"/>
                      <a:ext cx="7517095" cy="87399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20A1F281"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7FE0FD5A" w14:textId="77777777" w:rsidR="00DE1B44" w:rsidRDefault="00DE1B44">
      <w:pPr>
        <w:widowControl w:val="0"/>
        <w:spacing w:before="120"/>
        <w:ind w:firstLineChars="0" w:firstLine="431"/>
        <w:rPr>
          <w:rFonts w:ascii="Times New Roman" w:hAnsi="Times New Roman" w:cs="Times New Roman"/>
          <w:kern w:val="2"/>
          <w:szCs w:val="22"/>
        </w:rPr>
      </w:pPr>
    </w:p>
    <w:p w14:paraId="75645243" w14:textId="6F157BE1"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63801DBA" w14:textId="77777777">
        <w:tc>
          <w:tcPr>
            <w:tcW w:w="1668" w:type="dxa"/>
            <w:shd w:val="clear" w:color="auto" w:fill="auto"/>
            <w:vAlign w:val="bottom"/>
          </w:tcPr>
          <w:p w14:paraId="24B4DC30"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监事签字</w:t>
            </w:r>
            <w:r>
              <w:rPr>
                <w:rFonts w:ascii="Calibri" w:hAnsi="Calibri" w:cs="Times New Roman"/>
                <w:color w:val="000000"/>
                <w:szCs w:val="20"/>
              </w:rPr>
              <w:t>：</w:t>
            </w:r>
          </w:p>
        </w:tc>
        <w:tc>
          <w:tcPr>
            <w:tcW w:w="3402" w:type="dxa"/>
            <w:tcBorders>
              <w:bottom w:val="single" w:sz="4" w:space="0" w:color="auto"/>
            </w:tcBorders>
            <w:shd w:val="clear" w:color="auto" w:fill="auto"/>
          </w:tcPr>
          <w:p w14:paraId="496FDD0D"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45B44D84" w14:textId="77777777">
        <w:tc>
          <w:tcPr>
            <w:tcW w:w="1668" w:type="dxa"/>
            <w:shd w:val="clear" w:color="auto" w:fill="auto"/>
          </w:tcPr>
          <w:p w14:paraId="450158E3"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5FBBE104"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陈继友</w:t>
            </w:r>
          </w:p>
        </w:tc>
      </w:tr>
    </w:tbl>
    <w:p w14:paraId="310E8C7B" w14:textId="77777777" w:rsidR="00DE1B44" w:rsidRDefault="00DE1B44">
      <w:pPr>
        <w:widowControl w:val="0"/>
        <w:spacing w:before="120"/>
        <w:ind w:firstLineChars="0" w:firstLine="0"/>
        <w:rPr>
          <w:rFonts w:ascii="Times New Roman" w:hAnsi="Times New Roman" w:cs="Times New Roman"/>
          <w:kern w:val="2"/>
          <w:szCs w:val="22"/>
        </w:rPr>
      </w:pPr>
    </w:p>
    <w:p w14:paraId="1630281F" w14:textId="77777777" w:rsidR="00DE1B44" w:rsidRDefault="00DE1B44">
      <w:pPr>
        <w:widowControl w:val="0"/>
        <w:spacing w:before="120"/>
        <w:ind w:firstLineChars="0" w:firstLine="0"/>
        <w:rPr>
          <w:rFonts w:ascii="Times New Roman" w:hAnsi="Times New Roman" w:cs="Times New Roman"/>
          <w:kern w:val="2"/>
          <w:szCs w:val="22"/>
        </w:rPr>
      </w:pPr>
    </w:p>
    <w:p w14:paraId="507FF425" w14:textId="77777777" w:rsidR="00DE1B44" w:rsidRDefault="00DE1B44">
      <w:pPr>
        <w:widowControl w:val="0"/>
        <w:spacing w:before="120"/>
        <w:ind w:firstLineChars="0" w:firstLine="431"/>
        <w:rPr>
          <w:rFonts w:ascii="Times New Roman" w:hAnsi="Times New Roman" w:cs="Times New Roman"/>
          <w:kern w:val="2"/>
          <w:szCs w:val="22"/>
        </w:rPr>
      </w:pPr>
    </w:p>
    <w:p w14:paraId="57C602D6" w14:textId="77777777" w:rsidR="00DE1B44" w:rsidRDefault="00DE1B44">
      <w:pPr>
        <w:widowControl w:val="0"/>
        <w:spacing w:before="120"/>
        <w:ind w:firstLineChars="0" w:firstLine="431"/>
        <w:rPr>
          <w:rFonts w:ascii="Times New Roman" w:hAnsi="Times New Roman" w:cs="Times New Roman"/>
          <w:kern w:val="2"/>
          <w:szCs w:val="22"/>
        </w:rPr>
      </w:pPr>
    </w:p>
    <w:p w14:paraId="6267ABF3" w14:textId="77777777" w:rsidR="00DE1B44" w:rsidRDefault="00DE1B44">
      <w:pPr>
        <w:widowControl w:val="0"/>
        <w:spacing w:before="120"/>
        <w:ind w:firstLineChars="0" w:firstLine="431"/>
        <w:rPr>
          <w:rFonts w:ascii="Times New Roman" w:hAnsi="Times New Roman" w:cs="Times New Roman"/>
          <w:kern w:val="2"/>
          <w:szCs w:val="22"/>
        </w:rPr>
      </w:pPr>
    </w:p>
    <w:p w14:paraId="3E3C6BCF"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2F00B892"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49B580BF"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5318F2B5" w14:textId="566B8434"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11488" behindDoc="0" locked="0" layoutInCell="1" allowOverlap="1" wp14:anchorId="0D25037D" wp14:editId="75BB9B0D">
            <wp:simplePos x="0" y="0"/>
            <wp:positionH relativeFrom="column">
              <wp:posOffset>-870585</wp:posOffset>
            </wp:positionH>
            <wp:positionV relativeFrom="paragraph">
              <wp:posOffset>-74295</wp:posOffset>
            </wp:positionV>
            <wp:extent cx="7462520" cy="8526780"/>
            <wp:effectExtent l="0" t="0" r="5080" b="762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18.jpg"/>
                    <pic:cNvPicPr/>
                  </pic:nvPicPr>
                  <pic:blipFill rotWithShape="1">
                    <a:blip r:embed="rId35">
                      <a:extLst>
                        <a:ext uri="{28A0092B-C50C-407E-A947-70E740481C1C}">
                          <a14:useLocalDpi xmlns:a14="http://schemas.microsoft.com/office/drawing/2010/main" val="0"/>
                        </a:ext>
                      </a:extLst>
                    </a:blip>
                    <a:srcRect t="9623" b="10813"/>
                    <a:stretch/>
                  </pic:blipFill>
                  <pic:spPr bwMode="auto">
                    <a:xfrm>
                      <a:off x="0" y="0"/>
                      <a:ext cx="7462520" cy="852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7F23E2FD"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1EC810ED" w14:textId="77777777" w:rsidR="00DE1B44" w:rsidRDefault="00DE1B44">
      <w:pPr>
        <w:widowControl w:val="0"/>
        <w:spacing w:before="120"/>
        <w:ind w:firstLineChars="0" w:firstLine="431"/>
        <w:rPr>
          <w:rFonts w:ascii="Times New Roman" w:hAnsi="Times New Roman" w:cs="Times New Roman"/>
          <w:kern w:val="2"/>
          <w:szCs w:val="22"/>
        </w:rPr>
      </w:pPr>
    </w:p>
    <w:p w14:paraId="7C3E283D" w14:textId="641AAFC0"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797591B1" w14:textId="77777777">
        <w:tc>
          <w:tcPr>
            <w:tcW w:w="1668" w:type="dxa"/>
            <w:shd w:val="clear" w:color="auto" w:fill="auto"/>
            <w:vAlign w:val="bottom"/>
          </w:tcPr>
          <w:p w14:paraId="779AABAF"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监事签字</w:t>
            </w:r>
            <w:r>
              <w:rPr>
                <w:rFonts w:ascii="Calibri" w:hAnsi="Calibri" w:cs="Times New Roman"/>
                <w:color w:val="000000"/>
                <w:szCs w:val="20"/>
              </w:rPr>
              <w:t>：</w:t>
            </w:r>
          </w:p>
        </w:tc>
        <w:tc>
          <w:tcPr>
            <w:tcW w:w="3402" w:type="dxa"/>
            <w:tcBorders>
              <w:bottom w:val="single" w:sz="4" w:space="0" w:color="auto"/>
            </w:tcBorders>
            <w:shd w:val="clear" w:color="auto" w:fill="auto"/>
          </w:tcPr>
          <w:p w14:paraId="03B95EC6"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775337A0" w14:textId="77777777">
        <w:tc>
          <w:tcPr>
            <w:tcW w:w="1668" w:type="dxa"/>
            <w:shd w:val="clear" w:color="auto" w:fill="auto"/>
          </w:tcPr>
          <w:p w14:paraId="2E63233F"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2C4BE9C0"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proofErr w:type="gramStart"/>
            <w:r>
              <w:rPr>
                <w:rFonts w:ascii="Times New Roman" w:hAnsi="Times New Roman" w:cs="Times New Roman" w:hint="eastAsia"/>
                <w:color w:val="000000"/>
              </w:rPr>
              <w:t>黎文靖</w:t>
            </w:r>
            <w:proofErr w:type="gramEnd"/>
          </w:p>
        </w:tc>
      </w:tr>
    </w:tbl>
    <w:p w14:paraId="4E89DCE6" w14:textId="663AE6DB" w:rsidR="00DE1B44" w:rsidRDefault="00DE1B44">
      <w:pPr>
        <w:widowControl w:val="0"/>
        <w:spacing w:before="120"/>
        <w:ind w:firstLineChars="0" w:firstLine="0"/>
        <w:rPr>
          <w:rFonts w:ascii="Times New Roman" w:hAnsi="Times New Roman" w:cs="Times New Roman"/>
          <w:kern w:val="2"/>
          <w:szCs w:val="22"/>
        </w:rPr>
      </w:pPr>
    </w:p>
    <w:p w14:paraId="19EC536D" w14:textId="285816B2" w:rsidR="00DE1B44" w:rsidRDefault="00DE1B44">
      <w:pPr>
        <w:widowControl w:val="0"/>
        <w:spacing w:before="120"/>
        <w:ind w:firstLineChars="0" w:firstLine="0"/>
        <w:rPr>
          <w:rFonts w:ascii="Times New Roman" w:hAnsi="Times New Roman" w:cs="Times New Roman"/>
          <w:kern w:val="2"/>
          <w:szCs w:val="22"/>
        </w:rPr>
      </w:pPr>
    </w:p>
    <w:p w14:paraId="1A493758" w14:textId="77777777" w:rsidR="00DE1B44" w:rsidRDefault="00DE1B44">
      <w:pPr>
        <w:widowControl w:val="0"/>
        <w:spacing w:before="120"/>
        <w:ind w:firstLineChars="0" w:firstLine="431"/>
        <w:rPr>
          <w:rFonts w:ascii="Times New Roman" w:hAnsi="Times New Roman" w:cs="Times New Roman"/>
          <w:kern w:val="2"/>
          <w:szCs w:val="22"/>
        </w:rPr>
      </w:pPr>
    </w:p>
    <w:p w14:paraId="05DCEE09" w14:textId="77777777" w:rsidR="00DE1B44" w:rsidRDefault="00DE1B44">
      <w:pPr>
        <w:widowControl w:val="0"/>
        <w:spacing w:before="120"/>
        <w:ind w:firstLineChars="0" w:firstLine="431"/>
        <w:rPr>
          <w:rFonts w:ascii="Times New Roman" w:hAnsi="Times New Roman" w:cs="Times New Roman"/>
          <w:kern w:val="2"/>
          <w:szCs w:val="22"/>
        </w:rPr>
      </w:pPr>
    </w:p>
    <w:p w14:paraId="07A47231" w14:textId="77777777" w:rsidR="00DE1B44" w:rsidRDefault="00DE1B44">
      <w:pPr>
        <w:widowControl w:val="0"/>
        <w:spacing w:before="120"/>
        <w:ind w:firstLineChars="0" w:firstLine="431"/>
        <w:rPr>
          <w:rFonts w:ascii="Times New Roman" w:hAnsi="Times New Roman" w:cs="Times New Roman"/>
          <w:kern w:val="2"/>
          <w:szCs w:val="22"/>
        </w:rPr>
      </w:pPr>
    </w:p>
    <w:p w14:paraId="4ABD67A4"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5F3DCE00"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6114C484"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74C3F915" w14:textId="3AED5962" w:rsidR="00DE1B44" w:rsidRDefault="00C74863" w:rsidP="00B35014">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12512" behindDoc="0" locked="0" layoutInCell="1" allowOverlap="1" wp14:anchorId="16419D45" wp14:editId="1AFDB24C">
            <wp:simplePos x="0" y="0"/>
            <wp:positionH relativeFrom="column">
              <wp:posOffset>-903767</wp:posOffset>
            </wp:positionH>
            <wp:positionV relativeFrom="paragraph">
              <wp:posOffset>43904</wp:posOffset>
            </wp:positionV>
            <wp:extent cx="7495953" cy="8516679"/>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19.jpg"/>
                    <pic:cNvPicPr/>
                  </pic:nvPicPr>
                  <pic:blipFill rotWithShape="1">
                    <a:blip r:embed="rId36">
                      <a:extLst>
                        <a:ext uri="{28A0092B-C50C-407E-A947-70E740481C1C}">
                          <a14:useLocalDpi xmlns:a14="http://schemas.microsoft.com/office/drawing/2010/main" val="0"/>
                        </a:ext>
                      </a:extLst>
                    </a:blip>
                    <a:srcRect t="9726" b="10776"/>
                    <a:stretch/>
                  </pic:blipFill>
                  <pic:spPr bwMode="auto">
                    <a:xfrm>
                      <a:off x="0" y="0"/>
                      <a:ext cx="7498800" cy="8519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1D378182"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75701AD6" w14:textId="2864E8DA" w:rsidR="00DE1B44" w:rsidRDefault="00DE1B44">
      <w:pPr>
        <w:widowControl w:val="0"/>
        <w:spacing w:before="120"/>
        <w:ind w:firstLineChars="0" w:firstLine="431"/>
        <w:rPr>
          <w:rFonts w:ascii="Times New Roman" w:hAnsi="Times New Roman" w:cs="Times New Roman"/>
          <w:kern w:val="2"/>
          <w:szCs w:val="22"/>
        </w:rPr>
      </w:pPr>
    </w:p>
    <w:p w14:paraId="68C26FF0" w14:textId="7777777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00ED3931" w14:textId="77777777">
        <w:tc>
          <w:tcPr>
            <w:tcW w:w="1668" w:type="dxa"/>
            <w:shd w:val="clear" w:color="auto" w:fill="auto"/>
            <w:vAlign w:val="bottom"/>
          </w:tcPr>
          <w:p w14:paraId="064D2F1F"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监事签字</w:t>
            </w:r>
            <w:r>
              <w:rPr>
                <w:rFonts w:ascii="Calibri" w:hAnsi="Calibri" w:cs="Times New Roman"/>
                <w:color w:val="000000"/>
                <w:szCs w:val="20"/>
              </w:rPr>
              <w:t>：</w:t>
            </w:r>
          </w:p>
        </w:tc>
        <w:tc>
          <w:tcPr>
            <w:tcW w:w="3402" w:type="dxa"/>
            <w:tcBorders>
              <w:bottom w:val="single" w:sz="4" w:space="0" w:color="auto"/>
            </w:tcBorders>
            <w:shd w:val="clear" w:color="auto" w:fill="auto"/>
          </w:tcPr>
          <w:p w14:paraId="5A155F13"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781C2D23" w14:textId="77777777">
        <w:tc>
          <w:tcPr>
            <w:tcW w:w="1668" w:type="dxa"/>
            <w:shd w:val="clear" w:color="auto" w:fill="auto"/>
          </w:tcPr>
          <w:p w14:paraId="27B7C5C0"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502A0C06"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proofErr w:type="gramStart"/>
            <w:r>
              <w:rPr>
                <w:rFonts w:ascii="Times New Roman" w:hAnsi="Times New Roman" w:cs="Times New Roman" w:hint="eastAsia"/>
                <w:color w:val="000000"/>
              </w:rPr>
              <w:t>杨克晶</w:t>
            </w:r>
            <w:proofErr w:type="gramEnd"/>
          </w:p>
        </w:tc>
      </w:tr>
    </w:tbl>
    <w:p w14:paraId="6BFC8FE6" w14:textId="77777777" w:rsidR="00DE1B44" w:rsidRDefault="00DE1B44">
      <w:pPr>
        <w:widowControl w:val="0"/>
        <w:spacing w:before="120"/>
        <w:ind w:firstLineChars="0" w:firstLine="0"/>
        <w:rPr>
          <w:rFonts w:ascii="Times New Roman" w:hAnsi="Times New Roman" w:cs="Times New Roman"/>
          <w:kern w:val="2"/>
          <w:szCs w:val="22"/>
        </w:rPr>
      </w:pPr>
    </w:p>
    <w:p w14:paraId="532951E1" w14:textId="77777777" w:rsidR="00DE1B44" w:rsidRDefault="00DE1B44">
      <w:pPr>
        <w:widowControl w:val="0"/>
        <w:spacing w:before="120"/>
        <w:ind w:firstLineChars="0" w:firstLine="0"/>
        <w:rPr>
          <w:rFonts w:ascii="Times New Roman" w:hAnsi="Times New Roman" w:cs="Times New Roman"/>
          <w:kern w:val="2"/>
          <w:szCs w:val="22"/>
        </w:rPr>
      </w:pPr>
    </w:p>
    <w:p w14:paraId="73371128" w14:textId="77777777" w:rsidR="00DE1B44" w:rsidRDefault="00DE1B44">
      <w:pPr>
        <w:widowControl w:val="0"/>
        <w:spacing w:before="120"/>
        <w:ind w:firstLineChars="0" w:firstLine="431"/>
        <w:rPr>
          <w:rFonts w:ascii="Times New Roman" w:hAnsi="Times New Roman" w:cs="Times New Roman"/>
          <w:kern w:val="2"/>
          <w:szCs w:val="22"/>
        </w:rPr>
      </w:pPr>
    </w:p>
    <w:p w14:paraId="229A255E" w14:textId="77777777" w:rsidR="00DE1B44" w:rsidRDefault="00DE1B44">
      <w:pPr>
        <w:widowControl w:val="0"/>
        <w:spacing w:before="120"/>
        <w:ind w:firstLineChars="0" w:firstLine="431"/>
        <w:rPr>
          <w:rFonts w:ascii="Times New Roman" w:hAnsi="Times New Roman" w:cs="Times New Roman"/>
          <w:kern w:val="2"/>
          <w:szCs w:val="22"/>
        </w:rPr>
      </w:pPr>
    </w:p>
    <w:p w14:paraId="0E98481D" w14:textId="77777777" w:rsidR="00DE1B44" w:rsidRDefault="00DE1B44">
      <w:pPr>
        <w:widowControl w:val="0"/>
        <w:spacing w:before="120"/>
        <w:ind w:firstLineChars="0" w:firstLine="431"/>
        <w:rPr>
          <w:rFonts w:ascii="Times New Roman" w:hAnsi="Times New Roman" w:cs="Times New Roman"/>
          <w:kern w:val="2"/>
          <w:szCs w:val="22"/>
        </w:rPr>
      </w:pPr>
    </w:p>
    <w:p w14:paraId="03134686"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158528D2"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307BC53A"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174A10BF" w14:textId="5156C05B" w:rsidR="00DE1B44" w:rsidRDefault="00C74863" w:rsidP="009E3DFF">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13536" behindDoc="0" locked="0" layoutInCell="1" allowOverlap="1" wp14:anchorId="4389BC99" wp14:editId="74EC1351">
            <wp:simplePos x="0" y="0"/>
            <wp:positionH relativeFrom="column">
              <wp:posOffset>-903605</wp:posOffset>
            </wp:positionH>
            <wp:positionV relativeFrom="paragraph">
              <wp:posOffset>-94896</wp:posOffset>
            </wp:positionV>
            <wp:extent cx="7517095" cy="8580474"/>
            <wp:effectExtent l="0" t="0" r="825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20.jpg"/>
                    <pic:cNvPicPr/>
                  </pic:nvPicPr>
                  <pic:blipFill rotWithShape="1">
                    <a:blip r:embed="rId37">
                      <a:extLst>
                        <a:ext uri="{28A0092B-C50C-407E-A947-70E740481C1C}">
                          <a14:useLocalDpi xmlns:a14="http://schemas.microsoft.com/office/drawing/2010/main" val="0"/>
                        </a:ext>
                      </a:extLst>
                    </a:blip>
                    <a:srcRect t="9225" b="10714"/>
                    <a:stretch/>
                  </pic:blipFill>
                  <pic:spPr bwMode="auto">
                    <a:xfrm>
                      <a:off x="0" y="0"/>
                      <a:ext cx="7517095" cy="85804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0F713E97"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067ADA1C" w14:textId="77777777" w:rsidR="00DE1B44" w:rsidRDefault="00DE1B44">
      <w:pPr>
        <w:widowControl w:val="0"/>
        <w:spacing w:before="120"/>
        <w:ind w:firstLineChars="0" w:firstLine="431"/>
        <w:rPr>
          <w:rFonts w:ascii="Times New Roman" w:hAnsi="Times New Roman" w:cs="Times New Roman"/>
          <w:kern w:val="2"/>
          <w:szCs w:val="22"/>
        </w:rPr>
      </w:pPr>
    </w:p>
    <w:p w14:paraId="320E20F1" w14:textId="5EE2C6CB"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31B63AFD" w14:textId="77777777">
        <w:tc>
          <w:tcPr>
            <w:tcW w:w="1668" w:type="dxa"/>
            <w:shd w:val="clear" w:color="auto" w:fill="auto"/>
            <w:vAlign w:val="bottom"/>
          </w:tcPr>
          <w:p w14:paraId="63127CF0"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监事签字</w:t>
            </w:r>
            <w:r>
              <w:rPr>
                <w:rFonts w:ascii="Calibri" w:hAnsi="Calibri" w:cs="Times New Roman"/>
                <w:color w:val="000000"/>
                <w:szCs w:val="20"/>
              </w:rPr>
              <w:t>：</w:t>
            </w:r>
          </w:p>
        </w:tc>
        <w:tc>
          <w:tcPr>
            <w:tcW w:w="3402" w:type="dxa"/>
            <w:tcBorders>
              <w:bottom w:val="single" w:sz="4" w:space="0" w:color="auto"/>
            </w:tcBorders>
            <w:shd w:val="clear" w:color="auto" w:fill="auto"/>
          </w:tcPr>
          <w:p w14:paraId="574FF6A7"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31B54A9C" w14:textId="77777777">
        <w:tc>
          <w:tcPr>
            <w:tcW w:w="1668" w:type="dxa"/>
            <w:shd w:val="clear" w:color="auto" w:fill="auto"/>
          </w:tcPr>
          <w:p w14:paraId="3701B8FA"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58222A15"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proofErr w:type="gramStart"/>
            <w:r>
              <w:rPr>
                <w:rFonts w:ascii="Times New Roman" w:hAnsi="Times New Roman" w:cs="Times New Roman" w:hint="eastAsia"/>
                <w:color w:val="000000"/>
              </w:rPr>
              <w:t>李唯一</w:t>
            </w:r>
            <w:proofErr w:type="gramEnd"/>
          </w:p>
        </w:tc>
      </w:tr>
    </w:tbl>
    <w:p w14:paraId="12FC1A7E" w14:textId="77777777" w:rsidR="00DE1B44" w:rsidRDefault="00DE1B44">
      <w:pPr>
        <w:widowControl w:val="0"/>
        <w:spacing w:before="120"/>
        <w:ind w:firstLineChars="0" w:firstLine="0"/>
        <w:rPr>
          <w:rFonts w:ascii="Times New Roman" w:hAnsi="Times New Roman" w:cs="Times New Roman"/>
          <w:kern w:val="2"/>
          <w:szCs w:val="22"/>
        </w:rPr>
      </w:pPr>
    </w:p>
    <w:p w14:paraId="6C9102C0" w14:textId="77777777" w:rsidR="00DE1B44" w:rsidRDefault="00DE1B44">
      <w:pPr>
        <w:widowControl w:val="0"/>
        <w:spacing w:before="120"/>
        <w:ind w:firstLineChars="0" w:firstLine="0"/>
        <w:rPr>
          <w:rFonts w:ascii="Times New Roman" w:hAnsi="Times New Roman" w:cs="Times New Roman"/>
          <w:kern w:val="2"/>
          <w:szCs w:val="22"/>
        </w:rPr>
      </w:pPr>
    </w:p>
    <w:p w14:paraId="12237BAF" w14:textId="77777777" w:rsidR="00DE1B44" w:rsidRDefault="00DE1B44">
      <w:pPr>
        <w:widowControl w:val="0"/>
        <w:spacing w:before="120"/>
        <w:ind w:firstLineChars="0" w:firstLine="431"/>
        <w:rPr>
          <w:rFonts w:ascii="Times New Roman" w:hAnsi="Times New Roman" w:cs="Times New Roman"/>
          <w:kern w:val="2"/>
          <w:szCs w:val="22"/>
        </w:rPr>
      </w:pPr>
    </w:p>
    <w:p w14:paraId="764CACD5" w14:textId="77777777" w:rsidR="00DE1B44" w:rsidRDefault="00DE1B44">
      <w:pPr>
        <w:widowControl w:val="0"/>
        <w:spacing w:before="120"/>
        <w:ind w:firstLineChars="0" w:firstLine="431"/>
        <w:rPr>
          <w:rFonts w:ascii="Times New Roman" w:hAnsi="Times New Roman" w:cs="Times New Roman"/>
          <w:kern w:val="2"/>
          <w:szCs w:val="22"/>
        </w:rPr>
      </w:pPr>
    </w:p>
    <w:p w14:paraId="768F536C" w14:textId="77777777" w:rsidR="00DE1B44" w:rsidRDefault="00DE1B44">
      <w:pPr>
        <w:widowControl w:val="0"/>
        <w:spacing w:before="120"/>
        <w:ind w:firstLineChars="0" w:firstLine="431"/>
        <w:rPr>
          <w:rFonts w:ascii="Times New Roman" w:hAnsi="Times New Roman" w:cs="Times New Roman"/>
          <w:kern w:val="2"/>
          <w:szCs w:val="22"/>
        </w:rPr>
      </w:pPr>
    </w:p>
    <w:p w14:paraId="738053BD"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1D195D18"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711516B1"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51146E40" w14:textId="22CD1885" w:rsidR="00DE1B44" w:rsidRDefault="00C74863" w:rsidP="009E3DFF">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15584" behindDoc="0" locked="0" layoutInCell="1" allowOverlap="1" wp14:anchorId="3132718C" wp14:editId="52141301">
            <wp:simplePos x="0" y="0"/>
            <wp:positionH relativeFrom="column">
              <wp:posOffset>-878080</wp:posOffset>
            </wp:positionH>
            <wp:positionV relativeFrom="paragraph">
              <wp:posOffset>-90450</wp:posOffset>
            </wp:positionV>
            <wp:extent cx="7517094" cy="8314661"/>
            <wp:effectExtent l="0" t="0" r="825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21.jpg"/>
                    <pic:cNvPicPr/>
                  </pic:nvPicPr>
                  <pic:blipFill rotWithShape="1">
                    <a:blip r:embed="rId38">
                      <a:extLst>
                        <a:ext uri="{28A0092B-C50C-407E-A947-70E740481C1C}">
                          <a14:useLocalDpi xmlns:a14="http://schemas.microsoft.com/office/drawing/2010/main" val="0"/>
                        </a:ext>
                      </a:extLst>
                    </a:blip>
                    <a:srcRect t="8234" b="14186"/>
                    <a:stretch/>
                  </pic:blipFill>
                  <pic:spPr bwMode="auto">
                    <a:xfrm>
                      <a:off x="0" y="0"/>
                      <a:ext cx="7517094" cy="83146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17D66119" w14:textId="4F0EE9F9"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1657B960" w14:textId="21C03BA6" w:rsidR="00DE1B44" w:rsidRDefault="00DE1B44">
      <w:pPr>
        <w:widowControl w:val="0"/>
        <w:spacing w:before="120"/>
        <w:ind w:firstLineChars="0" w:firstLine="431"/>
        <w:rPr>
          <w:rFonts w:ascii="Times New Roman" w:hAnsi="Times New Roman" w:cs="Times New Roman"/>
          <w:kern w:val="2"/>
          <w:szCs w:val="22"/>
        </w:rPr>
      </w:pPr>
    </w:p>
    <w:p w14:paraId="3E6F61AE" w14:textId="7777777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2B3B60C9" w14:textId="77777777">
        <w:tc>
          <w:tcPr>
            <w:tcW w:w="1668" w:type="dxa"/>
            <w:shd w:val="clear" w:color="auto" w:fill="auto"/>
            <w:vAlign w:val="bottom"/>
          </w:tcPr>
          <w:p w14:paraId="520326D4"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监事签字</w:t>
            </w:r>
            <w:r>
              <w:rPr>
                <w:rFonts w:ascii="Calibri" w:hAnsi="Calibri" w:cs="Times New Roman"/>
                <w:color w:val="000000"/>
                <w:szCs w:val="20"/>
              </w:rPr>
              <w:t>：</w:t>
            </w:r>
          </w:p>
        </w:tc>
        <w:tc>
          <w:tcPr>
            <w:tcW w:w="3402" w:type="dxa"/>
            <w:tcBorders>
              <w:bottom w:val="single" w:sz="4" w:space="0" w:color="auto"/>
            </w:tcBorders>
            <w:shd w:val="clear" w:color="auto" w:fill="auto"/>
          </w:tcPr>
          <w:p w14:paraId="5DF56BF4"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55D43210" w14:textId="77777777">
        <w:tc>
          <w:tcPr>
            <w:tcW w:w="1668" w:type="dxa"/>
            <w:shd w:val="clear" w:color="auto" w:fill="auto"/>
          </w:tcPr>
          <w:p w14:paraId="1FFCBD23"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3DF0B172"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范俊雄</w:t>
            </w:r>
          </w:p>
        </w:tc>
      </w:tr>
    </w:tbl>
    <w:p w14:paraId="48916CE0" w14:textId="64727B11" w:rsidR="00DE1B44" w:rsidRDefault="00DE1B44">
      <w:pPr>
        <w:widowControl w:val="0"/>
        <w:spacing w:before="120"/>
        <w:ind w:firstLineChars="0" w:firstLine="0"/>
        <w:rPr>
          <w:rFonts w:ascii="Times New Roman" w:hAnsi="Times New Roman" w:cs="Times New Roman"/>
          <w:kern w:val="2"/>
          <w:szCs w:val="22"/>
        </w:rPr>
      </w:pPr>
    </w:p>
    <w:p w14:paraId="0E0A97C8" w14:textId="77777777" w:rsidR="00DE1B44" w:rsidRDefault="00DE1B44">
      <w:pPr>
        <w:widowControl w:val="0"/>
        <w:spacing w:before="120"/>
        <w:ind w:firstLineChars="0" w:firstLine="0"/>
        <w:rPr>
          <w:rFonts w:ascii="Times New Roman" w:hAnsi="Times New Roman" w:cs="Times New Roman"/>
          <w:kern w:val="2"/>
          <w:szCs w:val="22"/>
        </w:rPr>
      </w:pPr>
    </w:p>
    <w:p w14:paraId="476D954B" w14:textId="77777777" w:rsidR="00DE1B44" w:rsidRDefault="00DE1B44">
      <w:pPr>
        <w:widowControl w:val="0"/>
        <w:spacing w:before="120"/>
        <w:ind w:firstLineChars="0" w:firstLine="431"/>
        <w:rPr>
          <w:rFonts w:ascii="Times New Roman" w:hAnsi="Times New Roman" w:cs="Times New Roman"/>
          <w:kern w:val="2"/>
          <w:szCs w:val="22"/>
        </w:rPr>
      </w:pPr>
    </w:p>
    <w:p w14:paraId="52053C94" w14:textId="77777777" w:rsidR="00DE1B44" w:rsidRDefault="00DE1B44">
      <w:pPr>
        <w:widowControl w:val="0"/>
        <w:spacing w:before="120"/>
        <w:ind w:firstLineChars="0" w:firstLine="431"/>
        <w:rPr>
          <w:rFonts w:ascii="Times New Roman" w:hAnsi="Times New Roman" w:cs="Times New Roman"/>
          <w:kern w:val="2"/>
          <w:szCs w:val="22"/>
        </w:rPr>
      </w:pPr>
    </w:p>
    <w:p w14:paraId="2DF1EDE8" w14:textId="77777777" w:rsidR="00DE1B44" w:rsidRDefault="00DE1B44">
      <w:pPr>
        <w:widowControl w:val="0"/>
        <w:spacing w:before="120"/>
        <w:ind w:firstLineChars="0" w:firstLine="431"/>
        <w:rPr>
          <w:rFonts w:ascii="Times New Roman" w:hAnsi="Times New Roman" w:cs="Times New Roman"/>
          <w:kern w:val="2"/>
          <w:szCs w:val="22"/>
        </w:rPr>
      </w:pPr>
    </w:p>
    <w:p w14:paraId="3540A597"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0C1D5033"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5B9A6CCC"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4E4CB7C2" w14:textId="4DA3070B" w:rsidR="00DE1B44" w:rsidRDefault="001F689A" w:rsidP="009E3DFF">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16608" behindDoc="0" locked="0" layoutInCell="1" allowOverlap="1" wp14:anchorId="488E553D" wp14:editId="3D8F23C0">
            <wp:simplePos x="0" y="0"/>
            <wp:positionH relativeFrom="column">
              <wp:posOffset>-903767</wp:posOffset>
            </wp:positionH>
            <wp:positionV relativeFrom="paragraph">
              <wp:posOffset>22638</wp:posOffset>
            </wp:positionV>
            <wp:extent cx="7474688" cy="8474149"/>
            <wp:effectExtent l="0" t="0" r="0" b="317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22.jpg"/>
                    <pic:cNvPicPr/>
                  </pic:nvPicPr>
                  <pic:blipFill rotWithShape="1">
                    <a:blip r:embed="rId39">
                      <a:extLst>
                        <a:ext uri="{28A0092B-C50C-407E-A947-70E740481C1C}">
                          <a14:useLocalDpi xmlns:a14="http://schemas.microsoft.com/office/drawing/2010/main" val="0"/>
                        </a:ext>
                      </a:extLst>
                    </a:blip>
                    <a:srcRect t="8922" b="12076"/>
                    <a:stretch/>
                  </pic:blipFill>
                  <pic:spPr bwMode="auto">
                    <a:xfrm>
                      <a:off x="0" y="0"/>
                      <a:ext cx="7480800" cy="8481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70326BA9"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59591898" w14:textId="77777777" w:rsidR="00DE1B44" w:rsidRDefault="00DE1B44">
      <w:pPr>
        <w:widowControl w:val="0"/>
        <w:spacing w:before="120"/>
        <w:ind w:firstLineChars="0" w:firstLine="431"/>
        <w:rPr>
          <w:rFonts w:ascii="Times New Roman" w:hAnsi="Times New Roman" w:cs="Times New Roman"/>
          <w:kern w:val="2"/>
          <w:szCs w:val="22"/>
        </w:rPr>
      </w:pPr>
    </w:p>
    <w:p w14:paraId="4A117621" w14:textId="48CD0CCE"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1668"/>
        <w:gridCol w:w="3402"/>
      </w:tblGrid>
      <w:tr w:rsidR="00DE1B44" w14:paraId="711E3F90" w14:textId="77777777">
        <w:tc>
          <w:tcPr>
            <w:tcW w:w="1668" w:type="dxa"/>
            <w:shd w:val="clear" w:color="auto" w:fill="auto"/>
            <w:vAlign w:val="bottom"/>
          </w:tcPr>
          <w:p w14:paraId="1AEDB3F2"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监事签字</w:t>
            </w:r>
            <w:r>
              <w:rPr>
                <w:rFonts w:ascii="Calibri" w:hAnsi="Calibri" w:cs="Times New Roman"/>
                <w:color w:val="000000"/>
                <w:szCs w:val="20"/>
              </w:rPr>
              <w:t>：</w:t>
            </w:r>
          </w:p>
        </w:tc>
        <w:tc>
          <w:tcPr>
            <w:tcW w:w="3402" w:type="dxa"/>
            <w:tcBorders>
              <w:bottom w:val="single" w:sz="4" w:space="0" w:color="auto"/>
            </w:tcBorders>
            <w:shd w:val="clear" w:color="auto" w:fill="auto"/>
          </w:tcPr>
          <w:p w14:paraId="2C1D0A3B"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44220683" w14:textId="77777777">
        <w:tc>
          <w:tcPr>
            <w:tcW w:w="1668" w:type="dxa"/>
            <w:shd w:val="clear" w:color="auto" w:fill="auto"/>
          </w:tcPr>
          <w:p w14:paraId="3079781E"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3402" w:type="dxa"/>
            <w:tcBorders>
              <w:top w:val="single" w:sz="4" w:space="0" w:color="auto"/>
            </w:tcBorders>
            <w:shd w:val="clear" w:color="auto" w:fill="auto"/>
          </w:tcPr>
          <w:p w14:paraId="3F01D3AA"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吴达豪</w:t>
            </w:r>
          </w:p>
        </w:tc>
      </w:tr>
    </w:tbl>
    <w:p w14:paraId="68609CB0" w14:textId="337BA9B5" w:rsidR="00DE1B44" w:rsidRDefault="00DE1B44">
      <w:pPr>
        <w:widowControl w:val="0"/>
        <w:spacing w:before="120"/>
        <w:ind w:firstLineChars="0" w:firstLine="0"/>
        <w:rPr>
          <w:rFonts w:ascii="Times New Roman" w:hAnsi="Times New Roman" w:cs="Times New Roman"/>
          <w:kern w:val="2"/>
          <w:szCs w:val="22"/>
        </w:rPr>
      </w:pPr>
    </w:p>
    <w:p w14:paraId="5D68089E" w14:textId="77777777" w:rsidR="00DE1B44" w:rsidRDefault="00DE1B44">
      <w:pPr>
        <w:widowControl w:val="0"/>
        <w:spacing w:before="120"/>
        <w:ind w:firstLineChars="0" w:firstLine="0"/>
        <w:rPr>
          <w:rFonts w:ascii="Times New Roman" w:hAnsi="Times New Roman" w:cs="Times New Roman"/>
          <w:kern w:val="2"/>
          <w:szCs w:val="22"/>
        </w:rPr>
      </w:pPr>
    </w:p>
    <w:p w14:paraId="7B1F78D3" w14:textId="39C72F99" w:rsidR="00DE1B44" w:rsidRDefault="00DE1B44">
      <w:pPr>
        <w:widowControl w:val="0"/>
        <w:spacing w:before="120"/>
        <w:ind w:firstLineChars="0" w:firstLine="431"/>
        <w:rPr>
          <w:rFonts w:ascii="Times New Roman" w:hAnsi="Times New Roman" w:cs="Times New Roman"/>
          <w:kern w:val="2"/>
          <w:szCs w:val="22"/>
        </w:rPr>
      </w:pPr>
    </w:p>
    <w:p w14:paraId="016B3848" w14:textId="77777777" w:rsidR="00DE1B44" w:rsidRDefault="00DE1B44">
      <w:pPr>
        <w:widowControl w:val="0"/>
        <w:spacing w:before="120"/>
        <w:ind w:firstLineChars="0" w:firstLine="431"/>
        <w:rPr>
          <w:rFonts w:ascii="Times New Roman" w:hAnsi="Times New Roman" w:cs="Times New Roman"/>
          <w:kern w:val="2"/>
          <w:szCs w:val="22"/>
        </w:rPr>
      </w:pPr>
    </w:p>
    <w:p w14:paraId="095ADEED" w14:textId="77777777" w:rsidR="00DE1B44" w:rsidRDefault="00DE1B44">
      <w:pPr>
        <w:widowControl w:val="0"/>
        <w:spacing w:before="120"/>
        <w:ind w:firstLineChars="0" w:firstLine="431"/>
        <w:rPr>
          <w:rFonts w:ascii="Times New Roman" w:hAnsi="Times New Roman" w:cs="Times New Roman"/>
          <w:kern w:val="2"/>
          <w:szCs w:val="22"/>
        </w:rPr>
      </w:pPr>
    </w:p>
    <w:p w14:paraId="7E26E97C"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35D83904"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43100D2B"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59D605BC" w14:textId="47F89ACD" w:rsidR="00DE1B44" w:rsidRDefault="001F689A" w:rsidP="009E3DFF">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17632" behindDoc="0" locked="0" layoutInCell="1" allowOverlap="1" wp14:anchorId="602A46F0" wp14:editId="28B904C7">
            <wp:simplePos x="0" y="0"/>
            <wp:positionH relativeFrom="column">
              <wp:posOffset>-914400</wp:posOffset>
            </wp:positionH>
            <wp:positionV relativeFrom="paragraph">
              <wp:posOffset>-126217</wp:posOffset>
            </wp:positionV>
            <wp:extent cx="7517096" cy="8431618"/>
            <wp:effectExtent l="0" t="0" r="8255" b="762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23.jpg"/>
                    <pic:cNvPicPr/>
                  </pic:nvPicPr>
                  <pic:blipFill rotWithShape="1">
                    <a:blip r:embed="rId40">
                      <a:extLst>
                        <a:ext uri="{28A0092B-C50C-407E-A947-70E740481C1C}">
                          <a14:useLocalDpi xmlns:a14="http://schemas.microsoft.com/office/drawing/2010/main" val="0"/>
                        </a:ext>
                      </a:extLst>
                    </a:blip>
                    <a:srcRect t="8234" b="13096"/>
                    <a:stretch/>
                  </pic:blipFill>
                  <pic:spPr bwMode="auto">
                    <a:xfrm>
                      <a:off x="0" y="0"/>
                      <a:ext cx="7516800" cy="8431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02A6D258"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54E033AA" w14:textId="155299E4" w:rsidR="00DE1B44" w:rsidRDefault="00DE1B44">
      <w:pPr>
        <w:widowControl w:val="0"/>
        <w:spacing w:before="120"/>
        <w:ind w:firstLineChars="0" w:firstLine="431"/>
        <w:rPr>
          <w:rFonts w:ascii="Times New Roman" w:hAnsi="Times New Roman" w:cs="Times New Roman"/>
          <w:kern w:val="2"/>
          <w:szCs w:val="22"/>
        </w:rPr>
      </w:pPr>
    </w:p>
    <w:p w14:paraId="382AD55B" w14:textId="7777777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2376"/>
        <w:gridCol w:w="2694"/>
      </w:tblGrid>
      <w:tr w:rsidR="00DE1B44" w14:paraId="197916D5" w14:textId="77777777">
        <w:tc>
          <w:tcPr>
            <w:tcW w:w="2376" w:type="dxa"/>
            <w:shd w:val="clear" w:color="auto" w:fill="auto"/>
            <w:vAlign w:val="bottom"/>
          </w:tcPr>
          <w:p w14:paraId="5E47D14F"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高级管理人员签字</w:t>
            </w:r>
            <w:r>
              <w:rPr>
                <w:rFonts w:ascii="Calibri" w:hAnsi="Calibri" w:cs="Times New Roman"/>
                <w:color w:val="000000"/>
                <w:szCs w:val="20"/>
              </w:rPr>
              <w:t>：</w:t>
            </w:r>
          </w:p>
        </w:tc>
        <w:tc>
          <w:tcPr>
            <w:tcW w:w="2694" w:type="dxa"/>
            <w:tcBorders>
              <w:bottom w:val="single" w:sz="4" w:space="0" w:color="auto"/>
            </w:tcBorders>
            <w:shd w:val="clear" w:color="auto" w:fill="auto"/>
          </w:tcPr>
          <w:p w14:paraId="0435A7F5"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221162A8" w14:textId="77777777">
        <w:tc>
          <w:tcPr>
            <w:tcW w:w="2376" w:type="dxa"/>
            <w:shd w:val="clear" w:color="auto" w:fill="auto"/>
          </w:tcPr>
          <w:p w14:paraId="556D9F07"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2694" w:type="dxa"/>
            <w:tcBorders>
              <w:top w:val="single" w:sz="4" w:space="0" w:color="auto"/>
            </w:tcBorders>
            <w:shd w:val="clear" w:color="auto" w:fill="auto"/>
          </w:tcPr>
          <w:p w14:paraId="697AAB7A"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王兵</w:t>
            </w:r>
          </w:p>
        </w:tc>
      </w:tr>
    </w:tbl>
    <w:p w14:paraId="100279C3" w14:textId="77777777" w:rsidR="00DE1B44" w:rsidRDefault="00DE1B44">
      <w:pPr>
        <w:widowControl w:val="0"/>
        <w:spacing w:before="120"/>
        <w:ind w:firstLineChars="0" w:firstLine="0"/>
        <w:rPr>
          <w:rFonts w:ascii="Times New Roman" w:hAnsi="Times New Roman" w:cs="Times New Roman"/>
          <w:kern w:val="2"/>
          <w:szCs w:val="22"/>
        </w:rPr>
      </w:pPr>
    </w:p>
    <w:p w14:paraId="4A05E031" w14:textId="77777777" w:rsidR="00DE1B44" w:rsidRDefault="00DE1B44">
      <w:pPr>
        <w:widowControl w:val="0"/>
        <w:spacing w:before="120"/>
        <w:ind w:firstLineChars="0" w:firstLine="0"/>
        <w:rPr>
          <w:rFonts w:ascii="Times New Roman" w:hAnsi="Times New Roman" w:cs="Times New Roman"/>
          <w:kern w:val="2"/>
          <w:szCs w:val="22"/>
        </w:rPr>
      </w:pPr>
    </w:p>
    <w:p w14:paraId="5E769409" w14:textId="348F395A" w:rsidR="00DE1B44" w:rsidRDefault="00DE1B44">
      <w:pPr>
        <w:widowControl w:val="0"/>
        <w:spacing w:before="120"/>
        <w:ind w:firstLineChars="0" w:firstLine="431"/>
        <w:rPr>
          <w:rFonts w:ascii="Times New Roman" w:hAnsi="Times New Roman" w:cs="Times New Roman"/>
          <w:kern w:val="2"/>
          <w:szCs w:val="22"/>
        </w:rPr>
      </w:pPr>
    </w:p>
    <w:p w14:paraId="061A0E1E" w14:textId="77777777" w:rsidR="00DE1B44" w:rsidRDefault="00DE1B44">
      <w:pPr>
        <w:widowControl w:val="0"/>
        <w:spacing w:before="120"/>
        <w:ind w:firstLineChars="0" w:firstLine="431"/>
        <w:rPr>
          <w:rFonts w:ascii="Times New Roman" w:hAnsi="Times New Roman" w:cs="Times New Roman"/>
          <w:kern w:val="2"/>
          <w:szCs w:val="22"/>
        </w:rPr>
      </w:pPr>
    </w:p>
    <w:p w14:paraId="309C3724" w14:textId="77777777" w:rsidR="00DE1B44" w:rsidRDefault="00DE1B44">
      <w:pPr>
        <w:widowControl w:val="0"/>
        <w:spacing w:before="120"/>
        <w:ind w:firstLineChars="0" w:firstLine="431"/>
        <w:rPr>
          <w:rFonts w:ascii="Times New Roman" w:hAnsi="Times New Roman" w:cs="Times New Roman"/>
          <w:kern w:val="2"/>
          <w:szCs w:val="22"/>
        </w:rPr>
      </w:pPr>
    </w:p>
    <w:p w14:paraId="73FC3A4A"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2E551D66"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125596EB" w14:textId="77777777" w:rsidR="00DE1B44" w:rsidRDefault="00DE1B44">
      <w:pPr>
        <w:widowControl w:val="0"/>
        <w:spacing w:before="120"/>
        <w:ind w:firstLineChars="0" w:firstLine="431"/>
        <w:jc w:val="right"/>
        <w:rPr>
          <w:rFonts w:ascii="Times New Roman" w:hAnsi="Times New Roman" w:cs="Times New Roman"/>
          <w:kern w:val="2"/>
          <w:szCs w:val="22"/>
        </w:rPr>
      </w:pPr>
    </w:p>
    <w:p w14:paraId="788B6612"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16D7C34B" w14:textId="5C248C17" w:rsidR="00DE1B44" w:rsidRDefault="001F689A" w:rsidP="009E3DFF">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18656" behindDoc="0" locked="0" layoutInCell="1" allowOverlap="1" wp14:anchorId="445A053E" wp14:editId="36C26FD9">
            <wp:simplePos x="0" y="0"/>
            <wp:positionH relativeFrom="column">
              <wp:posOffset>-850605</wp:posOffset>
            </wp:positionH>
            <wp:positionV relativeFrom="paragraph">
              <wp:posOffset>-51789</wp:posOffset>
            </wp:positionV>
            <wp:extent cx="7490793" cy="8474148"/>
            <wp:effectExtent l="0" t="0" r="0" b="317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24.jpg"/>
                    <pic:cNvPicPr/>
                  </pic:nvPicPr>
                  <pic:blipFill rotWithShape="1">
                    <a:blip r:embed="rId41">
                      <a:extLst>
                        <a:ext uri="{28A0092B-C50C-407E-A947-70E740481C1C}">
                          <a14:useLocalDpi xmlns:a14="http://schemas.microsoft.com/office/drawing/2010/main" val="0"/>
                        </a:ext>
                      </a:extLst>
                    </a:blip>
                    <a:srcRect t="8337" b="12508"/>
                    <a:stretch/>
                  </pic:blipFill>
                  <pic:spPr bwMode="auto">
                    <a:xfrm>
                      <a:off x="0" y="0"/>
                      <a:ext cx="7498800" cy="84832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6E6BC65F"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37A61835" w14:textId="2CAD6ED6" w:rsidR="00DE1B44" w:rsidRDefault="00DE1B44">
      <w:pPr>
        <w:widowControl w:val="0"/>
        <w:spacing w:before="120"/>
        <w:ind w:firstLineChars="0" w:firstLine="431"/>
        <w:rPr>
          <w:rFonts w:ascii="Times New Roman" w:hAnsi="Times New Roman" w:cs="Times New Roman"/>
          <w:kern w:val="2"/>
          <w:szCs w:val="22"/>
        </w:rPr>
      </w:pPr>
    </w:p>
    <w:p w14:paraId="79FB8018" w14:textId="7777777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2376"/>
        <w:gridCol w:w="2694"/>
      </w:tblGrid>
      <w:tr w:rsidR="00DE1B44" w14:paraId="5F62C2B3" w14:textId="77777777">
        <w:tc>
          <w:tcPr>
            <w:tcW w:w="2376" w:type="dxa"/>
            <w:shd w:val="clear" w:color="auto" w:fill="auto"/>
            <w:vAlign w:val="bottom"/>
          </w:tcPr>
          <w:p w14:paraId="406E0690"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高级管理人员签字</w:t>
            </w:r>
            <w:r>
              <w:rPr>
                <w:rFonts w:ascii="Calibri" w:hAnsi="Calibri" w:cs="Times New Roman"/>
                <w:color w:val="000000"/>
                <w:szCs w:val="20"/>
              </w:rPr>
              <w:t>：</w:t>
            </w:r>
          </w:p>
        </w:tc>
        <w:tc>
          <w:tcPr>
            <w:tcW w:w="2694" w:type="dxa"/>
            <w:tcBorders>
              <w:bottom w:val="single" w:sz="4" w:space="0" w:color="auto"/>
            </w:tcBorders>
            <w:shd w:val="clear" w:color="auto" w:fill="auto"/>
          </w:tcPr>
          <w:p w14:paraId="57FEA73D"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7D61FE25" w14:textId="77777777">
        <w:tc>
          <w:tcPr>
            <w:tcW w:w="2376" w:type="dxa"/>
            <w:shd w:val="clear" w:color="auto" w:fill="auto"/>
          </w:tcPr>
          <w:p w14:paraId="6AD42A50"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2694" w:type="dxa"/>
            <w:tcBorders>
              <w:top w:val="single" w:sz="4" w:space="0" w:color="auto"/>
            </w:tcBorders>
            <w:shd w:val="clear" w:color="auto" w:fill="auto"/>
          </w:tcPr>
          <w:p w14:paraId="68681E5F"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郑小龙</w:t>
            </w:r>
          </w:p>
        </w:tc>
      </w:tr>
    </w:tbl>
    <w:p w14:paraId="335FD744" w14:textId="77777777" w:rsidR="00DE1B44" w:rsidRDefault="00DE1B44">
      <w:pPr>
        <w:widowControl w:val="0"/>
        <w:spacing w:before="120"/>
        <w:ind w:firstLineChars="0" w:firstLine="0"/>
        <w:rPr>
          <w:rFonts w:ascii="Times New Roman" w:hAnsi="Times New Roman" w:cs="Times New Roman"/>
          <w:kern w:val="2"/>
          <w:szCs w:val="22"/>
        </w:rPr>
      </w:pPr>
    </w:p>
    <w:p w14:paraId="7ED20F0F" w14:textId="77777777" w:rsidR="00DE1B44" w:rsidRDefault="00DE1B44">
      <w:pPr>
        <w:widowControl w:val="0"/>
        <w:spacing w:before="120"/>
        <w:ind w:firstLineChars="0" w:firstLine="0"/>
        <w:rPr>
          <w:rFonts w:ascii="Times New Roman" w:hAnsi="Times New Roman" w:cs="Times New Roman"/>
          <w:kern w:val="2"/>
          <w:szCs w:val="22"/>
        </w:rPr>
      </w:pPr>
    </w:p>
    <w:p w14:paraId="5B98BDF7" w14:textId="77777777" w:rsidR="00DE1B44" w:rsidRDefault="00DE1B44">
      <w:pPr>
        <w:widowControl w:val="0"/>
        <w:spacing w:before="120"/>
        <w:ind w:firstLineChars="0" w:firstLine="431"/>
        <w:rPr>
          <w:rFonts w:ascii="Times New Roman" w:hAnsi="Times New Roman" w:cs="Times New Roman"/>
          <w:kern w:val="2"/>
          <w:szCs w:val="22"/>
        </w:rPr>
      </w:pPr>
    </w:p>
    <w:p w14:paraId="0DBC8EF7" w14:textId="77777777" w:rsidR="00DE1B44" w:rsidRDefault="00DE1B44">
      <w:pPr>
        <w:widowControl w:val="0"/>
        <w:spacing w:before="120"/>
        <w:ind w:firstLineChars="0" w:firstLine="431"/>
        <w:rPr>
          <w:rFonts w:ascii="Times New Roman" w:hAnsi="Times New Roman" w:cs="Times New Roman"/>
          <w:kern w:val="2"/>
          <w:szCs w:val="22"/>
        </w:rPr>
      </w:pPr>
    </w:p>
    <w:p w14:paraId="15C5523B" w14:textId="77777777" w:rsidR="00DE1B44" w:rsidRDefault="00DE1B44">
      <w:pPr>
        <w:widowControl w:val="0"/>
        <w:spacing w:before="120"/>
        <w:ind w:firstLineChars="0" w:firstLine="431"/>
        <w:rPr>
          <w:rFonts w:ascii="Times New Roman" w:hAnsi="Times New Roman" w:cs="Times New Roman"/>
          <w:kern w:val="2"/>
          <w:szCs w:val="22"/>
        </w:rPr>
      </w:pPr>
    </w:p>
    <w:p w14:paraId="4DF05343"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17B7032A"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63012338"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3DB107B1" w14:textId="10D334F0" w:rsidR="00DE1B44" w:rsidRDefault="001F689A" w:rsidP="009E3DFF">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19680" behindDoc="0" locked="0" layoutInCell="1" allowOverlap="1" wp14:anchorId="45D98F33" wp14:editId="05860287">
            <wp:simplePos x="0" y="0"/>
            <wp:positionH relativeFrom="column">
              <wp:posOffset>-903605</wp:posOffset>
            </wp:positionH>
            <wp:positionV relativeFrom="paragraph">
              <wp:posOffset>-73453</wp:posOffset>
            </wp:positionV>
            <wp:extent cx="7495953" cy="8431618"/>
            <wp:effectExtent l="0" t="0" r="0" b="762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25.jpg"/>
                    <pic:cNvPicPr/>
                  </pic:nvPicPr>
                  <pic:blipFill rotWithShape="1">
                    <a:blip r:embed="rId42">
                      <a:extLst>
                        <a:ext uri="{28A0092B-C50C-407E-A947-70E740481C1C}">
                          <a14:useLocalDpi xmlns:a14="http://schemas.microsoft.com/office/drawing/2010/main" val="0"/>
                        </a:ext>
                      </a:extLst>
                    </a:blip>
                    <a:srcRect t="9403" b="12104"/>
                    <a:stretch/>
                  </pic:blipFill>
                  <pic:spPr bwMode="auto">
                    <a:xfrm>
                      <a:off x="0" y="0"/>
                      <a:ext cx="7495953" cy="8431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4B80DDCD"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29C9ECC6" w14:textId="77777777" w:rsidR="00DE1B44" w:rsidRDefault="00DE1B44">
      <w:pPr>
        <w:widowControl w:val="0"/>
        <w:spacing w:before="120"/>
        <w:ind w:firstLineChars="0" w:firstLine="431"/>
        <w:rPr>
          <w:rFonts w:ascii="Times New Roman" w:hAnsi="Times New Roman" w:cs="Times New Roman"/>
          <w:kern w:val="2"/>
          <w:szCs w:val="22"/>
        </w:rPr>
      </w:pPr>
    </w:p>
    <w:p w14:paraId="428D1F9A" w14:textId="2E8A7AEA"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2376"/>
        <w:gridCol w:w="2694"/>
      </w:tblGrid>
      <w:tr w:rsidR="00DE1B44" w14:paraId="0FC18FFD" w14:textId="77777777">
        <w:tc>
          <w:tcPr>
            <w:tcW w:w="2376" w:type="dxa"/>
            <w:shd w:val="clear" w:color="auto" w:fill="auto"/>
            <w:vAlign w:val="bottom"/>
          </w:tcPr>
          <w:p w14:paraId="3B022F36"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高级管理人员签字</w:t>
            </w:r>
            <w:r>
              <w:rPr>
                <w:rFonts w:ascii="Calibri" w:hAnsi="Calibri" w:cs="Times New Roman"/>
                <w:color w:val="000000"/>
                <w:szCs w:val="20"/>
              </w:rPr>
              <w:t>：</w:t>
            </w:r>
          </w:p>
        </w:tc>
        <w:tc>
          <w:tcPr>
            <w:tcW w:w="2694" w:type="dxa"/>
            <w:tcBorders>
              <w:bottom w:val="single" w:sz="4" w:space="0" w:color="auto"/>
            </w:tcBorders>
            <w:shd w:val="clear" w:color="auto" w:fill="auto"/>
          </w:tcPr>
          <w:p w14:paraId="5DDA0368"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5B713E0D" w14:textId="77777777">
        <w:tc>
          <w:tcPr>
            <w:tcW w:w="2376" w:type="dxa"/>
            <w:shd w:val="clear" w:color="auto" w:fill="auto"/>
          </w:tcPr>
          <w:p w14:paraId="0FBDA345"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2694" w:type="dxa"/>
            <w:tcBorders>
              <w:top w:val="single" w:sz="4" w:space="0" w:color="auto"/>
            </w:tcBorders>
            <w:shd w:val="clear" w:color="auto" w:fill="auto"/>
          </w:tcPr>
          <w:p w14:paraId="792D570B"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徐红霞</w:t>
            </w:r>
          </w:p>
        </w:tc>
      </w:tr>
    </w:tbl>
    <w:p w14:paraId="226658B5" w14:textId="77777777" w:rsidR="00DE1B44" w:rsidRDefault="00DE1B44">
      <w:pPr>
        <w:widowControl w:val="0"/>
        <w:spacing w:before="120"/>
        <w:ind w:firstLineChars="0" w:firstLine="0"/>
        <w:rPr>
          <w:rFonts w:ascii="Times New Roman" w:hAnsi="Times New Roman" w:cs="Times New Roman"/>
          <w:kern w:val="2"/>
          <w:szCs w:val="22"/>
        </w:rPr>
      </w:pPr>
    </w:p>
    <w:p w14:paraId="4B65E561" w14:textId="77777777" w:rsidR="00DE1B44" w:rsidRDefault="00DE1B44">
      <w:pPr>
        <w:widowControl w:val="0"/>
        <w:spacing w:before="120"/>
        <w:ind w:firstLineChars="0" w:firstLine="0"/>
        <w:rPr>
          <w:rFonts w:ascii="Times New Roman" w:hAnsi="Times New Roman" w:cs="Times New Roman"/>
          <w:kern w:val="2"/>
          <w:szCs w:val="22"/>
        </w:rPr>
      </w:pPr>
    </w:p>
    <w:p w14:paraId="1F1D9AF9" w14:textId="77777777" w:rsidR="00DE1B44" w:rsidRDefault="00DE1B44">
      <w:pPr>
        <w:widowControl w:val="0"/>
        <w:spacing w:before="120"/>
        <w:ind w:firstLineChars="0" w:firstLine="431"/>
        <w:rPr>
          <w:rFonts w:ascii="Times New Roman" w:hAnsi="Times New Roman" w:cs="Times New Roman"/>
          <w:kern w:val="2"/>
          <w:szCs w:val="22"/>
        </w:rPr>
      </w:pPr>
    </w:p>
    <w:p w14:paraId="4DCF090A" w14:textId="77777777" w:rsidR="00DE1B44" w:rsidRDefault="00DE1B44">
      <w:pPr>
        <w:widowControl w:val="0"/>
        <w:spacing w:before="120"/>
        <w:ind w:firstLineChars="0" w:firstLine="431"/>
        <w:rPr>
          <w:rFonts w:ascii="Times New Roman" w:hAnsi="Times New Roman" w:cs="Times New Roman"/>
          <w:kern w:val="2"/>
          <w:szCs w:val="22"/>
        </w:rPr>
      </w:pPr>
    </w:p>
    <w:p w14:paraId="1A9AA285" w14:textId="77777777" w:rsidR="00DE1B44" w:rsidRDefault="00DE1B44">
      <w:pPr>
        <w:widowControl w:val="0"/>
        <w:spacing w:before="120"/>
        <w:ind w:firstLineChars="0" w:firstLine="431"/>
        <w:rPr>
          <w:rFonts w:ascii="Times New Roman" w:hAnsi="Times New Roman" w:cs="Times New Roman"/>
          <w:kern w:val="2"/>
          <w:szCs w:val="22"/>
        </w:rPr>
      </w:pPr>
    </w:p>
    <w:p w14:paraId="395992A5"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3C5BA4F9"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22D4C6EA"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57DFCC68" w14:textId="1DDA7F75" w:rsidR="00DE1B44" w:rsidRDefault="001F689A" w:rsidP="009E3DFF">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20704" behindDoc="0" locked="0" layoutInCell="1" allowOverlap="1" wp14:anchorId="764D435E" wp14:editId="6C241184">
            <wp:simplePos x="0" y="0"/>
            <wp:positionH relativeFrom="column">
              <wp:posOffset>-914400</wp:posOffset>
            </wp:positionH>
            <wp:positionV relativeFrom="paragraph">
              <wp:posOffset>-147290</wp:posOffset>
            </wp:positionV>
            <wp:extent cx="7495953" cy="8176437"/>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26.jpg"/>
                    <pic:cNvPicPr/>
                  </pic:nvPicPr>
                  <pic:blipFill rotWithShape="1">
                    <a:blip r:embed="rId43">
                      <a:extLst>
                        <a:ext uri="{28A0092B-C50C-407E-A947-70E740481C1C}">
                          <a14:useLocalDpi xmlns:a14="http://schemas.microsoft.com/office/drawing/2010/main" val="0"/>
                        </a:ext>
                      </a:extLst>
                    </a:blip>
                    <a:srcRect t="8734" b="14945"/>
                    <a:stretch/>
                  </pic:blipFill>
                  <pic:spPr bwMode="auto">
                    <a:xfrm>
                      <a:off x="0" y="0"/>
                      <a:ext cx="7495953" cy="81764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3FB1A3F9"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1CEC5A68" w14:textId="77777777" w:rsidR="00DE1B44" w:rsidRDefault="00DE1B44">
      <w:pPr>
        <w:widowControl w:val="0"/>
        <w:spacing w:before="120"/>
        <w:ind w:firstLineChars="0" w:firstLine="431"/>
        <w:rPr>
          <w:rFonts w:ascii="Times New Roman" w:hAnsi="Times New Roman" w:cs="Times New Roman"/>
          <w:kern w:val="2"/>
          <w:szCs w:val="22"/>
        </w:rPr>
      </w:pPr>
    </w:p>
    <w:p w14:paraId="3254FE2E" w14:textId="19D13F68"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2376"/>
        <w:gridCol w:w="2694"/>
      </w:tblGrid>
      <w:tr w:rsidR="00DE1B44" w14:paraId="6627EBCC" w14:textId="77777777">
        <w:tc>
          <w:tcPr>
            <w:tcW w:w="2376" w:type="dxa"/>
            <w:shd w:val="clear" w:color="auto" w:fill="auto"/>
            <w:vAlign w:val="bottom"/>
          </w:tcPr>
          <w:p w14:paraId="01A7FF9C"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高级管理人员签字</w:t>
            </w:r>
            <w:r>
              <w:rPr>
                <w:rFonts w:ascii="Calibri" w:hAnsi="Calibri" w:cs="Times New Roman"/>
                <w:color w:val="000000"/>
                <w:szCs w:val="20"/>
              </w:rPr>
              <w:t>：</w:t>
            </w:r>
          </w:p>
        </w:tc>
        <w:tc>
          <w:tcPr>
            <w:tcW w:w="2694" w:type="dxa"/>
            <w:tcBorders>
              <w:bottom w:val="single" w:sz="4" w:space="0" w:color="auto"/>
            </w:tcBorders>
            <w:shd w:val="clear" w:color="auto" w:fill="auto"/>
          </w:tcPr>
          <w:p w14:paraId="2505AF6F"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22EF8600" w14:textId="77777777">
        <w:tc>
          <w:tcPr>
            <w:tcW w:w="2376" w:type="dxa"/>
            <w:shd w:val="clear" w:color="auto" w:fill="auto"/>
          </w:tcPr>
          <w:p w14:paraId="248DD87A"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2694" w:type="dxa"/>
            <w:tcBorders>
              <w:top w:val="single" w:sz="4" w:space="0" w:color="auto"/>
            </w:tcBorders>
            <w:shd w:val="clear" w:color="auto" w:fill="auto"/>
          </w:tcPr>
          <w:p w14:paraId="70B67691"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陈向荣</w:t>
            </w:r>
          </w:p>
        </w:tc>
      </w:tr>
    </w:tbl>
    <w:p w14:paraId="59F46213" w14:textId="77777777" w:rsidR="00DE1B44" w:rsidRDefault="00DE1B44">
      <w:pPr>
        <w:widowControl w:val="0"/>
        <w:spacing w:before="120"/>
        <w:ind w:firstLineChars="0" w:firstLine="0"/>
        <w:rPr>
          <w:rFonts w:ascii="Times New Roman" w:hAnsi="Times New Roman" w:cs="Times New Roman"/>
          <w:kern w:val="2"/>
          <w:szCs w:val="22"/>
        </w:rPr>
      </w:pPr>
    </w:p>
    <w:p w14:paraId="0F6355F6" w14:textId="77777777" w:rsidR="00DE1B44" w:rsidRDefault="00DE1B44">
      <w:pPr>
        <w:widowControl w:val="0"/>
        <w:spacing w:before="120"/>
        <w:ind w:firstLineChars="0" w:firstLine="0"/>
        <w:rPr>
          <w:rFonts w:ascii="Times New Roman" w:hAnsi="Times New Roman" w:cs="Times New Roman"/>
          <w:kern w:val="2"/>
          <w:szCs w:val="22"/>
        </w:rPr>
      </w:pPr>
    </w:p>
    <w:p w14:paraId="70E576C9" w14:textId="77777777" w:rsidR="00DE1B44" w:rsidRDefault="00DE1B44">
      <w:pPr>
        <w:widowControl w:val="0"/>
        <w:spacing w:before="120"/>
        <w:ind w:firstLineChars="0" w:firstLine="431"/>
        <w:rPr>
          <w:rFonts w:ascii="Times New Roman" w:hAnsi="Times New Roman" w:cs="Times New Roman"/>
          <w:kern w:val="2"/>
          <w:szCs w:val="22"/>
        </w:rPr>
      </w:pPr>
    </w:p>
    <w:p w14:paraId="2E0AF49B" w14:textId="77777777" w:rsidR="00DE1B44" w:rsidRDefault="00DE1B44">
      <w:pPr>
        <w:widowControl w:val="0"/>
        <w:spacing w:before="120"/>
        <w:ind w:firstLineChars="0" w:firstLine="431"/>
        <w:rPr>
          <w:rFonts w:ascii="Times New Roman" w:hAnsi="Times New Roman" w:cs="Times New Roman"/>
          <w:kern w:val="2"/>
          <w:szCs w:val="22"/>
        </w:rPr>
      </w:pPr>
    </w:p>
    <w:p w14:paraId="7556B440" w14:textId="77777777" w:rsidR="00DE1B44" w:rsidRDefault="00DE1B44">
      <w:pPr>
        <w:widowControl w:val="0"/>
        <w:spacing w:before="120"/>
        <w:ind w:firstLineChars="0" w:firstLine="431"/>
        <w:rPr>
          <w:rFonts w:ascii="Times New Roman" w:hAnsi="Times New Roman" w:cs="Times New Roman"/>
          <w:kern w:val="2"/>
          <w:szCs w:val="22"/>
        </w:rPr>
      </w:pPr>
    </w:p>
    <w:p w14:paraId="1A4DE234"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38EBAE8C"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4493F98A"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7BD90450" w14:textId="0784BF95" w:rsidR="00DE1B44" w:rsidRDefault="001F689A" w:rsidP="009E3DFF">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21728" behindDoc="0" locked="0" layoutInCell="1" allowOverlap="1" wp14:anchorId="7B0504C2" wp14:editId="3F65F10C">
            <wp:simplePos x="0" y="0"/>
            <wp:positionH relativeFrom="column">
              <wp:posOffset>-914400</wp:posOffset>
            </wp:positionH>
            <wp:positionV relativeFrom="paragraph">
              <wp:posOffset>-179631</wp:posOffset>
            </wp:positionV>
            <wp:extent cx="7517219" cy="8673082"/>
            <wp:effectExtent l="0" t="0" r="762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27.jpg"/>
                    <pic:cNvPicPr/>
                  </pic:nvPicPr>
                  <pic:blipFill rotWithShape="1">
                    <a:blip r:embed="rId44">
                      <a:extLst>
                        <a:ext uri="{28A0092B-C50C-407E-A947-70E740481C1C}">
                          <a14:useLocalDpi xmlns:a14="http://schemas.microsoft.com/office/drawing/2010/main" val="0"/>
                        </a:ext>
                      </a:extLst>
                    </a:blip>
                    <a:srcRect t="9607" b="9607"/>
                    <a:stretch/>
                  </pic:blipFill>
                  <pic:spPr bwMode="auto">
                    <a:xfrm>
                      <a:off x="0" y="0"/>
                      <a:ext cx="7517219" cy="86730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4F876174" w14:textId="4E2B5D93"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17B28AAA" w14:textId="22116715" w:rsidR="00DE1B44" w:rsidRDefault="00DE1B44">
      <w:pPr>
        <w:widowControl w:val="0"/>
        <w:spacing w:before="120"/>
        <w:ind w:firstLineChars="0" w:firstLine="431"/>
        <w:rPr>
          <w:rFonts w:ascii="Times New Roman" w:hAnsi="Times New Roman" w:cs="Times New Roman"/>
          <w:kern w:val="2"/>
          <w:szCs w:val="22"/>
        </w:rPr>
      </w:pPr>
    </w:p>
    <w:p w14:paraId="377E6856" w14:textId="7777777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2376"/>
        <w:gridCol w:w="2694"/>
      </w:tblGrid>
      <w:tr w:rsidR="00DE1B44" w14:paraId="08DC9BB4" w14:textId="77777777">
        <w:tc>
          <w:tcPr>
            <w:tcW w:w="2376" w:type="dxa"/>
            <w:shd w:val="clear" w:color="auto" w:fill="auto"/>
            <w:vAlign w:val="bottom"/>
          </w:tcPr>
          <w:p w14:paraId="07757726"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高级管理人员签字</w:t>
            </w:r>
            <w:r>
              <w:rPr>
                <w:rFonts w:ascii="Calibri" w:hAnsi="Calibri" w:cs="Times New Roman"/>
                <w:color w:val="000000"/>
                <w:szCs w:val="20"/>
              </w:rPr>
              <w:t>：</w:t>
            </w:r>
          </w:p>
        </w:tc>
        <w:tc>
          <w:tcPr>
            <w:tcW w:w="2694" w:type="dxa"/>
            <w:tcBorders>
              <w:bottom w:val="single" w:sz="4" w:space="0" w:color="auto"/>
            </w:tcBorders>
            <w:shd w:val="clear" w:color="auto" w:fill="auto"/>
          </w:tcPr>
          <w:p w14:paraId="4068A05B"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41DCF8D9" w14:textId="77777777">
        <w:tc>
          <w:tcPr>
            <w:tcW w:w="2376" w:type="dxa"/>
            <w:shd w:val="clear" w:color="auto" w:fill="auto"/>
          </w:tcPr>
          <w:p w14:paraId="124DF74D"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2694" w:type="dxa"/>
            <w:tcBorders>
              <w:top w:val="single" w:sz="4" w:space="0" w:color="auto"/>
            </w:tcBorders>
            <w:shd w:val="clear" w:color="auto" w:fill="auto"/>
          </w:tcPr>
          <w:p w14:paraId="5414ED35"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李广新</w:t>
            </w:r>
          </w:p>
        </w:tc>
      </w:tr>
    </w:tbl>
    <w:p w14:paraId="55437A91" w14:textId="77777777" w:rsidR="00DE1B44" w:rsidRDefault="00DE1B44">
      <w:pPr>
        <w:widowControl w:val="0"/>
        <w:spacing w:before="120"/>
        <w:ind w:firstLineChars="0" w:firstLine="0"/>
        <w:rPr>
          <w:rFonts w:ascii="Times New Roman" w:hAnsi="Times New Roman" w:cs="Times New Roman"/>
          <w:kern w:val="2"/>
          <w:szCs w:val="22"/>
        </w:rPr>
      </w:pPr>
    </w:p>
    <w:p w14:paraId="18C1EF6F" w14:textId="521FBE7E" w:rsidR="00DE1B44" w:rsidRDefault="00DE1B44">
      <w:pPr>
        <w:widowControl w:val="0"/>
        <w:spacing w:before="120"/>
        <w:ind w:firstLineChars="0" w:firstLine="0"/>
        <w:rPr>
          <w:rFonts w:ascii="Times New Roman" w:hAnsi="Times New Roman" w:cs="Times New Roman"/>
          <w:kern w:val="2"/>
          <w:szCs w:val="22"/>
        </w:rPr>
      </w:pPr>
    </w:p>
    <w:p w14:paraId="630B383C" w14:textId="77777777" w:rsidR="00DE1B44" w:rsidRDefault="00DE1B44">
      <w:pPr>
        <w:widowControl w:val="0"/>
        <w:spacing w:before="120"/>
        <w:ind w:firstLineChars="0" w:firstLine="431"/>
        <w:rPr>
          <w:rFonts w:ascii="Times New Roman" w:hAnsi="Times New Roman" w:cs="Times New Roman"/>
          <w:kern w:val="2"/>
          <w:szCs w:val="22"/>
        </w:rPr>
      </w:pPr>
    </w:p>
    <w:p w14:paraId="40793781" w14:textId="77777777" w:rsidR="00DE1B44" w:rsidRDefault="00DE1B44">
      <w:pPr>
        <w:widowControl w:val="0"/>
        <w:spacing w:before="120"/>
        <w:ind w:firstLineChars="0" w:firstLine="431"/>
        <w:rPr>
          <w:rFonts w:ascii="Times New Roman" w:hAnsi="Times New Roman" w:cs="Times New Roman"/>
          <w:kern w:val="2"/>
          <w:szCs w:val="22"/>
        </w:rPr>
      </w:pPr>
    </w:p>
    <w:p w14:paraId="05532450" w14:textId="77777777" w:rsidR="00DE1B44" w:rsidRDefault="00DE1B44">
      <w:pPr>
        <w:widowControl w:val="0"/>
        <w:spacing w:before="120"/>
        <w:ind w:firstLineChars="0" w:firstLine="431"/>
        <w:rPr>
          <w:rFonts w:ascii="Times New Roman" w:hAnsi="Times New Roman" w:cs="Times New Roman"/>
          <w:kern w:val="2"/>
          <w:szCs w:val="22"/>
        </w:rPr>
      </w:pPr>
    </w:p>
    <w:p w14:paraId="61A4B95F"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07686714"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4B471D84"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02443416" w14:textId="75A8B5B2" w:rsidR="00DE1B44" w:rsidRDefault="001F689A" w:rsidP="009E3DFF">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22752" behindDoc="0" locked="0" layoutInCell="1" allowOverlap="1" wp14:anchorId="42855163" wp14:editId="7B37CBE3">
            <wp:simplePos x="0" y="0"/>
            <wp:positionH relativeFrom="column">
              <wp:posOffset>-892810</wp:posOffset>
            </wp:positionH>
            <wp:positionV relativeFrom="paragraph">
              <wp:posOffset>-147896</wp:posOffset>
            </wp:positionV>
            <wp:extent cx="7495954" cy="8817266"/>
            <wp:effectExtent l="0" t="0" r="0" b="317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28.jpg"/>
                    <pic:cNvPicPr/>
                  </pic:nvPicPr>
                  <pic:blipFill rotWithShape="1">
                    <a:blip r:embed="rId45">
                      <a:extLst>
                        <a:ext uri="{28A0092B-C50C-407E-A947-70E740481C1C}">
                          <a14:useLocalDpi xmlns:a14="http://schemas.microsoft.com/office/drawing/2010/main" val="0"/>
                        </a:ext>
                      </a:extLst>
                    </a:blip>
                    <a:srcRect t="8917" b="8917"/>
                    <a:stretch/>
                  </pic:blipFill>
                  <pic:spPr bwMode="auto">
                    <a:xfrm>
                      <a:off x="0" y="0"/>
                      <a:ext cx="7495954" cy="88172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0D8EEF63"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3F824FB5" w14:textId="77777777" w:rsidR="00DE1B44" w:rsidRDefault="00DE1B44">
      <w:pPr>
        <w:widowControl w:val="0"/>
        <w:spacing w:before="120"/>
        <w:ind w:firstLineChars="0" w:firstLine="431"/>
        <w:rPr>
          <w:rFonts w:ascii="Times New Roman" w:hAnsi="Times New Roman" w:cs="Times New Roman"/>
          <w:kern w:val="2"/>
          <w:szCs w:val="22"/>
        </w:rPr>
      </w:pPr>
    </w:p>
    <w:p w14:paraId="053899B7" w14:textId="6D0761A5"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2376"/>
        <w:gridCol w:w="2694"/>
      </w:tblGrid>
      <w:tr w:rsidR="00DE1B44" w14:paraId="59486778" w14:textId="77777777">
        <w:tc>
          <w:tcPr>
            <w:tcW w:w="2376" w:type="dxa"/>
            <w:shd w:val="clear" w:color="auto" w:fill="auto"/>
            <w:vAlign w:val="bottom"/>
          </w:tcPr>
          <w:p w14:paraId="676DB57B"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高级管理人员签字</w:t>
            </w:r>
            <w:r>
              <w:rPr>
                <w:rFonts w:ascii="Calibri" w:hAnsi="Calibri" w:cs="Times New Roman"/>
                <w:color w:val="000000"/>
                <w:szCs w:val="20"/>
              </w:rPr>
              <w:t>：</w:t>
            </w:r>
          </w:p>
        </w:tc>
        <w:tc>
          <w:tcPr>
            <w:tcW w:w="2694" w:type="dxa"/>
            <w:tcBorders>
              <w:bottom w:val="single" w:sz="4" w:space="0" w:color="auto"/>
            </w:tcBorders>
            <w:shd w:val="clear" w:color="auto" w:fill="auto"/>
          </w:tcPr>
          <w:p w14:paraId="76D80BC4"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5D223C2A" w14:textId="77777777">
        <w:tc>
          <w:tcPr>
            <w:tcW w:w="2376" w:type="dxa"/>
            <w:shd w:val="clear" w:color="auto" w:fill="auto"/>
          </w:tcPr>
          <w:p w14:paraId="49B65DCE"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2694" w:type="dxa"/>
            <w:tcBorders>
              <w:top w:val="single" w:sz="4" w:space="0" w:color="auto"/>
            </w:tcBorders>
            <w:shd w:val="clear" w:color="auto" w:fill="auto"/>
          </w:tcPr>
          <w:p w14:paraId="7439814C"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林德明</w:t>
            </w:r>
          </w:p>
        </w:tc>
      </w:tr>
    </w:tbl>
    <w:p w14:paraId="056B0555" w14:textId="77777777" w:rsidR="00DE1B44" w:rsidRDefault="00DE1B44">
      <w:pPr>
        <w:widowControl w:val="0"/>
        <w:spacing w:before="120"/>
        <w:ind w:firstLineChars="0" w:firstLine="0"/>
        <w:rPr>
          <w:rFonts w:ascii="Times New Roman" w:hAnsi="Times New Roman" w:cs="Times New Roman"/>
          <w:kern w:val="2"/>
          <w:szCs w:val="22"/>
        </w:rPr>
      </w:pPr>
    </w:p>
    <w:p w14:paraId="75B83AD5" w14:textId="77777777" w:rsidR="00DE1B44" w:rsidRDefault="00DE1B44">
      <w:pPr>
        <w:widowControl w:val="0"/>
        <w:spacing w:before="120"/>
        <w:ind w:firstLineChars="0" w:firstLine="0"/>
        <w:rPr>
          <w:rFonts w:ascii="Times New Roman" w:hAnsi="Times New Roman" w:cs="Times New Roman"/>
          <w:kern w:val="2"/>
          <w:szCs w:val="22"/>
        </w:rPr>
      </w:pPr>
    </w:p>
    <w:p w14:paraId="37B5FCFC" w14:textId="77777777" w:rsidR="00DE1B44" w:rsidRDefault="00DE1B44">
      <w:pPr>
        <w:widowControl w:val="0"/>
        <w:spacing w:before="120"/>
        <w:ind w:firstLineChars="0" w:firstLine="431"/>
        <w:rPr>
          <w:rFonts w:ascii="Times New Roman" w:hAnsi="Times New Roman" w:cs="Times New Roman"/>
          <w:kern w:val="2"/>
          <w:szCs w:val="22"/>
        </w:rPr>
      </w:pPr>
    </w:p>
    <w:p w14:paraId="5BB70FE9" w14:textId="77777777" w:rsidR="00DE1B44" w:rsidRDefault="00DE1B44">
      <w:pPr>
        <w:widowControl w:val="0"/>
        <w:spacing w:before="120"/>
        <w:ind w:firstLineChars="0" w:firstLine="431"/>
        <w:rPr>
          <w:rFonts w:ascii="Times New Roman" w:hAnsi="Times New Roman" w:cs="Times New Roman"/>
          <w:kern w:val="2"/>
          <w:szCs w:val="22"/>
        </w:rPr>
      </w:pPr>
    </w:p>
    <w:p w14:paraId="18EA389C" w14:textId="77777777" w:rsidR="00DE1B44" w:rsidRDefault="00DE1B44">
      <w:pPr>
        <w:widowControl w:val="0"/>
        <w:spacing w:before="120"/>
        <w:ind w:firstLineChars="0" w:firstLine="431"/>
        <w:rPr>
          <w:rFonts w:ascii="Times New Roman" w:hAnsi="Times New Roman" w:cs="Times New Roman"/>
          <w:kern w:val="2"/>
          <w:szCs w:val="22"/>
        </w:rPr>
      </w:pPr>
    </w:p>
    <w:p w14:paraId="6C8A7FC7"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1854DD99"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0AC5E411"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7E785B20" w14:textId="625BC2E2" w:rsidR="00DE1B44" w:rsidRDefault="001F689A" w:rsidP="009E3DFF">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23776" behindDoc="0" locked="0" layoutInCell="1" allowOverlap="1" wp14:anchorId="2B4D553B" wp14:editId="45EFFF3D">
            <wp:simplePos x="0" y="0"/>
            <wp:positionH relativeFrom="column">
              <wp:posOffset>-900959</wp:posOffset>
            </wp:positionH>
            <wp:positionV relativeFrom="paragraph">
              <wp:posOffset>-200793</wp:posOffset>
            </wp:positionV>
            <wp:extent cx="7495953" cy="813678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29.jpg"/>
                    <pic:cNvPicPr/>
                  </pic:nvPicPr>
                  <pic:blipFill rotWithShape="1">
                    <a:blip r:embed="rId46">
                      <a:extLst>
                        <a:ext uri="{28A0092B-C50C-407E-A947-70E740481C1C}">
                          <a14:useLocalDpi xmlns:a14="http://schemas.microsoft.com/office/drawing/2010/main" val="0"/>
                        </a:ext>
                      </a:extLst>
                    </a:blip>
                    <a:srcRect t="12088" b="12088"/>
                    <a:stretch/>
                  </pic:blipFill>
                  <pic:spPr bwMode="auto">
                    <a:xfrm>
                      <a:off x="0" y="0"/>
                      <a:ext cx="7495953" cy="813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6A4CE7F0" w14:textId="0AF63202"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236AD235" w14:textId="77777777" w:rsidR="00DE1B44" w:rsidRDefault="00DE1B44">
      <w:pPr>
        <w:widowControl w:val="0"/>
        <w:spacing w:before="120"/>
        <w:ind w:firstLineChars="0" w:firstLine="431"/>
        <w:rPr>
          <w:rFonts w:ascii="Times New Roman" w:hAnsi="Times New Roman" w:cs="Times New Roman"/>
          <w:kern w:val="2"/>
          <w:szCs w:val="22"/>
        </w:rPr>
      </w:pPr>
    </w:p>
    <w:p w14:paraId="540F03EF" w14:textId="79636D6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2376"/>
        <w:gridCol w:w="2694"/>
      </w:tblGrid>
      <w:tr w:rsidR="00DE1B44" w14:paraId="5277A6A2" w14:textId="77777777">
        <w:tc>
          <w:tcPr>
            <w:tcW w:w="2376" w:type="dxa"/>
            <w:shd w:val="clear" w:color="auto" w:fill="auto"/>
            <w:vAlign w:val="bottom"/>
          </w:tcPr>
          <w:p w14:paraId="5F16C901"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高级管理人员签字</w:t>
            </w:r>
            <w:r>
              <w:rPr>
                <w:rFonts w:ascii="Calibri" w:hAnsi="Calibri" w:cs="Times New Roman"/>
                <w:color w:val="000000"/>
                <w:szCs w:val="20"/>
              </w:rPr>
              <w:t>：</w:t>
            </w:r>
          </w:p>
        </w:tc>
        <w:tc>
          <w:tcPr>
            <w:tcW w:w="2694" w:type="dxa"/>
            <w:tcBorders>
              <w:bottom w:val="single" w:sz="4" w:space="0" w:color="auto"/>
            </w:tcBorders>
            <w:shd w:val="clear" w:color="auto" w:fill="auto"/>
          </w:tcPr>
          <w:p w14:paraId="082A1BC2"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1E57B439" w14:textId="77777777">
        <w:tc>
          <w:tcPr>
            <w:tcW w:w="2376" w:type="dxa"/>
            <w:shd w:val="clear" w:color="auto" w:fill="auto"/>
          </w:tcPr>
          <w:p w14:paraId="534087CA"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2694" w:type="dxa"/>
            <w:tcBorders>
              <w:top w:val="single" w:sz="4" w:space="0" w:color="auto"/>
            </w:tcBorders>
            <w:shd w:val="clear" w:color="auto" w:fill="auto"/>
          </w:tcPr>
          <w:p w14:paraId="6DA642A5"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李小水</w:t>
            </w:r>
          </w:p>
        </w:tc>
      </w:tr>
    </w:tbl>
    <w:p w14:paraId="25A9A0FC" w14:textId="77777777" w:rsidR="00DE1B44" w:rsidRDefault="00DE1B44">
      <w:pPr>
        <w:widowControl w:val="0"/>
        <w:spacing w:before="120"/>
        <w:ind w:firstLineChars="0" w:firstLine="0"/>
        <w:rPr>
          <w:rFonts w:ascii="Times New Roman" w:hAnsi="Times New Roman" w:cs="Times New Roman"/>
          <w:kern w:val="2"/>
          <w:szCs w:val="22"/>
        </w:rPr>
      </w:pPr>
    </w:p>
    <w:p w14:paraId="7791B8D0" w14:textId="77777777" w:rsidR="00DE1B44" w:rsidRDefault="00DE1B44">
      <w:pPr>
        <w:widowControl w:val="0"/>
        <w:spacing w:before="120"/>
        <w:ind w:firstLineChars="0" w:firstLine="0"/>
        <w:rPr>
          <w:rFonts w:ascii="Times New Roman" w:hAnsi="Times New Roman" w:cs="Times New Roman"/>
          <w:kern w:val="2"/>
          <w:szCs w:val="22"/>
        </w:rPr>
      </w:pPr>
    </w:p>
    <w:p w14:paraId="2C6BF887" w14:textId="77777777" w:rsidR="00DE1B44" w:rsidRDefault="00DE1B44">
      <w:pPr>
        <w:widowControl w:val="0"/>
        <w:spacing w:before="120"/>
        <w:ind w:firstLineChars="0" w:firstLine="431"/>
        <w:rPr>
          <w:rFonts w:ascii="Times New Roman" w:hAnsi="Times New Roman" w:cs="Times New Roman"/>
          <w:kern w:val="2"/>
          <w:szCs w:val="22"/>
        </w:rPr>
      </w:pPr>
    </w:p>
    <w:p w14:paraId="452A1B59" w14:textId="77777777" w:rsidR="00DE1B44" w:rsidRDefault="00DE1B44">
      <w:pPr>
        <w:widowControl w:val="0"/>
        <w:spacing w:before="120"/>
        <w:ind w:firstLineChars="0" w:firstLine="431"/>
        <w:rPr>
          <w:rFonts w:ascii="Times New Roman" w:hAnsi="Times New Roman" w:cs="Times New Roman"/>
          <w:kern w:val="2"/>
          <w:szCs w:val="22"/>
        </w:rPr>
      </w:pPr>
    </w:p>
    <w:p w14:paraId="7B680A08" w14:textId="77777777" w:rsidR="00DE1B44" w:rsidRDefault="00DE1B44">
      <w:pPr>
        <w:widowControl w:val="0"/>
        <w:spacing w:before="120"/>
        <w:ind w:firstLineChars="0" w:firstLine="431"/>
        <w:rPr>
          <w:rFonts w:ascii="Times New Roman" w:hAnsi="Times New Roman" w:cs="Times New Roman"/>
          <w:kern w:val="2"/>
          <w:szCs w:val="22"/>
        </w:rPr>
      </w:pPr>
    </w:p>
    <w:p w14:paraId="6155D9E7"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35955CA5"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3E0FE4BB"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02C6BC05" w14:textId="118CB65D" w:rsidR="00DE1B44" w:rsidRDefault="001F689A" w:rsidP="009E3DFF">
      <w:pPr>
        <w:spacing w:before="120"/>
        <w:ind w:firstLine="560"/>
        <w:jc w:val="center"/>
        <w:rPr>
          <w:rFonts w:ascii="黑体" w:eastAsia="黑体" w:hAnsi="黑体" w:cs="Times New Roman"/>
          <w:sz w:val="28"/>
        </w:rPr>
      </w:pPr>
      <w:r>
        <w:rPr>
          <w:rFonts w:ascii="黑体" w:eastAsia="黑体" w:hAnsi="黑体" w:cs="Times New Roman"/>
          <w:noProof/>
          <w:sz w:val="28"/>
        </w:rPr>
        <w:lastRenderedPageBreak/>
        <w:drawing>
          <wp:anchor distT="0" distB="0" distL="114300" distR="114300" simplePos="0" relativeHeight="251724800" behindDoc="0" locked="0" layoutInCell="1" allowOverlap="1" wp14:anchorId="3FFD0D3E" wp14:editId="5E772A29">
            <wp:simplePos x="0" y="0"/>
            <wp:positionH relativeFrom="column">
              <wp:posOffset>-914400</wp:posOffset>
            </wp:positionH>
            <wp:positionV relativeFrom="paragraph">
              <wp:posOffset>-104952</wp:posOffset>
            </wp:positionV>
            <wp:extent cx="7493423" cy="8240232"/>
            <wp:effectExtent l="0" t="0" r="0" b="889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30.jpg"/>
                    <pic:cNvPicPr/>
                  </pic:nvPicPr>
                  <pic:blipFill rotWithShape="1">
                    <a:blip r:embed="rId47">
                      <a:extLst>
                        <a:ext uri="{28A0092B-C50C-407E-A947-70E740481C1C}">
                          <a14:useLocalDpi xmlns:a14="http://schemas.microsoft.com/office/drawing/2010/main" val="0"/>
                        </a:ext>
                      </a:extLst>
                    </a:blip>
                    <a:srcRect t="8117" b="15147"/>
                    <a:stretch/>
                  </pic:blipFill>
                  <pic:spPr bwMode="auto">
                    <a:xfrm>
                      <a:off x="0" y="0"/>
                      <a:ext cx="7498800" cy="82461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黑体" w:eastAsia="黑体" w:hAnsi="黑体" w:cs="Times New Roman"/>
          <w:sz w:val="28"/>
        </w:rPr>
        <w:t>全体董事、监事、高级管理人员声明</w:t>
      </w:r>
    </w:p>
    <w:p w14:paraId="1D27B661" w14:textId="77777777" w:rsidR="00DE1B44" w:rsidRDefault="00D40582">
      <w:pPr>
        <w:spacing w:before="120"/>
        <w:ind w:firstLine="480"/>
        <w:rPr>
          <w:rFonts w:ascii="Times New Roman" w:hAnsi="Times New Roman" w:cs="Times New Roman"/>
        </w:rPr>
      </w:pPr>
      <w:r>
        <w:rPr>
          <w:rFonts w:ascii="Times New Roman" w:hAnsi="Times New Roman" w:cs="Times New Roman"/>
        </w:rPr>
        <w:t>本公司全体董事、监事、高级管理人员承诺本次定向发行说明书不存在虚假记载、误导性陈述或重大遗漏，并对其真实性、准确性、完整性承担个别和连带的法律责任。</w:t>
      </w:r>
    </w:p>
    <w:p w14:paraId="178C6150" w14:textId="367DD1A1" w:rsidR="00DE1B44" w:rsidRDefault="00DE1B44">
      <w:pPr>
        <w:widowControl w:val="0"/>
        <w:spacing w:before="120"/>
        <w:ind w:firstLineChars="0" w:firstLine="431"/>
        <w:rPr>
          <w:rFonts w:ascii="Times New Roman" w:hAnsi="Times New Roman" w:cs="Times New Roman"/>
          <w:kern w:val="2"/>
          <w:szCs w:val="22"/>
        </w:rPr>
      </w:pPr>
    </w:p>
    <w:p w14:paraId="7F7DFBC5" w14:textId="77777777" w:rsidR="00DE1B44" w:rsidRDefault="00DE1B44">
      <w:pPr>
        <w:widowControl w:val="0"/>
        <w:spacing w:before="120"/>
        <w:ind w:firstLineChars="0" w:firstLine="431"/>
        <w:rPr>
          <w:rFonts w:ascii="Times New Roman" w:hAnsi="Times New Roman" w:cs="Times New Roman"/>
          <w:kern w:val="2"/>
          <w:szCs w:val="22"/>
        </w:rPr>
      </w:pPr>
    </w:p>
    <w:tbl>
      <w:tblPr>
        <w:tblW w:w="5070" w:type="dxa"/>
        <w:tblLayout w:type="fixed"/>
        <w:tblLook w:val="04A0" w:firstRow="1" w:lastRow="0" w:firstColumn="1" w:lastColumn="0" w:noHBand="0" w:noVBand="1"/>
      </w:tblPr>
      <w:tblGrid>
        <w:gridCol w:w="2376"/>
        <w:gridCol w:w="2694"/>
      </w:tblGrid>
      <w:tr w:rsidR="00DE1B44" w14:paraId="689835D2" w14:textId="77777777">
        <w:tc>
          <w:tcPr>
            <w:tcW w:w="2376" w:type="dxa"/>
            <w:shd w:val="clear" w:color="auto" w:fill="auto"/>
            <w:vAlign w:val="bottom"/>
          </w:tcPr>
          <w:p w14:paraId="1F30C03C" w14:textId="77777777" w:rsidR="00DE1B44" w:rsidRDefault="00D40582">
            <w:pPr>
              <w:widowControl w:val="0"/>
              <w:spacing w:beforeLines="0" w:before="0" w:line="240" w:lineRule="auto"/>
              <w:ind w:firstLineChars="0" w:firstLine="0"/>
              <w:rPr>
                <w:rFonts w:ascii="Calibri" w:hAnsi="Calibri" w:cs="Times New Roman"/>
                <w:color w:val="000000"/>
                <w:szCs w:val="20"/>
              </w:rPr>
            </w:pPr>
            <w:r>
              <w:rPr>
                <w:rFonts w:ascii="Calibri" w:hAnsi="Calibri" w:cs="Times New Roman" w:hint="eastAsia"/>
                <w:color w:val="000000"/>
                <w:szCs w:val="20"/>
              </w:rPr>
              <w:t>高级管理人员签字</w:t>
            </w:r>
            <w:r>
              <w:rPr>
                <w:rFonts w:ascii="Calibri" w:hAnsi="Calibri" w:cs="Times New Roman"/>
                <w:color w:val="000000"/>
                <w:szCs w:val="20"/>
              </w:rPr>
              <w:t>：</w:t>
            </w:r>
          </w:p>
        </w:tc>
        <w:tc>
          <w:tcPr>
            <w:tcW w:w="2694" w:type="dxa"/>
            <w:tcBorders>
              <w:bottom w:val="single" w:sz="4" w:space="0" w:color="auto"/>
            </w:tcBorders>
            <w:shd w:val="clear" w:color="auto" w:fill="auto"/>
          </w:tcPr>
          <w:p w14:paraId="2C4B8774"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r>
      <w:tr w:rsidR="00DE1B44" w14:paraId="2A37F812" w14:textId="77777777">
        <w:tc>
          <w:tcPr>
            <w:tcW w:w="2376" w:type="dxa"/>
            <w:shd w:val="clear" w:color="auto" w:fill="auto"/>
          </w:tcPr>
          <w:p w14:paraId="32559A79" w14:textId="77777777" w:rsidR="00DE1B44" w:rsidRDefault="00DE1B44">
            <w:pPr>
              <w:widowControl w:val="0"/>
              <w:adjustRightInd w:val="0"/>
              <w:snapToGrid w:val="0"/>
              <w:spacing w:beforeLines="0" w:before="0" w:line="240" w:lineRule="auto"/>
              <w:ind w:firstLineChars="0" w:firstLine="0"/>
              <w:rPr>
                <w:rFonts w:ascii="Times New Roman" w:hAnsi="Times New Roman" w:cs="Times New Roman"/>
                <w:color w:val="000000"/>
              </w:rPr>
            </w:pPr>
          </w:p>
        </w:tc>
        <w:tc>
          <w:tcPr>
            <w:tcW w:w="2694" w:type="dxa"/>
            <w:tcBorders>
              <w:top w:val="single" w:sz="4" w:space="0" w:color="auto"/>
            </w:tcBorders>
            <w:shd w:val="clear" w:color="auto" w:fill="auto"/>
          </w:tcPr>
          <w:p w14:paraId="1913DDFD" w14:textId="77777777" w:rsidR="00DE1B44" w:rsidRDefault="00D40582">
            <w:pPr>
              <w:widowControl w:val="0"/>
              <w:adjustRightInd w:val="0"/>
              <w:snapToGrid w:val="0"/>
              <w:spacing w:beforeLines="0" w:before="0" w:line="240" w:lineRule="auto"/>
              <w:ind w:firstLineChars="0" w:firstLine="0"/>
              <w:jc w:val="center"/>
              <w:rPr>
                <w:rFonts w:ascii="Times New Roman" w:hAnsi="Times New Roman" w:cs="Times New Roman"/>
                <w:color w:val="000000"/>
              </w:rPr>
            </w:pPr>
            <w:r>
              <w:rPr>
                <w:rFonts w:ascii="Times New Roman" w:hAnsi="Times New Roman" w:cs="Times New Roman" w:hint="eastAsia"/>
                <w:color w:val="000000"/>
              </w:rPr>
              <w:t>张伟</w:t>
            </w:r>
          </w:p>
        </w:tc>
      </w:tr>
    </w:tbl>
    <w:p w14:paraId="4034971E" w14:textId="77777777" w:rsidR="00DE1B44" w:rsidRDefault="00DE1B44">
      <w:pPr>
        <w:widowControl w:val="0"/>
        <w:spacing w:before="120"/>
        <w:ind w:firstLineChars="0" w:firstLine="0"/>
        <w:rPr>
          <w:rFonts w:ascii="Times New Roman" w:hAnsi="Times New Roman" w:cs="Times New Roman"/>
          <w:kern w:val="2"/>
          <w:szCs w:val="22"/>
        </w:rPr>
      </w:pPr>
    </w:p>
    <w:p w14:paraId="3C9625CD" w14:textId="77777777" w:rsidR="00DE1B44" w:rsidRDefault="00DE1B44">
      <w:pPr>
        <w:widowControl w:val="0"/>
        <w:spacing w:before="120"/>
        <w:ind w:firstLineChars="0" w:firstLine="0"/>
        <w:rPr>
          <w:rFonts w:ascii="Times New Roman" w:hAnsi="Times New Roman" w:cs="Times New Roman"/>
          <w:kern w:val="2"/>
          <w:szCs w:val="22"/>
        </w:rPr>
      </w:pPr>
    </w:p>
    <w:p w14:paraId="67350362" w14:textId="77777777" w:rsidR="00DE1B44" w:rsidRDefault="00DE1B44">
      <w:pPr>
        <w:widowControl w:val="0"/>
        <w:spacing w:before="120"/>
        <w:ind w:firstLineChars="0" w:firstLine="431"/>
        <w:rPr>
          <w:rFonts w:ascii="Times New Roman" w:hAnsi="Times New Roman" w:cs="Times New Roman"/>
          <w:kern w:val="2"/>
          <w:szCs w:val="22"/>
        </w:rPr>
      </w:pPr>
    </w:p>
    <w:p w14:paraId="77CFC59A" w14:textId="77777777" w:rsidR="00DE1B44" w:rsidRDefault="00DE1B44">
      <w:pPr>
        <w:widowControl w:val="0"/>
        <w:spacing w:before="120"/>
        <w:ind w:firstLineChars="0" w:firstLine="431"/>
        <w:rPr>
          <w:rFonts w:ascii="Times New Roman" w:hAnsi="Times New Roman" w:cs="Times New Roman"/>
          <w:kern w:val="2"/>
          <w:szCs w:val="22"/>
        </w:rPr>
      </w:pPr>
    </w:p>
    <w:p w14:paraId="78DCA093" w14:textId="77777777" w:rsidR="00DE1B44" w:rsidRDefault="00DE1B44">
      <w:pPr>
        <w:widowControl w:val="0"/>
        <w:spacing w:before="120"/>
        <w:ind w:firstLineChars="0" w:firstLine="431"/>
        <w:rPr>
          <w:rFonts w:ascii="Times New Roman" w:hAnsi="Times New Roman" w:cs="Times New Roman"/>
          <w:kern w:val="2"/>
          <w:szCs w:val="22"/>
        </w:rPr>
      </w:pPr>
    </w:p>
    <w:p w14:paraId="43091C84"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广发银行股份有限公司</w:t>
      </w:r>
    </w:p>
    <w:p w14:paraId="4F97CA32" w14:textId="77777777" w:rsidR="00DE1B44" w:rsidRDefault="00D40582">
      <w:pPr>
        <w:widowControl w:val="0"/>
        <w:spacing w:before="120"/>
        <w:ind w:firstLineChars="0" w:firstLine="431"/>
        <w:jc w:val="right"/>
        <w:rPr>
          <w:rFonts w:ascii="Times New Roman" w:hAnsi="Times New Roman" w:cs="Times New Roman"/>
          <w:kern w:val="2"/>
          <w:szCs w:val="22"/>
        </w:rPr>
      </w:pPr>
      <w:r>
        <w:rPr>
          <w:rFonts w:ascii="Times New Roman" w:hAnsi="Times New Roman" w:cs="Times New Roman"/>
          <w:kern w:val="2"/>
          <w:szCs w:val="22"/>
        </w:rPr>
        <w:t>2021</w:t>
      </w:r>
      <w:r>
        <w:rPr>
          <w:rFonts w:ascii="Times New Roman" w:hAnsi="Times New Roman" w:cs="Times New Roman"/>
          <w:kern w:val="2"/>
          <w:szCs w:val="22"/>
        </w:rPr>
        <w:t>年</w:t>
      </w:r>
      <w:r>
        <w:rPr>
          <w:rFonts w:ascii="Times New Roman" w:hAnsi="Times New Roman" w:cs="Times New Roman"/>
          <w:kern w:val="2"/>
          <w:szCs w:val="22"/>
        </w:rPr>
        <w:t xml:space="preserve">  </w:t>
      </w:r>
      <w:r>
        <w:rPr>
          <w:rFonts w:ascii="Times New Roman" w:hAnsi="Times New Roman" w:cs="Times New Roman"/>
          <w:kern w:val="2"/>
          <w:szCs w:val="22"/>
        </w:rPr>
        <w:t>月</w:t>
      </w:r>
      <w:r>
        <w:rPr>
          <w:rFonts w:ascii="Times New Roman" w:hAnsi="Times New Roman" w:cs="Times New Roman"/>
          <w:kern w:val="2"/>
          <w:szCs w:val="22"/>
        </w:rPr>
        <w:t xml:space="preserve">  </w:t>
      </w:r>
      <w:r>
        <w:rPr>
          <w:rFonts w:ascii="Times New Roman" w:hAnsi="Times New Roman" w:cs="Times New Roman"/>
          <w:kern w:val="2"/>
          <w:szCs w:val="22"/>
        </w:rPr>
        <w:t>日</w:t>
      </w:r>
    </w:p>
    <w:p w14:paraId="0D34BCA1" w14:textId="77777777" w:rsidR="00DE1B44" w:rsidRDefault="00D40582">
      <w:pPr>
        <w:spacing w:beforeLines="0" w:before="0" w:line="240" w:lineRule="auto"/>
        <w:ind w:firstLineChars="0" w:firstLine="0"/>
        <w:jc w:val="left"/>
        <w:rPr>
          <w:rFonts w:ascii="Times New Roman" w:hAnsi="Times New Roman" w:cs="Times New Roman"/>
          <w:kern w:val="2"/>
          <w:szCs w:val="22"/>
        </w:rPr>
      </w:pPr>
      <w:r>
        <w:rPr>
          <w:rFonts w:ascii="Times New Roman" w:hAnsi="Times New Roman" w:cs="Times New Roman"/>
          <w:kern w:val="2"/>
          <w:szCs w:val="22"/>
        </w:rPr>
        <w:br w:type="page"/>
      </w:r>
    </w:p>
    <w:p w14:paraId="3B352582" w14:textId="77777777" w:rsidR="00DE1B44" w:rsidRDefault="00D40582">
      <w:pPr>
        <w:pStyle w:val="1ff1"/>
        <w:spacing w:before="120"/>
        <w:ind w:firstLine="720"/>
        <w:rPr>
          <w:rFonts w:ascii="Times New Roman" w:hAnsi="Times New Roman" w:cs="Times New Roman"/>
        </w:rPr>
      </w:pPr>
      <w:bookmarkStart w:id="114" w:name="_Toc89016944"/>
      <w:r>
        <w:rPr>
          <w:rFonts w:ascii="Times New Roman" w:hAnsi="Times New Roman" w:cs="Times New Roman"/>
        </w:rPr>
        <w:lastRenderedPageBreak/>
        <w:t>第</w:t>
      </w:r>
      <w:r>
        <w:rPr>
          <w:rFonts w:ascii="Times New Roman" w:hAnsi="Times New Roman" w:cs="Times New Roman" w:hint="eastAsia"/>
        </w:rPr>
        <w:t>九</w:t>
      </w:r>
      <w:r>
        <w:rPr>
          <w:rFonts w:ascii="Times New Roman" w:hAnsi="Times New Roman" w:cs="Times New Roman"/>
        </w:rPr>
        <w:t>节</w:t>
      </w:r>
      <w:r>
        <w:rPr>
          <w:rFonts w:ascii="Times New Roman" w:hAnsi="Times New Roman" w:cs="Times New Roman" w:hint="eastAsia"/>
        </w:rPr>
        <w:t xml:space="preserve"> </w:t>
      </w:r>
      <w:r>
        <w:rPr>
          <w:rFonts w:ascii="Times New Roman" w:hAnsi="Times New Roman" w:cs="Times New Roman" w:hint="eastAsia"/>
        </w:rPr>
        <w:t>证券服务机构声明</w:t>
      </w:r>
      <w:bookmarkEnd w:id="114"/>
    </w:p>
    <w:p w14:paraId="00ECCED6" w14:textId="77777777" w:rsidR="00DE1B44" w:rsidRDefault="00DE1B44">
      <w:pPr>
        <w:pStyle w:val="affa"/>
        <w:shd w:val="clear" w:color="auto" w:fill="FFFFFF"/>
        <w:spacing w:before="120"/>
        <w:ind w:firstLine="480"/>
        <w:rPr>
          <w:rFonts w:ascii="Times New Roman" w:hAnsi="Times New Roman"/>
        </w:rPr>
      </w:pPr>
    </w:p>
    <w:p w14:paraId="17C79CB8" w14:textId="77777777" w:rsidR="00DE1B44" w:rsidRDefault="00DE1B44">
      <w:pPr>
        <w:pStyle w:val="affa"/>
        <w:shd w:val="clear" w:color="auto" w:fill="FFFFFF"/>
        <w:spacing w:before="120"/>
        <w:ind w:firstLine="480"/>
        <w:rPr>
          <w:rFonts w:ascii="Times New Roman" w:hAnsi="Times New Roman"/>
        </w:rPr>
      </w:pPr>
    </w:p>
    <w:p w14:paraId="5FD4026E" w14:textId="77777777" w:rsidR="00DE1B44" w:rsidRDefault="00DE1B44">
      <w:pPr>
        <w:pStyle w:val="affa"/>
        <w:shd w:val="clear" w:color="auto" w:fill="FFFFFF"/>
        <w:spacing w:before="120"/>
        <w:ind w:firstLine="480"/>
        <w:rPr>
          <w:rFonts w:ascii="Times New Roman" w:hAnsi="Times New Roman"/>
        </w:rPr>
      </w:pPr>
    </w:p>
    <w:p w14:paraId="636E1528" w14:textId="77777777" w:rsidR="00DE1B44" w:rsidRDefault="00DE1B44">
      <w:pPr>
        <w:pStyle w:val="affa"/>
        <w:shd w:val="clear" w:color="auto" w:fill="FFFFFF"/>
        <w:spacing w:before="120"/>
        <w:ind w:firstLine="480"/>
        <w:rPr>
          <w:rFonts w:ascii="Times New Roman" w:hAnsi="Times New Roman"/>
        </w:rPr>
      </w:pPr>
    </w:p>
    <w:p w14:paraId="112E83F0" w14:textId="77777777" w:rsidR="00DE1B44" w:rsidRDefault="00DE1B44">
      <w:pPr>
        <w:pStyle w:val="affa"/>
        <w:shd w:val="clear" w:color="auto" w:fill="FFFFFF"/>
        <w:spacing w:before="120"/>
        <w:ind w:firstLine="480"/>
        <w:rPr>
          <w:rFonts w:ascii="Times New Roman" w:hAnsi="Times New Roman"/>
        </w:rPr>
      </w:pPr>
    </w:p>
    <w:p w14:paraId="408850F3" w14:textId="77777777" w:rsidR="00DE1B44" w:rsidRDefault="00DE1B44">
      <w:pPr>
        <w:pStyle w:val="affa"/>
        <w:shd w:val="clear" w:color="auto" w:fill="FFFFFF"/>
        <w:spacing w:before="120"/>
        <w:ind w:firstLine="480"/>
        <w:rPr>
          <w:rFonts w:ascii="Times New Roman" w:hAnsi="Times New Roman"/>
        </w:rPr>
      </w:pPr>
    </w:p>
    <w:p w14:paraId="48964E0C" w14:textId="77777777" w:rsidR="00DE1B44" w:rsidRDefault="00DE1B44">
      <w:pPr>
        <w:pStyle w:val="affa"/>
        <w:shd w:val="clear" w:color="auto" w:fill="FFFFFF"/>
        <w:spacing w:before="120"/>
        <w:ind w:firstLine="480"/>
        <w:rPr>
          <w:rFonts w:ascii="Times New Roman" w:hAnsi="Times New Roman"/>
        </w:rPr>
      </w:pPr>
    </w:p>
    <w:p w14:paraId="493CFF0C" w14:textId="77777777" w:rsidR="00DE1B44" w:rsidRDefault="00DE1B44">
      <w:pPr>
        <w:pStyle w:val="affa"/>
        <w:shd w:val="clear" w:color="auto" w:fill="FFFFFF"/>
        <w:spacing w:before="120"/>
        <w:ind w:firstLine="480"/>
        <w:rPr>
          <w:rFonts w:ascii="Times New Roman" w:hAnsi="Times New Roman"/>
        </w:rPr>
      </w:pPr>
    </w:p>
    <w:p w14:paraId="44113D49" w14:textId="77777777" w:rsidR="00DE1B44" w:rsidRDefault="00DE1B44">
      <w:pPr>
        <w:pStyle w:val="affa"/>
        <w:shd w:val="clear" w:color="auto" w:fill="FFFFFF"/>
        <w:spacing w:before="120"/>
        <w:ind w:firstLine="480"/>
        <w:rPr>
          <w:rFonts w:ascii="Times New Roman" w:hAnsi="Times New Roman"/>
        </w:rPr>
      </w:pPr>
    </w:p>
    <w:p w14:paraId="6468EFC3" w14:textId="77777777" w:rsidR="00DE1B44" w:rsidRDefault="00DE1B44">
      <w:pPr>
        <w:pStyle w:val="affa"/>
        <w:shd w:val="clear" w:color="auto" w:fill="FFFFFF"/>
        <w:spacing w:before="120"/>
        <w:ind w:firstLine="480"/>
        <w:rPr>
          <w:rFonts w:ascii="Times New Roman" w:hAnsi="Times New Roman"/>
        </w:rPr>
      </w:pPr>
    </w:p>
    <w:p w14:paraId="28C2E84E" w14:textId="77777777" w:rsidR="00DE1B44" w:rsidRDefault="00DE1B44">
      <w:pPr>
        <w:pStyle w:val="affa"/>
        <w:shd w:val="clear" w:color="auto" w:fill="FFFFFF"/>
        <w:spacing w:before="120"/>
        <w:ind w:firstLine="480"/>
        <w:rPr>
          <w:rFonts w:ascii="Times New Roman" w:hAnsi="Times New Roman"/>
        </w:rPr>
      </w:pPr>
    </w:p>
    <w:p w14:paraId="5856B15B" w14:textId="77777777" w:rsidR="00DE1B44" w:rsidRDefault="00DE1B44">
      <w:pPr>
        <w:pStyle w:val="affa"/>
        <w:shd w:val="clear" w:color="auto" w:fill="FFFFFF"/>
        <w:spacing w:before="120"/>
        <w:ind w:firstLine="480"/>
        <w:rPr>
          <w:rFonts w:ascii="Times New Roman" w:hAnsi="Times New Roman"/>
        </w:rPr>
      </w:pPr>
    </w:p>
    <w:p w14:paraId="10DED2AB" w14:textId="77777777" w:rsidR="00DE1B44" w:rsidRDefault="00DE1B44">
      <w:pPr>
        <w:pStyle w:val="affa"/>
        <w:shd w:val="clear" w:color="auto" w:fill="FFFFFF"/>
        <w:spacing w:before="120"/>
        <w:ind w:firstLine="480"/>
        <w:rPr>
          <w:rFonts w:ascii="Times New Roman" w:hAnsi="Times New Roman"/>
        </w:rPr>
      </w:pPr>
    </w:p>
    <w:p w14:paraId="4F449F18" w14:textId="77777777" w:rsidR="00DE1B44" w:rsidRDefault="00DE1B44">
      <w:pPr>
        <w:pStyle w:val="affa"/>
        <w:shd w:val="clear" w:color="auto" w:fill="FFFFFF"/>
        <w:spacing w:before="120"/>
        <w:ind w:firstLine="480"/>
        <w:rPr>
          <w:rFonts w:ascii="Times New Roman" w:hAnsi="Times New Roman"/>
        </w:rPr>
      </w:pPr>
    </w:p>
    <w:p w14:paraId="169845AC" w14:textId="77777777" w:rsidR="00DE1B44" w:rsidRDefault="00DE1B44">
      <w:pPr>
        <w:pStyle w:val="affa"/>
        <w:shd w:val="clear" w:color="auto" w:fill="FFFFFF"/>
        <w:spacing w:before="120"/>
        <w:ind w:firstLine="480"/>
        <w:rPr>
          <w:rFonts w:ascii="Times New Roman" w:hAnsi="Times New Roman"/>
        </w:rPr>
      </w:pPr>
    </w:p>
    <w:p w14:paraId="6AB584D0" w14:textId="77777777" w:rsidR="00DE1B44" w:rsidRDefault="00DE1B44">
      <w:pPr>
        <w:pStyle w:val="affa"/>
        <w:shd w:val="clear" w:color="auto" w:fill="FFFFFF"/>
        <w:spacing w:before="120"/>
        <w:ind w:firstLine="480"/>
        <w:rPr>
          <w:rFonts w:ascii="Times New Roman" w:hAnsi="Times New Roman"/>
        </w:rPr>
      </w:pPr>
    </w:p>
    <w:p w14:paraId="50B51BA5" w14:textId="77777777" w:rsidR="00DE1B44" w:rsidRDefault="00DE1B44">
      <w:pPr>
        <w:pStyle w:val="affa"/>
        <w:shd w:val="clear" w:color="auto" w:fill="FFFFFF"/>
        <w:spacing w:before="120"/>
        <w:ind w:firstLine="480"/>
        <w:rPr>
          <w:rFonts w:ascii="Times New Roman" w:hAnsi="Times New Roman"/>
        </w:rPr>
      </w:pPr>
    </w:p>
    <w:p w14:paraId="4EF25AFD" w14:textId="77777777" w:rsidR="00DE1B44" w:rsidRDefault="00DE1B44">
      <w:pPr>
        <w:pStyle w:val="affa"/>
        <w:shd w:val="clear" w:color="auto" w:fill="FFFFFF"/>
        <w:spacing w:before="120"/>
        <w:ind w:firstLine="480"/>
        <w:rPr>
          <w:rFonts w:ascii="Times New Roman" w:hAnsi="Times New Roman"/>
        </w:rPr>
      </w:pPr>
    </w:p>
    <w:p w14:paraId="429971C7" w14:textId="77777777" w:rsidR="00DE1B44" w:rsidRDefault="00DE1B44">
      <w:pPr>
        <w:pStyle w:val="affa"/>
        <w:shd w:val="clear" w:color="auto" w:fill="FFFFFF"/>
        <w:spacing w:before="120"/>
        <w:ind w:firstLine="480"/>
        <w:rPr>
          <w:rFonts w:ascii="Times New Roman" w:hAnsi="Times New Roman"/>
        </w:rPr>
      </w:pPr>
    </w:p>
    <w:p w14:paraId="13AEBF47" w14:textId="77777777" w:rsidR="00DE1B44" w:rsidRDefault="00DE1B44">
      <w:pPr>
        <w:pStyle w:val="affa"/>
        <w:shd w:val="clear" w:color="auto" w:fill="FFFFFF"/>
        <w:spacing w:before="120"/>
        <w:ind w:firstLine="480"/>
        <w:rPr>
          <w:rFonts w:ascii="Times New Roman" w:hAnsi="Times New Roman"/>
        </w:rPr>
      </w:pPr>
    </w:p>
    <w:p w14:paraId="31ECD46B" w14:textId="77777777" w:rsidR="00DE1B44" w:rsidRDefault="00DE1B44">
      <w:pPr>
        <w:pStyle w:val="affa"/>
        <w:shd w:val="clear" w:color="auto" w:fill="FFFFFF"/>
        <w:spacing w:before="120"/>
        <w:ind w:firstLine="480"/>
        <w:rPr>
          <w:rFonts w:ascii="Times New Roman" w:hAnsi="Times New Roman"/>
        </w:rPr>
      </w:pPr>
    </w:p>
    <w:p w14:paraId="659DED9A" w14:textId="77777777" w:rsidR="00DE1B44" w:rsidRDefault="00DE1B44">
      <w:pPr>
        <w:pStyle w:val="affa"/>
        <w:shd w:val="clear" w:color="auto" w:fill="FFFFFF"/>
        <w:spacing w:before="120"/>
        <w:ind w:firstLine="480"/>
        <w:rPr>
          <w:rFonts w:ascii="Times New Roman" w:hAnsi="Times New Roman"/>
        </w:rPr>
      </w:pPr>
    </w:p>
    <w:p w14:paraId="76B119E3" w14:textId="77777777" w:rsidR="00DE1B44" w:rsidRDefault="00DE1B44">
      <w:pPr>
        <w:pStyle w:val="affa"/>
        <w:shd w:val="clear" w:color="auto" w:fill="FFFFFF"/>
        <w:spacing w:before="120"/>
        <w:ind w:firstLine="480"/>
        <w:rPr>
          <w:rFonts w:ascii="Times New Roman" w:hAnsi="Times New Roman"/>
        </w:rPr>
      </w:pPr>
    </w:p>
    <w:p w14:paraId="033B1DB8" w14:textId="77777777" w:rsidR="00DE1B44" w:rsidRDefault="00DE1B44">
      <w:pPr>
        <w:pStyle w:val="affa"/>
        <w:shd w:val="clear" w:color="auto" w:fill="FFFFFF"/>
        <w:spacing w:before="120"/>
        <w:ind w:firstLine="480"/>
        <w:rPr>
          <w:rFonts w:ascii="Times New Roman" w:hAnsi="Times New Roman"/>
        </w:rPr>
      </w:pPr>
    </w:p>
    <w:p w14:paraId="0DEFBFE3" w14:textId="6D31BC77" w:rsidR="00DE1B44" w:rsidRDefault="002D1B32">
      <w:pPr>
        <w:pStyle w:val="2f0"/>
        <w:spacing w:before="120"/>
        <w:jc w:val="center"/>
        <w:rPr>
          <w:rFonts w:ascii="Times New Roman" w:hAnsi="Times New Roman"/>
        </w:rPr>
      </w:pPr>
      <w:bookmarkStart w:id="115" w:name="_Toc89016945"/>
      <w:r>
        <w:rPr>
          <w:rFonts w:ascii="Times New Roman" w:hAnsi="Times New Roman"/>
          <w:noProof/>
        </w:rPr>
        <w:lastRenderedPageBreak/>
        <w:drawing>
          <wp:anchor distT="0" distB="0" distL="114300" distR="114300" simplePos="0" relativeHeight="251658752" behindDoc="0" locked="0" layoutInCell="1" allowOverlap="1" wp14:anchorId="5A61D491" wp14:editId="31BBC766">
            <wp:simplePos x="0" y="0"/>
            <wp:positionH relativeFrom="column">
              <wp:posOffset>-906780</wp:posOffset>
            </wp:positionH>
            <wp:positionV relativeFrom="paragraph">
              <wp:posOffset>-1064895</wp:posOffset>
            </wp:positionV>
            <wp:extent cx="7528560" cy="10642100"/>
            <wp:effectExtent l="0" t="0" r="0" b="698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31483" cy="10646232"/>
                    </a:xfrm>
                    <a:prstGeom prst="rect">
                      <a:avLst/>
                    </a:prstGeom>
                    <a:noFill/>
                    <a:ln>
                      <a:noFill/>
                    </a:ln>
                  </pic:spPr>
                </pic:pic>
              </a:graphicData>
            </a:graphic>
            <wp14:sizeRelH relativeFrom="page">
              <wp14:pctWidth>0</wp14:pctWidth>
            </wp14:sizeRelH>
            <wp14:sizeRelV relativeFrom="page">
              <wp14:pctHeight>0</wp14:pctHeight>
            </wp14:sizeRelV>
          </wp:anchor>
        </w:drawing>
      </w:r>
      <w:r w:rsidR="00D40582">
        <w:rPr>
          <w:rFonts w:ascii="Times New Roman" w:hAnsi="Times New Roman" w:hint="eastAsia"/>
        </w:rPr>
        <w:t>一</w:t>
      </w:r>
      <w:r w:rsidR="00D40582">
        <w:rPr>
          <w:rFonts w:ascii="Times New Roman" w:hAnsi="Times New Roman"/>
        </w:rPr>
        <w:t>、</w:t>
      </w:r>
      <w:r w:rsidR="00D40582">
        <w:rPr>
          <w:rFonts w:ascii="Times New Roman" w:hAnsi="Times New Roman" w:hint="eastAsia"/>
        </w:rPr>
        <w:t>律师事务所声明</w:t>
      </w:r>
      <w:bookmarkEnd w:id="115"/>
    </w:p>
    <w:p w14:paraId="41A1291B" w14:textId="2EDCF1B7" w:rsidR="00DE1B44" w:rsidRDefault="00DE1B44">
      <w:pPr>
        <w:pStyle w:val="affa"/>
        <w:shd w:val="clear" w:color="auto" w:fill="FFFFFF"/>
        <w:spacing w:before="120"/>
        <w:ind w:firstLine="480"/>
        <w:rPr>
          <w:rFonts w:ascii="Times New Roman" w:hAnsi="Times New Roman"/>
        </w:rPr>
      </w:pPr>
    </w:p>
    <w:p w14:paraId="5EB2BFC8" w14:textId="77777777" w:rsidR="00DE1B44" w:rsidRDefault="00D40582">
      <w:pPr>
        <w:widowControl w:val="0"/>
        <w:spacing w:before="120"/>
        <w:ind w:firstLine="480"/>
        <w:rPr>
          <w:rFonts w:ascii="Times New Roman" w:hAnsi="Times New Roman" w:cs="Times New Roman"/>
          <w:kern w:val="2"/>
        </w:rPr>
      </w:pPr>
      <w:r>
        <w:rPr>
          <w:rFonts w:ascii="Times New Roman" w:hAnsi="Times New Roman" w:cs="Times New Roman"/>
          <w:kern w:val="2"/>
        </w:rPr>
        <w:t>本</w:t>
      </w:r>
      <w:r>
        <w:rPr>
          <w:rFonts w:ascii="Times New Roman" w:hAnsi="Times New Roman" w:cs="Times New Roman" w:hint="eastAsia"/>
          <w:kern w:val="2"/>
        </w:rPr>
        <w:t>律师事务所</w:t>
      </w:r>
      <w:r>
        <w:rPr>
          <w:rFonts w:ascii="Times New Roman" w:hAnsi="Times New Roman" w:cs="Times New Roman"/>
          <w:kern w:val="2"/>
        </w:rPr>
        <w:t>及经办律师已阅读定向发行说明书，确认定向发行说明书与本</w:t>
      </w:r>
      <w:r>
        <w:rPr>
          <w:rFonts w:ascii="Times New Roman" w:hAnsi="Times New Roman" w:cs="Times New Roman" w:hint="eastAsia"/>
          <w:kern w:val="2"/>
        </w:rPr>
        <w:t>律师事务所</w:t>
      </w:r>
      <w:r>
        <w:rPr>
          <w:rFonts w:ascii="Times New Roman" w:hAnsi="Times New Roman" w:cs="Times New Roman"/>
          <w:kern w:val="2"/>
        </w:rPr>
        <w:t>出具的法律意见书无矛盾之处。本</w:t>
      </w:r>
      <w:r>
        <w:rPr>
          <w:rFonts w:ascii="Times New Roman" w:hAnsi="Times New Roman" w:cs="Times New Roman" w:hint="eastAsia"/>
          <w:kern w:val="2"/>
        </w:rPr>
        <w:t>律师事务所</w:t>
      </w:r>
      <w:r>
        <w:rPr>
          <w:rFonts w:ascii="Times New Roman" w:hAnsi="Times New Roman" w:cs="Times New Roman"/>
          <w:kern w:val="2"/>
        </w:rPr>
        <w:t>及经办</w:t>
      </w:r>
      <w:r>
        <w:rPr>
          <w:rFonts w:ascii="Times New Roman" w:hAnsi="Times New Roman" w:cs="Times New Roman" w:hint="eastAsia"/>
          <w:kern w:val="2"/>
        </w:rPr>
        <w:t>人员</w:t>
      </w:r>
      <w:r>
        <w:rPr>
          <w:rFonts w:ascii="Times New Roman" w:hAnsi="Times New Roman" w:cs="Times New Roman"/>
          <w:kern w:val="2"/>
        </w:rPr>
        <w:t>对申请人在定向发行说明书中引用的法律意见书的内容无异议，确认定向发行说明书不致因上述内容而出现虚假记载、误导性陈述或重大遗漏，并对其真实性、准确性和完整性承担相应的法律责任。</w:t>
      </w:r>
    </w:p>
    <w:p w14:paraId="0A7446BB" w14:textId="77777777" w:rsidR="00DE1B44" w:rsidRDefault="00DE1B44">
      <w:pPr>
        <w:widowControl w:val="0"/>
        <w:spacing w:before="120"/>
        <w:ind w:firstLine="480"/>
        <w:rPr>
          <w:rFonts w:ascii="Times New Roman" w:hAnsi="Times New Roman" w:cs="Times New Roman"/>
          <w:kern w:val="2"/>
        </w:rPr>
      </w:pPr>
    </w:p>
    <w:p w14:paraId="29CA3D11" w14:textId="0DAB319C" w:rsidR="00DE1B44" w:rsidRDefault="00DE1B44">
      <w:pPr>
        <w:widowControl w:val="0"/>
        <w:spacing w:before="120"/>
        <w:ind w:firstLine="480"/>
        <w:rPr>
          <w:rFonts w:ascii="Times New Roman" w:hAnsi="Times New Roman" w:cs="Times New Roman"/>
          <w:kern w:val="2"/>
        </w:rPr>
      </w:pPr>
    </w:p>
    <w:p w14:paraId="4E957371" w14:textId="77777777" w:rsidR="00DE1B44" w:rsidRDefault="00DE1B44">
      <w:pPr>
        <w:widowControl w:val="0"/>
        <w:spacing w:before="120"/>
        <w:ind w:firstLine="480"/>
        <w:rPr>
          <w:rFonts w:ascii="Times New Roman" w:hAnsi="Times New Roman" w:cs="Times New Roman"/>
          <w:kern w:val="2"/>
        </w:rPr>
      </w:pPr>
    </w:p>
    <w:p w14:paraId="567A8DB7" w14:textId="77777777" w:rsidR="00DE1B44" w:rsidRDefault="00D40582">
      <w:pPr>
        <w:spacing w:before="120"/>
        <w:ind w:firstLine="480"/>
        <w:rPr>
          <w:rFonts w:ascii="Times New Roman" w:hAnsi="Times New Roman" w:cs="Times New Roman"/>
          <w:szCs w:val="21"/>
        </w:rPr>
      </w:pPr>
      <w:r>
        <w:rPr>
          <w:rFonts w:ascii="Times New Roman" w:hAnsi="Times New Roman" w:cs="Times New Roman"/>
          <w:szCs w:val="21"/>
        </w:rPr>
        <w:t>负责人</w:t>
      </w:r>
      <w:r>
        <w:rPr>
          <w:rFonts w:ascii="Times New Roman" w:hAnsi="Times New Roman" w:cs="Times New Roman" w:hint="eastAsia"/>
          <w:szCs w:val="21"/>
        </w:rPr>
        <w:t>（签名）</w:t>
      </w:r>
      <w:r>
        <w:rPr>
          <w:rFonts w:ascii="Times New Roman" w:hAnsi="Times New Roman" w:cs="Times New Roman"/>
        </w:rPr>
        <w:t>：</w:t>
      </w:r>
    </w:p>
    <w:tbl>
      <w:tblPr>
        <w:tblW w:w="8100" w:type="dxa"/>
        <w:jc w:val="center"/>
        <w:tblLayout w:type="fixed"/>
        <w:tblLook w:val="04A0" w:firstRow="1" w:lastRow="0" w:firstColumn="1" w:lastColumn="0" w:noHBand="0" w:noVBand="1"/>
      </w:tblPr>
      <w:tblGrid>
        <w:gridCol w:w="2110"/>
        <w:gridCol w:w="880"/>
        <w:gridCol w:w="2111"/>
        <w:gridCol w:w="888"/>
        <w:gridCol w:w="2111"/>
      </w:tblGrid>
      <w:tr w:rsidR="00DE1B44" w14:paraId="32CE9108" w14:textId="77777777">
        <w:trPr>
          <w:jc w:val="center"/>
        </w:trPr>
        <w:tc>
          <w:tcPr>
            <w:tcW w:w="2110" w:type="dxa"/>
          </w:tcPr>
          <w:p w14:paraId="369B9340" w14:textId="77777777" w:rsidR="00DE1B44" w:rsidRDefault="00DE1B44">
            <w:pPr>
              <w:spacing w:before="120"/>
              <w:ind w:firstLine="480"/>
              <w:jc w:val="center"/>
              <w:rPr>
                <w:rFonts w:ascii="Times New Roman" w:hAnsi="Times New Roman" w:cs="Times New Roman"/>
                <w:szCs w:val="28"/>
              </w:rPr>
            </w:pPr>
          </w:p>
        </w:tc>
        <w:tc>
          <w:tcPr>
            <w:tcW w:w="880" w:type="dxa"/>
          </w:tcPr>
          <w:p w14:paraId="096CDC10" w14:textId="77777777" w:rsidR="00DE1B44" w:rsidRDefault="00DE1B44">
            <w:pPr>
              <w:spacing w:before="120"/>
              <w:ind w:firstLine="480"/>
              <w:jc w:val="center"/>
              <w:rPr>
                <w:rFonts w:ascii="Times New Roman" w:hAnsi="Times New Roman" w:cs="Times New Roman"/>
                <w:szCs w:val="28"/>
              </w:rPr>
            </w:pPr>
          </w:p>
        </w:tc>
        <w:tc>
          <w:tcPr>
            <w:tcW w:w="2111" w:type="dxa"/>
            <w:tcBorders>
              <w:top w:val="nil"/>
              <w:left w:val="nil"/>
              <w:bottom w:val="single" w:sz="4" w:space="0" w:color="auto"/>
              <w:right w:val="nil"/>
            </w:tcBorders>
          </w:tcPr>
          <w:p w14:paraId="3043152D" w14:textId="77777777" w:rsidR="00DE1B44" w:rsidRDefault="00DE1B44">
            <w:pPr>
              <w:spacing w:before="120"/>
              <w:ind w:firstLine="480"/>
              <w:jc w:val="center"/>
              <w:rPr>
                <w:rFonts w:ascii="Times New Roman" w:hAnsi="Times New Roman" w:cs="Times New Roman"/>
                <w:szCs w:val="28"/>
              </w:rPr>
            </w:pPr>
          </w:p>
        </w:tc>
        <w:tc>
          <w:tcPr>
            <w:tcW w:w="888" w:type="dxa"/>
          </w:tcPr>
          <w:p w14:paraId="18901E24" w14:textId="77777777" w:rsidR="00DE1B44" w:rsidRDefault="00DE1B44">
            <w:pPr>
              <w:spacing w:before="120"/>
              <w:ind w:firstLine="480"/>
              <w:jc w:val="center"/>
              <w:rPr>
                <w:rFonts w:ascii="Times New Roman" w:hAnsi="Times New Roman" w:cs="Times New Roman"/>
                <w:szCs w:val="28"/>
              </w:rPr>
            </w:pPr>
          </w:p>
        </w:tc>
        <w:tc>
          <w:tcPr>
            <w:tcW w:w="2111" w:type="dxa"/>
          </w:tcPr>
          <w:p w14:paraId="6BE106CB" w14:textId="77777777" w:rsidR="00DE1B44" w:rsidRDefault="00DE1B44">
            <w:pPr>
              <w:spacing w:before="120"/>
              <w:ind w:firstLine="480"/>
              <w:jc w:val="center"/>
              <w:rPr>
                <w:rFonts w:ascii="Times New Roman" w:hAnsi="Times New Roman" w:cs="Times New Roman"/>
                <w:szCs w:val="28"/>
              </w:rPr>
            </w:pPr>
          </w:p>
        </w:tc>
      </w:tr>
      <w:tr w:rsidR="00DE1B44" w14:paraId="67AF2E98" w14:textId="77777777">
        <w:trPr>
          <w:jc w:val="center"/>
        </w:trPr>
        <w:tc>
          <w:tcPr>
            <w:tcW w:w="2110" w:type="dxa"/>
          </w:tcPr>
          <w:p w14:paraId="399EC057" w14:textId="77777777" w:rsidR="00DE1B44" w:rsidRDefault="00DE1B44">
            <w:pPr>
              <w:spacing w:before="120"/>
              <w:ind w:firstLine="480"/>
              <w:jc w:val="center"/>
              <w:rPr>
                <w:rFonts w:ascii="Times New Roman" w:hAnsi="Times New Roman" w:cs="Times New Roman"/>
                <w:szCs w:val="28"/>
              </w:rPr>
            </w:pPr>
          </w:p>
        </w:tc>
        <w:tc>
          <w:tcPr>
            <w:tcW w:w="880" w:type="dxa"/>
          </w:tcPr>
          <w:p w14:paraId="1A459AAE" w14:textId="77777777" w:rsidR="00DE1B44" w:rsidRDefault="00DE1B44">
            <w:pPr>
              <w:spacing w:before="120"/>
              <w:ind w:firstLine="480"/>
              <w:jc w:val="center"/>
              <w:rPr>
                <w:rFonts w:ascii="Times New Roman" w:hAnsi="Times New Roman" w:cs="Times New Roman"/>
                <w:szCs w:val="28"/>
              </w:rPr>
            </w:pPr>
          </w:p>
        </w:tc>
        <w:tc>
          <w:tcPr>
            <w:tcW w:w="2111" w:type="dxa"/>
            <w:tcBorders>
              <w:top w:val="single" w:sz="4" w:space="0" w:color="auto"/>
              <w:left w:val="nil"/>
              <w:bottom w:val="nil"/>
              <w:right w:val="nil"/>
            </w:tcBorders>
          </w:tcPr>
          <w:p w14:paraId="7B4BCD37" w14:textId="77777777" w:rsidR="00DE1B44" w:rsidRDefault="00D40582">
            <w:pPr>
              <w:spacing w:before="120"/>
              <w:ind w:firstLineChars="0" w:firstLine="0"/>
              <w:jc w:val="center"/>
              <w:rPr>
                <w:rFonts w:ascii="Times New Roman" w:hAnsi="Times New Roman" w:cs="Times New Roman"/>
                <w:kern w:val="2"/>
                <w:szCs w:val="28"/>
              </w:rPr>
            </w:pPr>
            <w:r>
              <w:rPr>
                <w:rFonts w:ascii="Times New Roman" w:hAnsi="Times New Roman" w:cs="Times New Roman" w:hint="eastAsia"/>
                <w:szCs w:val="28"/>
              </w:rPr>
              <w:t>卢跃峰</w:t>
            </w:r>
          </w:p>
        </w:tc>
        <w:tc>
          <w:tcPr>
            <w:tcW w:w="888" w:type="dxa"/>
          </w:tcPr>
          <w:p w14:paraId="260CA62D" w14:textId="77777777" w:rsidR="00DE1B44" w:rsidRDefault="00DE1B44">
            <w:pPr>
              <w:spacing w:before="120"/>
              <w:ind w:firstLine="480"/>
              <w:jc w:val="center"/>
              <w:rPr>
                <w:rFonts w:ascii="Times New Roman" w:hAnsi="Times New Roman" w:cs="Times New Roman"/>
                <w:szCs w:val="28"/>
              </w:rPr>
            </w:pPr>
          </w:p>
        </w:tc>
        <w:tc>
          <w:tcPr>
            <w:tcW w:w="2111" w:type="dxa"/>
          </w:tcPr>
          <w:p w14:paraId="4E4FD51A" w14:textId="77777777" w:rsidR="00DE1B44" w:rsidRDefault="00DE1B44">
            <w:pPr>
              <w:spacing w:before="120"/>
              <w:ind w:firstLine="480"/>
              <w:jc w:val="center"/>
              <w:rPr>
                <w:rFonts w:ascii="Times New Roman" w:hAnsi="Times New Roman" w:cs="Times New Roman"/>
                <w:szCs w:val="28"/>
              </w:rPr>
            </w:pPr>
          </w:p>
        </w:tc>
      </w:tr>
    </w:tbl>
    <w:p w14:paraId="469B697D" w14:textId="77777777" w:rsidR="00DE1B44" w:rsidRDefault="00DE1B44">
      <w:pPr>
        <w:widowControl w:val="0"/>
        <w:spacing w:before="120"/>
        <w:ind w:firstLine="480"/>
        <w:rPr>
          <w:rFonts w:ascii="Times New Roman" w:hAnsi="Times New Roman" w:cs="Times New Roman"/>
          <w:kern w:val="2"/>
        </w:rPr>
      </w:pPr>
    </w:p>
    <w:p w14:paraId="532ACC4E" w14:textId="77777777" w:rsidR="00DE1B44" w:rsidRDefault="00D40582">
      <w:pPr>
        <w:spacing w:before="120"/>
        <w:ind w:firstLine="480"/>
        <w:rPr>
          <w:rFonts w:ascii="Times New Roman" w:hAnsi="Times New Roman" w:cs="Times New Roman"/>
        </w:rPr>
      </w:pPr>
      <w:r>
        <w:rPr>
          <w:rFonts w:ascii="Times New Roman" w:hAnsi="Times New Roman" w:cs="Times New Roman"/>
        </w:rPr>
        <w:t>经办律师</w:t>
      </w:r>
      <w:r>
        <w:rPr>
          <w:rFonts w:ascii="Times New Roman" w:hAnsi="Times New Roman" w:cs="Times New Roman" w:hint="eastAsia"/>
        </w:rPr>
        <w:t>（签名）</w:t>
      </w:r>
      <w:r>
        <w:rPr>
          <w:rFonts w:ascii="Times New Roman" w:hAnsi="Times New Roman" w:cs="Times New Roman"/>
        </w:rPr>
        <w:t>：</w:t>
      </w:r>
    </w:p>
    <w:p w14:paraId="2BECBBC1" w14:textId="77777777" w:rsidR="00DE1B44" w:rsidRDefault="00DE1B44">
      <w:pPr>
        <w:spacing w:before="120"/>
        <w:ind w:firstLine="480"/>
        <w:rPr>
          <w:rFonts w:ascii="Times New Roman" w:hAnsi="Times New Roman" w:cs="Times New Roman"/>
          <w:szCs w:val="21"/>
        </w:rPr>
      </w:pPr>
    </w:p>
    <w:tbl>
      <w:tblPr>
        <w:tblW w:w="6018" w:type="dxa"/>
        <w:jc w:val="center"/>
        <w:tblLayout w:type="fixed"/>
        <w:tblLook w:val="04A0" w:firstRow="1" w:lastRow="0" w:firstColumn="1" w:lastColumn="0" w:noHBand="0" w:noVBand="1"/>
      </w:tblPr>
      <w:tblGrid>
        <w:gridCol w:w="2552"/>
        <w:gridCol w:w="631"/>
        <w:gridCol w:w="2543"/>
        <w:gridCol w:w="292"/>
      </w:tblGrid>
      <w:tr w:rsidR="00DE1B44" w14:paraId="241C1DB9" w14:textId="77777777">
        <w:trPr>
          <w:jc w:val="center"/>
        </w:trPr>
        <w:tc>
          <w:tcPr>
            <w:tcW w:w="2552" w:type="dxa"/>
            <w:tcBorders>
              <w:bottom w:val="single" w:sz="4" w:space="0" w:color="auto"/>
            </w:tcBorders>
            <w:shd w:val="clear" w:color="auto" w:fill="auto"/>
          </w:tcPr>
          <w:p w14:paraId="33EBB8C6" w14:textId="77777777" w:rsidR="00DE1B44" w:rsidRDefault="00DE1B44">
            <w:pPr>
              <w:spacing w:before="120"/>
              <w:ind w:firstLine="480"/>
              <w:rPr>
                <w:rFonts w:ascii="Times New Roman" w:hAnsi="Times New Roman" w:cs="Times New Roman"/>
                <w:lang w:val="zh-CN"/>
              </w:rPr>
            </w:pPr>
          </w:p>
        </w:tc>
        <w:tc>
          <w:tcPr>
            <w:tcW w:w="631" w:type="dxa"/>
            <w:shd w:val="clear" w:color="auto" w:fill="auto"/>
          </w:tcPr>
          <w:p w14:paraId="751C5FB7" w14:textId="77777777" w:rsidR="00DE1B44" w:rsidRDefault="00DE1B44">
            <w:pPr>
              <w:spacing w:before="120"/>
              <w:ind w:firstLine="480"/>
              <w:rPr>
                <w:rFonts w:ascii="Times New Roman" w:hAnsi="Times New Roman" w:cs="Times New Roman"/>
                <w:lang w:val="zh-CN"/>
              </w:rPr>
            </w:pPr>
          </w:p>
        </w:tc>
        <w:tc>
          <w:tcPr>
            <w:tcW w:w="2543" w:type="dxa"/>
            <w:tcBorders>
              <w:bottom w:val="single" w:sz="4" w:space="0" w:color="auto"/>
            </w:tcBorders>
          </w:tcPr>
          <w:p w14:paraId="5C90DCE0" w14:textId="77777777" w:rsidR="00DE1B44" w:rsidRDefault="00DE1B44">
            <w:pPr>
              <w:spacing w:beforeLines="0" w:before="0" w:line="240" w:lineRule="auto"/>
              <w:ind w:firstLineChars="0" w:firstLine="0"/>
              <w:jc w:val="left"/>
            </w:pPr>
          </w:p>
        </w:tc>
        <w:tc>
          <w:tcPr>
            <w:tcW w:w="292" w:type="dxa"/>
          </w:tcPr>
          <w:p w14:paraId="3C765EB5" w14:textId="77777777" w:rsidR="00DE1B44" w:rsidRDefault="00DE1B44">
            <w:pPr>
              <w:spacing w:beforeLines="0" w:before="0" w:line="240" w:lineRule="auto"/>
              <w:ind w:firstLineChars="0" w:firstLine="0"/>
              <w:jc w:val="left"/>
            </w:pPr>
          </w:p>
        </w:tc>
      </w:tr>
      <w:tr w:rsidR="00DE1B44" w14:paraId="71EC4C0F" w14:textId="77777777">
        <w:trPr>
          <w:trHeight w:val="337"/>
          <w:jc w:val="center"/>
        </w:trPr>
        <w:tc>
          <w:tcPr>
            <w:tcW w:w="2552" w:type="dxa"/>
            <w:tcBorders>
              <w:top w:val="single" w:sz="4" w:space="0" w:color="auto"/>
            </w:tcBorders>
            <w:shd w:val="clear" w:color="auto" w:fill="auto"/>
            <w:vAlign w:val="center"/>
          </w:tcPr>
          <w:p w14:paraId="65ACFF1F" w14:textId="77777777" w:rsidR="00DE1B44" w:rsidRDefault="00D40582">
            <w:pPr>
              <w:widowControl w:val="0"/>
              <w:spacing w:before="120"/>
              <w:ind w:firstLineChars="0" w:firstLine="0"/>
              <w:jc w:val="center"/>
              <w:rPr>
                <w:rFonts w:ascii="Times New Roman" w:hAnsi="Times New Roman" w:cs="Times New Roman"/>
                <w:kern w:val="2"/>
              </w:rPr>
            </w:pPr>
            <w:r>
              <w:rPr>
                <w:rFonts w:ascii="Times New Roman" w:hAnsi="Times New Roman" w:cs="Times New Roman" w:hint="eastAsia"/>
                <w:lang w:val="zh-CN"/>
              </w:rPr>
              <w:t>张之珂</w:t>
            </w:r>
          </w:p>
        </w:tc>
        <w:tc>
          <w:tcPr>
            <w:tcW w:w="631" w:type="dxa"/>
            <w:shd w:val="clear" w:color="auto" w:fill="auto"/>
          </w:tcPr>
          <w:p w14:paraId="38C43BF4" w14:textId="77777777" w:rsidR="00DE1B44" w:rsidRDefault="00DE1B44">
            <w:pPr>
              <w:spacing w:before="120"/>
              <w:ind w:firstLineChars="0" w:firstLine="0"/>
              <w:jc w:val="center"/>
              <w:rPr>
                <w:rFonts w:ascii="Times New Roman" w:hAnsi="Times New Roman" w:cs="Times New Roman"/>
                <w:lang w:val="zh-CN"/>
              </w:rPr>
            </w:pPr>
          </w:p>
        </w:tc>
        <w:tc>
          <w:tcPr>
            <w:tcW w:w="2543" w:type="dxa"/>
            <w:tcBorders>
              <w:top w:val="single" w:sz="4" w:space="0" w:color="auto"/>
            </w:tcBorders>
            <w:vAlign w:val="center"/>
          </w:tcPr>
          <w:p w14:paraId="5B3CC480" w14:textId="77777777" w:rsidR="00DE1B44" w:rsidRDefault="00D40582">
            <w:pPr>
              <w:spacing w:beforeLines="0" w:before="0" w:line="240" w:lineRule="auto"/>
              <w:ind w:firstLineChars="0" w:firstLine="0"/>
              <w:jc w:val="center"/>
            </w:pPr>
            <w:proofErr w:type="gramStart"/>
            <w:r>
              <w:rPr>
                <w:rFonts w:ascii="Times New Roman" w:hAnsi="Times New Roman" w:cs="Times New Roman" w:hint="eastAsia"/>
              </w:rPr>
              <w:t>张明琪</w:t>
            </w:r>
            <w:proofErr w:type="gramEnd"/>
          </w:p>
        </w:tc>
        <w:tc>
          <w:tcPr>
            <w:tcW w:w="292" w:type="dxa"/>
            <w:vAlign w:val="center"/>
          </w:tcPr>
          <w:p w14:paraId="454B3991" w14:textId="77777777" w:rsidR="00DE1B44" w:rsidRDefault="00DE1B44">
            <w:pPr>
              <w:spacing w:beforeLines="0" w:before="0" w:line="240" w:lineRule="auto"/>
              <w:ind w:firstLineChars="0" w:firstLine="0"/>
              <w:jc w:val="left"/>
            </w:pPr>
          </w:p>
        </w:tc>
      </w:tr>
    </w:tbl>
    <w:p w14:paraId="112EDA3B" w14:textId="77777777" w:rsidR="00DE1B44" w:rsidRDefault="00DE1B44">
      <w:pPr>
        <w:spacing w:before="120" w:afterLines="50" w:after="120"/>
        <w:ind w:right="26" w:firstLine="480"/>
        <w:rPr>
          <w:rFonts w:ascii="Times New Roman" w:hAnsi="Times New Roman" w:cs="Times New Roman"/>
          <w:szCs w:val="21"/>
        </w:rPr>
      </w:pPr>
    </w:p>
    <w:p w14:paraId="4D76C9CC" w14:textId="77777777" w:rsidR="00DE1B44" w:rsidRDefault="00DE1B44">
      <w:pPr>
        <w:widowControl w:val="0"/>
        <w:spacing w:before="120"/>
        <w:ind w:firstLine="480"/>
        <w:rPr>
          <w:rFonts w:ascii="Times New Roman" w:hAnsi="Times New Roman" w:cs="Times New Roman"/>
          <w:kern w:val="2"/>
        </w:rPr>
      </w:pPr>
    </w:p>
    <w:p w14:paraId="61287212" w14:textId="77777777" w:rsidR="00DE1B44" w:rsidRDefault="00DE1B44">
      <w:pPr>
        <w:widowControl w:val="0"/>
        <w:spacing w:before="120"/>
        <w:ind w:firstLine="480"/>
        <w:rPr>
          <w:rFonts w:ascii="Times New Roman" w:hAnsi="Times New Roman" w:cs="Times New Roman"/>
          <w:kern w:val="2"/>
        </w:rPr>
      </w:pPr>
    </w:p>
    <w:p w14:paraId="67AD0A02" w14:textId="77777777" w:rsidR="00DE1B44" w:rsidRDefault="00D40582">
      <w:pPr>
        <w:widowControl w:val="0"/>
        <w:spacing w:before="120"/>
        <w:ind w:firstLine="480"/>
        <w:jc w:val="right"/>
        <w:rPr>
          <w:rFonts w:ascii="Times New Roman" w:hAnsi="Times New Roman" w:cs="Times New Roman"/>
          <w:kern w:val="2"/>
        </w:rPr>
      </w:pPr>
      <w:r>
        <w:rPr>
          <w:rFonts w:ascii="Times New Roman" w:hAnsi="Times New Roman" w:cs="Times New Roman" w:hint="eastAsia"/>
          <w:kern w:val="2"/>
        </w:rPr>
        <w:t>北京大成</w:t>
      </w:r>
      <w:r>
        <w:rPr>
          <w:rFonts w:ascii="Times New Roman" w:hAnsi="Times New Roman" w:cs="Times New Roman"/>
          <w:kern w:val="2"/>
        </w:rPr>
        <w:t>律师事务所</w:t>
      </w:r>
    </w:p>
    <w:p w14:paraId="7465D706" w14:textId="77777777" w:rsidR="00DE1B44" w:rsidRDefault="00DE1B44">
      <w:pPr>
        <w:widowControl w:val="0"/>
        <w:spacing w:before="120"/>
        <w:ind w:firstLine="480"/>
        <w:rPr>
          <w:rFonts w:ascii="Times New Roman" w:hAnsi="Times New Roman" w:cs="Times New Roman"/>
          <w:kern w:val="2"/>
        </w:rPr>
      </w:pPr>
    </w:p>
    <w:p w14:paraId="01F6FB64" w14:textId="77777777" w:rsidR="00DE1B44" w:rsidRDefault="00D40582">
      <w:pPr>
        <w:widowControl w:val="0"/>
        <w:spacing w:before="120"/>
        <w:ind w:firstLine="480"/>
        <w:jc w:val="right"/>
        <w:rPr>
          <w:rFonts w:ascii="Times New Roman" w:hAnsi="Times New Roman" w:cs="Times New Roman"/>
          <w:kern w:val="2"/>
        </w:rPr>
      </w:pPr>
      <w:r>
        <w:rPr>
          <w:rFonts w:ascii="Times New Roman" w:hAnsi="Times New Roman" w:cs="Times New Roman" w:hint="eastAsia"/>
          <w:kern w:val="2"/>
        </w:rPr>
        <w:t>年</w:t>
      </w:r>
      <w:r>
        <w:rPr>
          <w:rFonts w:ascii="Times New Roman" w:hAnsi="Times New Roman" w:cs="Times New Roman"/>
          <w:kern w:val="2"/>
        </w:rPr>
        <w:t xml:space="preserve">   </w:t>
      </w:r>
      <w:r>
        <w:rPr>
          <w:rFonts w:ascii="Times New Roman" w:hAnsi="Times New Roman" w:cs="Times New Roman"/>
          <w:kern w:val="2"/>
        </w:rPr>
        <w:t>月</w:t>
      </w:r>
      <w:r>
        <w:rPr>
          <w:rFonts w:ascii="Times New Roman" w:hAnsi="Times New Roman" w:cs="Times New Roman"/>
          <w:kern w:val="2"/>
        </w:rPr>
        <w:t xml:space="preserve">   </w:t>
      </w:r>
      <w:r>
        <w:rPr>
          <w:rFonts w:ascii="Times New Roman" w:hAnsi="Times New Roman" w:cs="Times New Roman"/>
          <w:kern w:val="2"/>
        </w:rPr>
        <w:t>日</w:t>
      </w:r>
    </w:p>
    <w:p w14:paraId="7B16E8B1" w14:textId="77777777" w:rsidR="00DE1B44" w:rsidRDefault="00D40582">
      <w:pPr>
        <w:spacing w:before="120" w:line="240" w:lineRule="auto"/>
        <w:ind w:firstLine="480"/>
        <w:jc w:val="center"/>
        <w:rPr>
          <w:rFonts w:ascii="Times New Roman" w:hAnsi="Times New Roman" w:cs="Times New Roman"/>
        </w:rPr>
      </w:pPr>
      <w:r>
        <w:rPr>
          <w:rFonts w:ascii="Times New Roman" w:hAnsi="Times New Roman" w:cs="Times New Roman"/>
        </w:rPr>
        <w:br w:type="page"/>
      </w:r>
    </w:p>
    <w:p w14:paraId="38E9C571" w14:textId="1A3A7E8F" w:rsidR="00DE1B44" w:rsidRDefault="001F689A">
      <w:pPr>
        <w:pStyle w:val="2f0"/>
        <w:spacing w:before="120"/>
        <w:jc w:val="center"/>
        <w:rPr>
          <w:rFonts w:ascii="Times New Roman" w:hAnsi="Times New Roman"/>
        </w:rPr>
      </w:pPr>
      <w:bookmarkStart w:id="116" w:name="_Toc89016946"/>
      <w:r>
        <w:rPr>
          <w:rFonts w:ascii="Times New Roman" w:hAnsi="Times New Roman" w:hint="eastAsia"/>
          <w:noProof/>
        </w:rPr>
        <w:lastRenderedPageBreak/>
        <w:drawing>
          <wp:anchor distT="0" distB="0" distL="114300" distR="114300" simplePos="0" relativeHeight="251726848" behindDoc="0" locked="0" layoutInCell="1" allowOverlap="1" wp14:anchorId="5592B22A" wp14:editId="2B266906">
            <wp:simplePos x="0" y="0"/>
            <wp:positionH relativeFrom="column">
              <wp:posOffset>-839972</wp:posOffset>
            </wp:positionH>
            <wp:positionV relativeFrom="paragraph">
              <wp:posOffset>-115586</wp:posOffset>
            </wp:positionV>
            <wp:extent cx="7514590" cy="8623005"/>
            <wp:effectExtent l="0" t="0" r="0" b="698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32.jpg"/>
                    <pic:cNvPicPr/>
                  </pic:nvPicPr>
                  <pic:blipFill rotWithShape="1">
                    <a:blip r:embed="rId49">
                      <a:extLst>
                        <a:ext uri="{28A0092B-C50C-407E-A947-70E740481C1C}">
                          <a14:useLocalDpi xmlns:a14="http://schemas.microsoft.com/office/drawing/2010/main" val="0"/>
                        </a:ext>
                      </a:extLst>
                    </a:blip>
                    <a:srcRect t="13406" b="6058"/>
                    <a:stretch/>
                  </pic:blipFill>
                  <pic:spPr bwMode="auto">
                    <a:xfrm>
                      <a:off x="0" y="0"/>
                      <a:ext cx="7514590" cy="8623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Times New Roman" w:hAnsi="Times New Roman" w:hint="eastAsia"/>
        </w:rPr>
        <w:t>二</w:t>
      </w:r>
      <w:r w:rsidR="00D40582">
        <w:rPr>
          <w:rFonts w:ascii="Times New Roman" w:hAnsi="Times New Roman"/>
        </w:rPr>
        <w:t>、</w:t>
      </w:r>
      <w:r w:rsidR="00D40582">
        <w:rPr>
          <w:rFonts w:ascii="Times New Roman" w:hAnsi="Times New Roman" w:hint="eastAsia"/>
        </w:rPr>
        <w:t>会计师事务所声明</w:t>
      </w:r>
      <w:bookmarkEnd w:id="116"/>
    </w:p>
    <w:p w14:paraId="7B484342" w14:textId="54E96E54" w:rsidR="00DE1B44" w:rsidRDefault="00DE1B44">
      <w:pPr>
        <w:widowControl w:val="0"/>
        <w:spacing w:before="120"/>
        <w:ind w:firstLine="480"/>
        <w:rPr>
          <w:rFonts w:ascii="Times New Roman" w:hAnsi="Times New Roman" w:cs="Times New Roman"/>
          <w:kern w:val="2"/>
        </w:rPr>
      </w:pPr>
    </w:p>
    <w:p w14:paraId="1E49388F" w14:textId="77777777" w:rsidR="00DE1B44" w:rsidRDefault="00D40582">
      <w:pPr>
        <w:widowControl w:val="0"/>
        <w:spacing w:before="120"/>
        <w:ind w:firstLine="480"/>
        <w:rPr>
          <w:rFonts w:ascii="Times New Roman" w:hAnsi="Times New Roman" w:cs="Times New Roman"/>
          <w:kern w:val="2"/>
        </w:rPr>
      </w:pPr>
      <w:r>
        <w:rPr>
          <w:rFonts w:ascii="Times New Roman" w:hAnsi="Times New Roman" w:cs="Times New Roman"/>
          <w:kern w:val="2"/>
        </w:rPr>
        <w:t>本所及签字注册会计师已阅读</w:t>
      </w:r>
      <w:r>
        <w:rPr>
          <w:rFonts w:ascii="Times New Roman" w:hAnsi="Times New Roman" w:cs="Times New Roman" w:hint="eastAsia"/>
          <w:kern w:val="2"/>
        </w:rPr>
        <w:t>《</w:t>
      </w:r>
      <w:r>
        <w:rPr>
          <w:rFonts w:ascii="Times New Roman" w:hAnsi="Times New Roman" w:cs="Times New Roman"/>
          <w:kern w:val="2"/>
        </w:rPr>
        <w:t>广发银行股份有限公司定向发行说明书</w:t>
      </w:r>
      <w:r>
        <w:rPr>
          <w:rFonts w:ascii="Times New Roman" w:hAnsi="Times New Roman" w:cs="Times New Roman" w:hint="eastAsia"/>
          <w:kern w:val="2"/>
        </w:rPr>
        <w:t>》（以下简称“</w:t>
      </w:r>
      <w:r>
        <w:rPr>
          <w:rFonts w:ascii="Times New Roman" w:hAnsi="Times New Roman" w:cs="Times New Roman"/>
          <w:kern w:val="2"/>
        </w:rPr>
        <w:t>定向发行说明书</w:t>
      </w:r>
      <w:r>
        <w:rPr>
          <w:rFonts w:ascii="Times New Roman" w:hAnsi="Times New Roman" w:cs="Times New Roman" w:hint="eastAsia"/>
          <w:kern w:val="2"/>
        </w:rPr>
        <w:t>”）</w:t>
      </w:r>
      <w:r>
        <w:rPr>
          <w:rFonts w:ascii="Times New Roman" w:hAnsi="Times New Roman" w:cs="Times New Roman"/>
          <w:kern w:val="2"/>
        </w:rPr>
        <w:t>，确认定向发行说明书中引用的</w:t>
      </w:r>
      <w:r>
        <w:rPr>
          <w:rFonts w:ascii="Times New Roman" w:hAnsi="Times New Roman" w:cs="Times New Roman" w:hint="eastAsia"/>
          <w:kern w:val="2"/>
        </w:rPr>
        <w:t>有关</w:t>
      </w:r>
      <w:r>
        <w:rPr>
          <w:rFonts w:ascii="Times New Roman" w:hAnsi="Times New Roman" w:cs="Times New Roman"/>
          <w:kern w:val="2"/>
        </w:rPr>
        <w:t>经审计的</w:t>
      </w:r>
      <w:r>
        <w:rPr>
          <w:rFonts w:ascii="Times New Roman" w:hAnsi="Times New Roman" w:cs="Times New Roman" w:hint="eastAsia"/>
          <w:kern w:val="2"/>
        </w:rPr>
        <w:t>2</w:t>
      </w:r>
      <w:r>
        <w:rPr>
          <w:rFonts w:ascii="Times New Roman" w:hAnsi="Times New Roman" w:cs="Times New Roman"/>
          <w:kern w:val="2"/>
        </w:rPr>
        <w:t>019</w:t>
      </w:r>
      <w:r>
        <w:rPr>
          <w:rFonts w:ascii="Times New Roman" w:hAnsi="Times New Roman" w:cs="Times New Roman" w:hint="eastAsia"/>
          <w:kern w:val="2"/>
        </w:rPr>
        <w:t>及</w:t>
      </w:r>
      <w:r>
        <w:rPr>
          <w:rFonts w:ascii="Times New Roman" w:hAnsi="Times New Roman" w:cs="Times New Roman" w:hint="eastAsia"/>
          <w:kern w:val="2"/>
        </w:rPr>
        <w:t>2</w:t>
      </w:r>
      <w:r>
        <w:rPr>
          <w:rFonts w:ascii="Times New Roman" w:hAnsi="Times New Roman" w:cs="Times New Roman"/>
          <w:kern w:val="2"/>
        </w:rPr>
        <w:t>020</w:t>
      </w:r>
      <w:r>
        <w:rPr>
          <w:rFonts w:ascii="Times New Roman" w:hAnsi="Times New Roman" w:cs="Times New Roman" w:hint="eastAsia"/>
          <w:kern w:val="2"/>
        </w:rPr>
        <w:t>年度</w:t>
      </w:r>
      <w:r>
        <w:rPr>
          <w:rFonts w:ascii="Times New Roman" w:hAnsi="Times New Roman" w:cs="Times New Roman"/>
          <w:kern w:val="2"/>
        </w:rPr>
        <w:t>财务报表的内容，与本所出具的</w:t>
      </w:r>
      <w:r>
        <w:rPr>
          <w:rFonts w:ascii="Times New Roman" w:hAnsi="Times New Roman" w:cs="Times New Roman" w:hint="eastAsia"/>
          <w:kern w:val="2"/>
        </w:rPr>
        <w:t>上述</w:t>
      </w:r>
      <w:r>
        <w:rPr>
          <w:rFonts w:ascii="Times New Roman" w:hAnsi="Times New Roman" w:cs="Times New Roman"/>
          <w:kern w:val="2"/>
        </w:rPr>
        <w:t>审计报告的内容无矛盾之处。本所及签字注册会计师对广发银行股份有限公司在定向发行说明书中引用的本所出具的上述</w:t>
      </w:r>
      <w:r>
        <w:rPr>
          <w:rFonts w:ascii="Times New Roman" w:hAnsi="Times New Roman" w:cs="Times New Roman" w:hint="eastAsia"/>
          <w:kern w:val="2"/>
        </w:rPr>
        <w:t>审计</w:t>
      </w:r>
      <w:r>
        <w:rPr>
          <w:rFonts w:ascii="Times New Roman" w:hAnsi="Times New Roman" w:cs="Times New Roman"/>
          <w:kern w:val="2"/>
        </w:rPr>
        <w:t>报告的内容无异议，确认定向发行说明书不致因完整准确地引用本所出具的上述报告而在相应部分出现虚假记载、误导性陈述或重大遗漏，并对本所出具的上述报告的真实性、准确性和完整性根据有关法律法规的规定承担相应的法律责任。</w:t>
      </w:r>
    </w:p>
    <w:p w14:paraId="7A0B89E8" w14:textId="77777777" w:rsidR="00DE1B44" w:rsidRDefault="00D40582">
      <w:pPr>
        <w:widowControl w:val="0"/>
        <w:spacing w:before="120"/>
        <w:ind w:firstLine="480"/>
        <w:rPr>
          <w:rFonts w:ascii="Times New Roman" w:hAnsi="Times New Roman" w:cs="Times New Roman"/>
          <w:kern w:val="2"/>
        </w:rPr>
      </w:pPr>
      <w:r>
        <w:rPr>
          <w:rFonts w:ascii="Times New Roman" w:hAnsi="Times New Roman" w:cs="Times New Roman"/>
          <w:kern w:val="2"/>
        </w:rPr>
        <w:t>本声明</w:t>
      </w:r>
      <w:proofErr w:type="gramStart"/>
      <w:r>
        <w:rPr>
          <w:rFonts w:ascii="Times New Roman" w:hAnsi="Times New Roman" w:cs="Times New Roman"/>
          <w:kern w:val="2"/>
        </w:rPr>
        <w:t>仅供广发</w:t>
      </w:r>
      <w:proofErr w:type="gramEnd"/>
      <w:r>
        <w:rPr>
          <w:rFonts w:ascii="Times New Roman" w:hAnsi="Times New Roman" w:cs="Times New Roman"/>
          <w:kern w:val="2"/>
        </w:rPr>
        <w:t>银行股份有限公司本次向中国证券监督管理委员会申请定向发行股票</w:t>
      </w:r>
      <w:r>
        <w:rPr>
          <w:rFonts w:ascii="Times New Roman" w:hAnsi="Times New Roman" w:cs="Times New Roman" w:hint="eastAsia"/>
          <w:kern w:val="2"/>
        </w:rPr>
        <w:t>事宜之用。除此之外，本声明书不适用其他任何目的。</w:t>
      </w:r>
    </w:p>
    <w:p w14:paraId="27B67FD2" w14:textId="2C15EA3B" w:rsidR="00DE1B44" w:rsidRDefault="00DE1B44">
      <w:pPr>
        <w:spacing w:before="120" w:line="276" w:lineRule="auto"/>
        <w:ind w:firstLine="480"/>
        <w:rPr>
          <w:rFonts w:ascii="Times New Roman" w:hAnsi="Times New Roman" w:cs="Times New Roman"/>
        </w:rPr>
      </w:pPr>
    </w:p>
    <w:p w14:paraId="1F525C8E" w14:textId="77777777" w:rsidR="00DE1B44" w:rsidRDefault="00D40582">
      <w:pPr>
        <w:spacing w:before="120" w:line="276" w:lineRule="auto"/>
        <w:ind w:firstLine="480"/>
        <w:rPr>
          <w:rFonts w:ascii="Times New Roman" w:hAnsi="Times New Roman" w:cs="Times New Roman"/>
          <w:szCs w:val="21"/>
        </w:rPr>
      </w:pPr>
      <w:r>
        <w:rPr>
          <w:rFonts w:ascii="Times New Roman" w:hAnsi="Times New Roman" w:cs="Times New Roman"/>
        </w:rPr>
        <w:t>签字注册会计师：</w:t>
      </w:r>
    </w:p>
    <w:tbl>
      <w:tblPr>
        <w:tblW w:w="8100" w:type="dxa"/>
        <w:jc w:val="center"/>
        <w:tblLayout w:type="fixed"/>
        <w:tblLook w:val="04A0" w:firstRow="1" w:lastRow="0" w:firstColumn="1" w:lastColumn="0" w:noHBand="0" w:noVBand="1"/>
      </w:tblPr>
      <w:tblGrid>
        <w:gridCol w:w="2110"/>
        <w:gridCol w:w="880"/>
        <w:gridCol w:w="2111"/>
        <w:gridCol w:w="888"/>
        <w:gridCol w:w="2111"/>
      </w:tblGrid>
      <w:tr w:rsidR="00DE1B44" w14:paraId="2D9A15CF" w14:textId="77777777">
        <w:trPr>
          <w:trHeight w:val="219"/>
          <w:jc w:val="center"/>
        </w:trPr>
        <w:tc>
          <w:tcPr>
            <w:tcW w:w="2110" w:type="dxa"/>
          </w:tcPr>
          <w:p w14:paraId="35B56F14" w14:textId="77777777" w:rsidR="00DE1B44" w:rsidRDefault="00DE1B44">
            <w:pPr>
              <w:spacing w:before="120" w:line="276" w:lineRule="auto"/>
              <w:ind w:firstLine="480"/>
              <w:jc w:val="center"/>
              <w:rPr>
                <w:rFonts w:ascii="Times New Roman" w:hAnsi="Times New Roman" w:cs="Times New Roman"/>
                <w:szCs w:val="28"/>
              </w:rPr>
            </w:pPr>
          </w:p>
        </w:tc>
        <w:tc>
          <w:tcPr>
            <w:tcW w:w="880" w:type="dxa"/>
          </w:tcPr>
          <w:p w14:paraId="0C7334A6" w14:textId="77777777" w:rsidR="00DE1B44" w:rsidRDefault="00DE1B44">
            <w:pPr>
              <w:spacing w:before="120" w:line="276" w:lineRule="auto"/>
              <w:ind w:firstLine="480"/>
              <w:jc w:val="center"/>
              <w:rPr>
                <w:rFonts w:ascii="Times New Roman" w:hAnsi="Times New Roman" w:cs="Times New Roman"/>
                <w:szCs w:val="28"/>
              </w:rPr>
            </w:pPr>
          </w:p>
        </w:tc>
        <w:tc>
          <w:tcPr>
            <w:tcW w:w="2111" w:type="dxa"/>
            <w:tcBorders>
              <w:top w:val="single" w:sz="4" w:space="0" w:color="auto"/>
              <w:left w:val="nil"/>
              <w:bottom w:val="nil"/>
              <w:right w:val="nil"/>
            </w:tcBorders>
          </w:tcPr>
          <w:p w14:paraId="3AB78ABD" w14:textId="77777777" w:rsidR="00DE1B44" w:rsidRDefault="00D40582">
            <w:pPr>
              <w:spacing w:before="120" w:line="276" w:lineRule="auto"/>
              <w:ind w:firstLine="480"/>
              <w:rPr>
                <w:rFonts w:ascii="Times New Roman" w:hAnsi="Times New Roman" w:cs="Times New Roman"/>
                <w:kern w:val="2"/>
                <w:szCs w:val="28"/>
              </w:rPr>
            </w:pPr>
            <w:r>
              <w:rPr>
                <w:rFonts w:ascii="Times New Roman" w:hAnsi="Times New Roman" w:cs="Times New Roman" w:hint="eastAsia"/>
              </w:rPr>
              <w:t>赵</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雅</w:t>
            </w:r>
          </w:p>
        </w:tc>
        <w:tc>
          <w:tcPr>
            <w:tcW w:w="888" w:type="dxa"/>
          </w:tcPr>
          <w:p w14:paraId="2E52449C" w14:textId="77777777" w:rsidR="00DE1B44" w:rsidRDefault="00D40582">
            <w:pPr>
              <w:spacing w:before="120" w:line="276" w:lineRule="auto"/>
              <w:ind w:firstLine="480"/>
              <w:jc w:val="center"/>
              <w:rPr>
                <w:rFonts w:ascii="Times New Roman" w:hAnsi="Times New Roman" w:cs="Times New Roman"/>
                <w:szCs w:val="28"/>
                <w:u w:val="single"/>
              </w:rPr>
            </w:pPr>
            <w:r>
              <w:rPr>
                <w:rFonts w:ascii="Times New Roman" w:hAnsi="Times New Roman" w:cs="Times New Roman"/>
                <w:szCs w:val="28"/>
                <w:u w:val="single"/>
              </w:rPr>
              <w:t xml:space="preserve">        </w:t>
            </w:r>
          </w:p>
        </w:tc>
        <w:tc>
          <w:tcPr>
            <w:tcW w:w="2111" w:type="dxa"/>
            <w:tcBorders>
              <w:left w:val="nil"/>
              <w:bottom w:val="nil"/>
              <w:right w:val="nil"/>
            </w:tcBorders>
          </w:tcPr>
          <w:p w14:paraId="251EE73F" w14:textId="77777777" w:rsidR="00DE1B44" w:rsidRDefault="00DE1B44">
            <w:pPr>
              <w:spacing w:before="120" w:line="276" w:lineRule="auto"/>
              <w:ind w:firstLine="482"/>
              <w:jc w:val="center"/>
              <w:rPr>
                <w:rFonts w:ascii="Times New Roman" w:hAnsi="Times New Roman" w:cs="Times New Roman"/>
                <w:b/>
                <w:kern w:val="2"/>
                <w:szCs w:val="28"/>
                <w:u w:val="single"/>
              </w:rPr>
            </w:pPr>
          </w:p>
        </w:tc>
      </w:tr>
    </w:tbl>
    <w:p w14:paraId="0B436957" w14:textId="77777777" w:rsidR="00DE1B44" w:rsidRDefault="00DE1B44">
      <w:pPr>
        <w:spacing w:before="120" w:line="276" w:lineRule="auto"/>
        <w:ind w:firstLine="480"/>
        <w:rPr>
          <w:rFonts w:ascii="Times New Roman" w:hAnsi="Times New Roman" w:cs="Times New Roman"/>
        </w:rPr>
      </w:pPr>
    </w:p>
    <w:p w14:paraId="342CD87E" w14:textId="77777777" w:rsidR="00DE1B44" w:rsidRDefault="00D40582">
      <w:pPr>
        <w:spacing w:before="120" w:line="276" w:lineRule="auto"/>
        <w:ind w:firstLine="480"/>
        <w:rPr>
          <w:rFonts w:ascii="Times New Roman" w:hAnsi="Times New Roman" w:cs="Times New Roman"/>
          <w:szCs w:val="21"/>
        </w:rPr>
      </w:pPr>
      <w:r>
        <w:rPr>
          <w:rFonts w:ascii="Times New Roman" w:hAnsi="Times New Roman" w:cs="Times New Roman"/>
        </w:rPr>
        <w:t>签字注册会计师：</w:t>
      </w:r>
    </w:p>
    <w:tbl>
      <w:tblPr>
        <w:tblW w:w="8100" w:type="dxa"/>
        <w:jc w:val="center"/>
        <w:tblLayout w:type="fixed"/>
        <w:tblLook w:val="04A0" w:firstRow="1" w:lastRow="0" w:firstColumn="1" w:lastColumn="0" w:noHBand="0" w:noVBand="1"/>
      </w:tblPr>
      <w:tblGrid>
        <w:gridCol w:w="2110"/>
        <w:gridCol w:w="880"/>
        <w:gridCol w:w="2111"/>
        <w:gridCol w:w="888"/>
        <w:gridCol w:w="2111"/>
      </w:tblGrid>
      <w:tr w:rsidR="00DE1B44" w14:paraId="626F1886" w14:textId="77777777">
        <w:trPr>
          <w:jc w:val="center"/>
        </w:trPr>
        <w:tc>
          <w:tcPr>
            <w:tcW w:w="2110" w:type="dxa"/>
          </w:tcPr>
          <w:p w14:paraId="377A21DB" w14:textId="77777777" w:rsidR="00DE1B44" w:rsidRDefault="00DE1B44">
            <w:pPr>
              <w:spacing w:before="120" w:line="276" w:lineRule="auto"/>
              <w:ind w:firstLine="480"/>
              <w:jc w:val="center"/>
              <w:rPr>
                <w:rFonts w:ascii="Times New Roman" w:hAnsi="Times New Roman" w:cs="Times New Roman"/>
                <w:szCs w:val="28"/>
              </w:rPr>
            </w:pPr>
          </w:p>
        </w:tc>
        <w:tc>
          <w:tcPr>
            <w:tcW w:w="880" w:type="dxa"/>
          </w:tcPr>
          <w:p w14:paraId="63719E5B" w14:textId="77777777" w:rsidR="00DE1B44" w:rsidRDefault="00DE1B44">
            <w:pPr>
              <w:spacing w:before="120" w:line="276" w:lineRule="auto"/>
              <w:ind w:firstLine="480"/>
              <w:jc w:val="center"/>
              <w:rPr>
                <w:rFonts w:ascii="Times New Roman" w:hAnsi="Times New Roman" w:cs="Times New Roman"/>
                <w:szCs w:val="28"/>
              </w:rPr>
            </w:pPr>
          </w:p>
        </w:tc>
        <w:tc>
          <w:tcPr>
            <w:tcW w:w="2111" w:type="dxa"/>
            <w:tcBorders>
              <w:top w:val="single" w:sz="4" w:space="0" w:color="auto"/>
              <w:left w:val="nil"/>
              <w:bottom w:val="nil"/>
              <w:right w:val="nil"/>
            </w:tcBorders>
          </w:tcPr>
          <w:p w14:paraId="18D4F40F" w14:textId="77777777" w:rsidR="00DE1B44" w:rsidRDefault="00D40582">
            <w:pPr>
              <w:spacing w:before="120" w:line="276" w:lineRule="auto"/>
              <w:ind w:firstLine="480"/>
              <w:rPr>
                <w:rFonts w:ascii="Times New Roman" w:hAnsi="Times New Roman" w:cs="Times New Roman"/>
                <w:kern w:val="2"/>
                <w:szCs w:val="28"/>
              </w:rPr>
            </w:pPr>
            <w:r>
              <w:rPr>
                <w:rFonts w:ascii="Times New Roman" w:hAnsi="Times New Roman" w:cs="Times New Roman" w:hint="eastAsia"/>
                <w:kern w:val="2"/>
                <w:szCs w:val="28"/>
              </w:rPr>
              <w:t>何明智</w:t>
            </w:r>
          </w:p>
        </w:tc>
        <w:tc>
          <w:tcPr>
            <w:tcW w:w="888" w:type="dxa"/>
          </w:tcPr>
          <w:p w14:paraId="3CA3A59D" w14:textId="77777777" w:rsidR="00DE1B44" w:rsidRDefault="00DE1B44">
            <w:pPr>
              <w:spacing w:before="120" w:line="276" w:lineRule="auto"/>
              <w:ind w:firstLine="480"/>
              <w:jc w:val="center"/>
              <w:rPr>
                <w:rFonts w:ascii="Times New Roman" w:hAnsi="Times New Roman" w:cs="Times New Roman"/>
                <w:szCs w:val="28"/>
              </w:rPr>
            </w:pPr>
          </w:p>
        </w:tc>
        <w:tc>
          <w:tcPr>
            <w:tcW w:w="2111" w:type="dxa"/>
            <w:tcBorders>
              <w:left w:val="nil"/>
              <w:bottom w:val="nil"/>
              <w:right w:val="nil"/>
            </w:tcBorders>
          </w:tcPr>
          <w:p w14:paraId="6D153A6B" w14:textId="77777777" w:rsidR="00DE1B44" w:rsidRDefault="00DE1B44">
            <w:pPr>
              <w:spacing w:before="120" w:line="276" w:lineRule="auto"/>
              <w:ind w:firstLine="482"/>
              <w:jc w:val="center"/>
              <w:rPr>
                <w:rFonts w:ascii="Times New Roman" w:hAnsi="Times New Roman" w:cs="Times New Roman"/>
                <w:b/>
                <w:kern w:val="2"/>
                <w:szCs w:val="28"/>
              </w:rPr>
            </w:pPr>
          </w:p>
        </w:tc>
      </w:tr>
    </w:tbl>
    <w:p w14:paraId="5B0CBE0B" w14:textId="77777777" w:rsidR="00DE1B44" w:rsidRDefault="00DE1B44">
      <w:pPr>
        <w:spacing w:before="120" w:line="276" w:lineRule="auto"/>
        <w:ind w:firstLine="480"/>
        <w:rPr>
          <w:rFonts w:ascii="Times New Roman" w:hAnsi="Times New Roman" w:cs="Times New Roman"/>
          <w:szCs w:val="21"/>
        </w:rPr>
      </w:pPr>
    </w:p>
    <w:p w14:paraId="12E3A562" w14:textId="77777777" w:rsidR="00DE1B44" w:rsidRDefault="00D40582">
      <w:pPr>
        <w:spacing w:before="120" w:line="276" w:lineRule="auto"/>
        <w:ind w:firstLine="480"/>
        <w:rPr>
          <w:rFonts w:ascii="Times New Roman" w:hAnsi="Times New Roman" w:cs="Times New Roman"/>
          <w:szCs w:val="21"/>
        </w:rPr>
      </w:pPr>
      <w:r>
        <w:rPr>
          <w:rFonts w:ascii="Times New Roman" w:hAnsi="Times New Roman" w:cs="Times New Roman"/>
          <w:szCs w:val="21"/>
        </w:rPr>
        <w:t>会计师事务所</w:t>
      </w:r>
      <w:r>
        <w:rPr>
          <w:rFonts w:ascii="Times New Roman" w:hAnsi="Times New Roman" w:cs="Times New Roman" w:hint="eastAsia"/>
          <w:szCs w:val="21"/>
        </w:rPr>
        <w:t>负责人</w:t>
      </w:r>
      <w:r>
        <w:rPr>
          <w:rFonts w:ascii="Times New Roman" w:hAnsi="Times New Roman" w:cs="Times New Roman"/>
        </w:rPr>
        <w:t>：</w:t>
      </w:r>
    </w:p>
    <w:tbl>
      <w:tblPr>
        <w:tblW w:w="8100" w:type="dxa"/>
        <w:jc w:val="center"/>
        <w:tblLayout w:type="fixed"/>
        <w:tblLook w:val="04A0" w:firstRow="1" w:lastRow="0" w:firstColumn="1" w:lastColumn="0" w:noHBand="0" w:noVBand="1"/>
      </w:tblPr>
      <w:tblGrid>
        <w:gridCol w:w="2110"/>
        <w:gridCol w:w="880"/>
        <w:gridCol w:w="2111"/>
        <w:gridCol w:w="888"/>
        <w:gridCol w:w="2111"/>
      </w:tblGrid>
      <w:tr w:rsidR="00DE1B44" w14:paraId="5A16FB2B" w14:textId="77777777">
        <w:trPr>
          <w:jc w:val="center"/>
        </w:trPr>
        <w:tc>
          <w:tcPr>
            <w:tcW w:w="2110" w:type="dxa"/>
          </w:tcPr>
          <w:p w14:paraId="424C5DF8" w14:textId="77777777" w:rsidR="00DE1B44" w:rsidRDefault="00DE1B44">
            <w:pPr>
              <w:spacing w:before="120" w:line="276" w:lineRule="auto"/>
              <w:ind w:firstLine="480"/>
              <w:jc w:val="center"/>
              <w:rPr>
                <w:rFonts w:ascii="Times New Roman" w:hAnsi="Times New Roman" w:cs="Times New Roman"/>
                <w:szCs w:val="28"/>
              </w:rPr>
            </w:pPr>
          </w:p>
        </w:tc>
        <w:tc>
          <w:tcPr>
            <w:tcW w:w="880" w:type="dxa"/>
          </w:tcPr>
          <w:p w14:paraId="06BDC3DF" w14:textId="77777777" w:rsidR="00DE1B44" w:rsidRDefault="00DE1B44">
            <w:pPr>
              <w:spacing w:before="120" w:line="276" w:lineRule="auto"/>
              <w:ind w:firstLine="480"/>
              <w:jc w:val="center"/>
              <w:rPr>
                <w:rFonts w:ascii="Times New Roman" w:hAnsi="Times New Roman" w:cs="Times New Roman"/>
                <w:szCs w:val="28"/>
              </w:rPr>
            </w:pPr>
          </w:p>
        </w:tc>
        <w:tc>
          <w:tcPr>
            <w:tcW w:w="2111" w:type="dxa"/>
            <w:tcBorders>
              <w:top w:val="single" w:sz="4" w:space="0" w:color="auto"/>
              <w:left w:val="nil"/>
              <w:bottom w:val="nil"/>
              <w:right w:val="nil"/>
            </w:tcBorders>
          </w:tcPr>
          <w:p w14:paraId="390FEE25" w14:textId="77777777" w:rsidR="00DE1B44" w:rsidRDefault="00D40582">
            <w:pPr>
              <w:spacing w:before="120" w:line="276" w:lineRule="auto"/>
              <w:ind w:firstLine="480"/>
              <w:rPr>
                <w:rFonts w:ascii="Times New Roman" w:hAnsi="Times New Roman" w:cs="Times New Roman"/>
                <w:kern w:val="2"/>
                <w:szCs w:val="28"/>
              </w:rPr>
            </w:pPr>
            <w:proofErr w:type="gramStart"/>
            <w:r>
              <w:rPr>
                <w:rFonts w:ascii="Times New Roman" w:hAnsi="Times New Roman" w:cs="Times New Roman" w:hint="eastAsia"/>
              </w:rPr>
              <w:t>毛鞍宁</w:t>
            </w:r>
            <w:proofErr w:type="gramEnd"/>
          </w:p>
        </w:tc>
        <w:tc>
          <w:tcPr>
            <w:tcW w:w="888" w:type="dxa"/>
          </w:tcPr>
          <w:p w14:paraId="332FDAC2" w14:textId="77777777" w:rsidR="00DE1B44" w:rsidRDefault="00DE1B44">
            <w:pPr>
              <w:spacing w:before="120" w:line="276" w:lineRule="auto"/>
              <w:ind w:firstLine="480"/>
              <w:jc w:val="center"/>
              <w:rPr>
                <w:rFonts w:ascii="Times New Roman" w:hAnsi="Times New Roman" w:cs="Times New Roman"/>
                <w:szCs w:val="28"/>
              </w:rPr>
            </w:pPr>
          </w:p>
        </w:tc>
        <w:tc>
          <w:tcPr>
            <w:tcW w:w="2111" w:type="dxa"/>
          </w:tcPr>
          <w:p w14:paraId="4DE80BBC" w14:textId="77777777" w:rsidR="00DE1B44" w:rsidRDefault="00DE1B44">
            <w:pPr>
              <w:spacing w:before="120" w:line="276" w:lineRule="auto"/>
              <w:ind w:firstLine="480"/>
              <w:jc w:val="center"/>
              <w:rPr>
                <w:rFonts w:ascii="Times New Roman" w:hAnsi="Times New Roman" w:cs="Times New Roman"/>
                <w:szCs w:val="28"/>
              </w:rPr>
            </w:pPr>
          </w:p>
        </w:tc>
      </w:tr>
    </w:tbl>
    <w:p w14:paraId="3EAE9296" w14:textId="77777777" w:rsidR="00DE1B44" w:rsidRDefault="00DE1B44">
      <w:pPr>
        <w:widowControl w:val="0"/>
        <w:spacing w:before="120"/>
        <w:ind w:firstLine="480"/>
        <w:jc w:val="right"/>
        <w:rPr>
          <w:rFonts w:ascii="Times New Roman" w:hAnsi="Times New Roman" w:cs="Times New Roman"/>
          <w:kern w:val="2"/>
        </w:rPr>
      </w:pPr>
    </w:p>
    <w:p w14:paraId="4A3A68E5" w14:textId="77777777" w:rsidR="00DE1B44" w:rsidRDefault="00D40582">
      <w:pPr>
        <w:widowControl w:val="0"/>
        <w:spacing w:before="120"/>
        <w:ind w:firstLine="480"/>
        <w:jc w:val="right"/>
        <w:rPr>
          <w:rFonts w:ascii="Times New Roman" w:hAnsi="Times New Roman" w:cs="Times New Roman"/>
          <w:kern w:val="2"/>
        </w:rPr>
      </w:pPr>
      <w:r>
        <w:rPr>
          <w:rFonts w:ascii="Times New Roman" w:hAnsi="Times New Roman" w:cs="Times New Roman"/>
        </w:rPr>
        <w:t>安永华明</w:t>
      </w:r>
      <w:r>
        <w:rPr>
          <w:rFonts w:ascii="Times New Roman" w:hAnsi="Times New Roman" w:cs="Times New Roman"/>
          <w:kern w:val="2"/>
        </w:rPr>
        <w:t>会计师事务所（特殊普通合伙）</w:t>
      </w:r>
    </w:p>
    <w:p w14:paraId="3DD70251" w14:textId="77777777" w:rsidR="00DE1B44" w:rsidRDefault="00D40582">
      <w:pPr>
        <w:widowControl w:val="0"/>
        <w:spacing w:before="120"/>
        <w:ind w:firstLine="480"/>
        <w:jc w:val="right"/>
        <w:rPr>
          <w:rFonts w:ascii="Times New Roman" w:hAnsi="Times New Roman" w:cs="Times New Roman"/>
          <w:kern w:val="2"/>
        </w:rPr>
      </w:pPr>
      <w:r>
        <w:rPr>
          <w:rFonts w:ascii="Times New Roman" w:hAnsi="Times New Roman" w:cs="Times New Roman" w:hint="eastAsia"/>
          <w:kern w:val="2"/>
        </w:rPr>
        <w:t>年</w:t>
      </w:r>
      <w:r>
        <w:rPr>
          <w:rFonts w:ascii="Times New Roman" w:hAnsi="Times New Roman" w:cs="Times New Roman"/>
          <w:kern w:val="2"/>
        </w:rPr>
        <w:t xml:space="preserve">   </w:t>
      </w:r>
      <w:r>
        <w:rPr>
          <w:rFonts w:ascii="Times New Roman" w:hAnsi="Times New Roman" w:cs="Times New Roman"/>
          <w:kern w:val="2"/>
        </w:rPr>
        <w:t>月</w:t>
      </w:r>
      <w:r>
        <w:rPr>
          <w:rFonts w:ascii="Times New Roman" w:hAnsi="Times New Roman" w:cs="Times New Roman"/>
          <w:kern w:val="2"/>
        </w:rPr>
        <w:t xml:space="preserve">   </w:t>
      </w:r>
      <w:r>
        <w:rPr>
          <w:rFonts w:ascii="Times New Roman" w:hAnsi="Times New Roman" w:cs="Times New Roman"/>
          <w:kern w:val="2"/>
        </w:rPr>
        <w:t>日</w:t>
      </w:r>
    </w:p>
    <w:p w14:paraId="7C80B131" w14:textId="77777777" w:rsidR="00DE1B44" w:rsidRDefault="00DE1B44">
      <w:pPr>
        <w:pStyle w:val="affa"/>
        <w:shd w:val="clear" w:color="auto" w:fill="FFFFFF"/>
        <w:spacing w:before="120"/>
        <w:ind w:firstLine="480"/>
        <w:rPr>
          <w:rFonts w:ascii="Times New Roman" w:hAnsi="Times New Roman"/>
        </w:rPr>
      </w:pPr>
    </w:p>
    <w:p w14:paraId="701AA7D9" w14:textId="77777777" w:rsidR="00DE1B44" w:rsidRDefault="00D40582">
      <w:pPr>
        <w:pStyle w:val="1ff1"/>
        <w:spacing w:before="120"/>
        <w:ind w:firstLine="720"/>
        <w:rPr>
          <w:rFonts w:ascii="Times New Roman" w:hAnsi="Times New Roman" w:cs="Times New Roman"/>
        </w:rPr>
      </w:pPr>
      <w:bookmarkStart w:id="117" w:name="_Toc89016947"/>
      <w:r>
        <w:rPr>
          <w:rFonts w:ascii="Times New Roman" w:hAnsi="Times New Roman" w:cs="Times New Roman"/>
        </w:rPr>
        <w:lastRenderedPageBreak/>
        <w:t>第</w:t>
      </w:r>
      <w:r>
        <w:rPr>
          <w:rFonts w:ascii="Times New Roman" w:hAnsi="Times New Roman" w:cs="Times New Roman" w:hint="eastAsia"/>
        </w:rPr>
        <w:t>十</w:t>
      </w:r>
      <w:r>
        <w:rPr>
          <w:rFonts w:ascii="Times New Roman" w:hAnsi="Times New Roman" w:cs="Times New Roman"/>
        </w:rPr>
        <w:t>节</w:t>
      </w:r>
      <w:r>
        <w:rPr>
          <w:rFonts w:ascii="Times New Roman" w:hAnsi="Times New Roman" w:cs="Times New Roman" w:hint="eastAsia"/>
        </w:rPr>
        <w:t xml:space="preserve"> </w:t>
      </w:r>
      <w:r>
        <w:rPr>
          <w:rFonts w:ascii="Times New Roman" w:hAnsi="Times New Roman" w:cs="Times New Roman" w:hint="eastAsia"/>
        </w:rPr>
        <w:t>备查文件</w:t>
      </w:r>
      <w:bookmarkEnd w:id="117"/>
    </w:p>
    <w:p w14:paraId="49A62432"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rPr>
        <w:t>一、</w:t>
      </w:r>
      <w:r>
        <w:rPr>
          <w:rFonts w:ascii="Times New Roman" w:hAnsi="Times New Roman" w:cs="Times New Roman" w:hint="eastAsia"/>
        </w:rPr>
        <w:t>最近两年及一期财务报告及审计报告；</w:t>
      </w:r>
    </w:p>
    <w:p w14:paraId="05C76F74"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二、本次定向发行</w:t>
      </w:r>
      <w:r>
        <w:rPr>
          <w:rFonts w:ascii="Times New Roman" w:hAnsi="Times New Roman" w:cs="Times New Roman"/>
        </w:rPr>
        <w:t>法律意见书；</w:t>
      </w:r>
    </w:p>
    <w:p w14:paraId="4F0B6E16"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三</w:t>
      </w:r>
      <w:r>
        <w:rPr>
          <w:rFonts w:ascii="Times New Roman" w:hAnsi="Times New Roman" w:cs="Times New Roman"/>
        </w:rPr>
        <w:t>、中国证监会核准本次发行的文件（</w:t>
      </w:r>
      <w:r>
        <w:rPr>
          <w:rFonts w:ascii="Times New Roman" w:hAnsi="Times New Roman" w:cs="Times New Roman" w:hint="eastAsia"/>
        </w:rPr>
        <w:t>核准后提供</w:t>
      </w:r>
      <w:r>
        <w:rPr>
          <w:rFonts w:ascii="Times New Roman" w:hAnsi="Times New Roman" w:cs="Times New Roman"/>
        </w:rPr>
        <w:t>）；</w:t>
      </w:r>
    </w:p>
    <w:p w14:paraId="048B1DA2" w14:textId="77777777" w:rsidR="00DE1B44" w:rsidRDefault="00D40582">
      <w:pPr>
        <w:snapToGrid w:val="0"/>
        <w:spacing w:before="120"/>
        <w:ind w:firstLine="480"/>
        <w:rPr>
          <w:rFonts w:ascii="Times New Roman" w:hAnsi="Times New Roman" w:cs="Times New Roman"/>
        </w:rPr>
      </w:pPr>
      <w:r>
        <w:rPr>
          <w:rFonts w:ascii="Times New Roman" w:hAnsi="Times New Roman" w:cs="Times New Roman" w:hint="eastAsia"/>
        </w:rPr>
        <w:t>四</w:t>
      </w:r>
      <w:r>
        <w:rPr>
          <w:rFonts w:ascii="Times New Roman" w:hAnsi="Times New Roman" w:cs="Times New Roman"/>
        </w:rPr>
        <w:t>、其他与本次发行有关的重要文件。</w:t>
      </w:r>
      <w:bookmarkEnd w:id="0"/>
      <w:bookmarkEnd w:id="1"/>
      <w:bookmarkEnd w:id="2"/>
      <w:bookmarkEnd w:id="3"/>
      <w:bookmarkEnd w:id="4"/>
      <w:bookmarkEnd w:id="5"/>
      <w:bookmarkEnd w:id="6"/>
      <w:bookmarkEnd w:id="7"/>
      <w:bookmarkEnd w:id="8"/>
      <w:bookmarkEnd w:id="9"/>
      <w:bookmarkEnd w:id="10"/>
      <w:bookmarkEnd w:id="11"/>
      <w:bookmarkEnd w:id="15"/>
      <w:bookmarkEnd w:id="16"/>
      <w:bookmarkEnd w:id="17"/>
      <w:bookmarkEnd w:id="19"/>
      <w:bookmarkEnd w:id="23"/>
      <w:bookmarkEnd w:id="24"/>
    </w:p>
    <w:p w14:paraId="67FC88F2" w14:textId="77777777" w:rsidR="00DE1B44" w:rsidRDefault="00D40582">
      <w:pPr>
        <w:spacing w:beforeLines="0" w:before="0" w:line="240" w:lineRule="auto"/>
        <w:ind w:firstLineChars="0" w:firstLine="0"/>
        <w:jc w:val="left"/>
        <w:rPr>
          <w:rFonts w:ascii="Times New Roman" w:hAnsi="Times New Roman" w:cs="Times New Roman"/>
        </w:rPr>
      </w:pPr>
      <w:r>
        <w:rPr>
          <w:rFonts w:ascii="Times New Roman" w:hAnsi="Times New Roman" w:cs="Times New Roman"/>
        </w:rPr>
        <w:br w:type="page"/>
      </w:r>
    </w:p>
    <w:p w14:paraId="5E1E957D" w14:textId="04247656" w:rsidR="00DE1B44" w:rsidRDefault="001F689A">
      <w:pPr>
        <w:spacing w:beforeLines="0" w:before="0" w:line="240" w:lineRule="auto"/>
        <w:ind w:firstLineChars="0" w:firstLine="0"/>
        <w:jc w:val="left"/>
        <w:rPr>
          <w:rFonts w:ascii="Times New Roman" w:hAnsi="Times New Roman" w:cs="Times New Roman"/>
        </w:rPr>
      </w:pPr>
      <w:r>
        <w:rPr>
          <w:rFonts w:ascii="Times New Roman" w:hAnsi="Times New Roman" w:cs="Times New Roman"/>
          <w:noProof/>
          <w:kern w:val="2"/>
        </w:rPr>
        <w:lastRenderedPageBreak/>
        <w:drawing>
          <wp:anchor distT="0" distB="0" distL="114300" distR="114300" simplePos="0" relativeHeight="251727872" behindDoc="0" locked="0" layoutInCell="1" allowOverlap="1" wp14:anchorId="771F56D7" wp14:editId="1AF473A4">
            <wp:simplePos x="0" y="0"/>
            <wp:positionH relativeFrom="column">
              <wp:posOffset>-786086</wp:posOffset>
            </wp:positionH>
            <wp:positionV relativeFrom="paragraph">
              <wp:posOffset>-200660</wp:posOffset>
            </wp:positionV>
            <wp:extent cx="7293720" cy="8633637"/>
            <wp:effectExtent l="0" t="0" r="254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云编辑】定向发行说明书签字页_页面_33.jpg"/>
                    <pic:cNvPicPr/>
                  </pic:nvPicPr>
                  <pic:blipFill rotWithShape="1">
                    <a:blip r:embed="rId50">
                      <a:extLst>
                        <a:ext uri="{28A0092B-C50C-407E-A947-70E740481C1C}">
                          <a14:useLocalDpi xmlns:a14="http://schemas.microsoft.com/office/drawing/2010/main" val="0"/>
                        </a:ext>
                      </a:extLst>
                    </a:blip>
                    <a:srcRect l="2971" t="9722" b="9722"/>
                    <a:stretch/>
                  </pic:blipFill>
                  <pic:spPr bwMode="auto">
                    <a:xfrm>
                      <a:off x="0" y="0"/>
                      <a:ext cx="7293720" cy="8633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582">
        <w:rPr>
          <w:rFonts w:ascii="Times New Roman" w:hAnsi="Times New Roman" w:cs="Times New Roman" w:hint="eastAsia"/>
        </w:rPr>
        <w:t>（本页无正文，为《广发银行股份有限公司定向发行说明书》之盖章页）</w:t>
      </w:r>
    </w:p>
    <w:p w14:paraId="5659B3A0" w14:textId="77777777" w:rsidR="00DE1B44" w:rsidRDefault="00DE1B44">
      <w:pPr>
        <w:spacing w:beforeLines="0" w:before="0" w:line="240" w:lineRule="auto"/>
        <w:ind w:firstLineChars="0" w:firstLine="0"/>
        <w:jc w:val="left"/>
        <w:rPr>
          <w:rFonts w:ascii="Times New Roman" w:hAnsi="Times New Roman" w:cs="Times New Roman"/>
        </w:rPr>
      </w:pPr>
    </w:p>
    <w:p w14:paraId="4A4CEB73" w14:textId="200EDB32" w:rsidR="00DE1B44" w:rsidRDefault="00DE1B44">
      <w:pPr>
        <w:widowControl w:val="0"/>
        <w:spacing w:before="120"/>
        <w:ind w:firstLine="480"/>
        <w:rPr>
          <w:rFonts w:ascii="Times New Roman" w:hAnsi="Times New Roman" w:cs="Times New Roman"/>
          <w:kern w:val="2"/>
        </w:rPr>
      </w:pPr>
    </w:p>
    <w:p w14:paraId="03F16AF4" w14:textId="77777777" w:rsidR="00DE1B44" w:rsidRDefault="00DE1B44">
      <w:pPr>
        <w:widowControl w:val="0"/>
        <w:spacing w:before="120"/>
        <w:ind w:firstLine="480"/>
        <w:rPr>
          <w:rFonts w:ascii="Times New Roman" w:hAnsi="Times New Roman" w:cs="Times New Roman"/>
          <w:kern w:val="2"/>
        </w:rPr>
      </w:pPr>
    </w:p>
    <w:p w14:paraId="5FA0D3C0" w14:textId="143303C6" w:rsidR="00DE1B44" w:rsidRDefault="00DE1B44">
      <w:pPr>
        <w:widowControl w:val="0"/>
        <w:spacing w:before="120"/>
        <w:ind w:firstLine="480"/>
        <w:rPr>
          <w:rFonts w:ascii="Times New Roman" w:hAnsi="Times New Roman" w:cs="Times New Roman"/>
          <w:kern w:val="2"/>
        </w:rPr>
      </w:pPr>
    </w:p>
    <w:p w14:paraId="37E86709" w14:textId="77777777" w:rsidR="00DE1B44" w:rsidRDefault="00DE1B44">
      <w:pPr>
        <w:widowControl w:val="0"/>
        <w:spacing w:before="120"/>
        <w:ind w:firstLine="480"/>
        <w:rPr>
          <w:rFonts w:ascii="Times New Roman" w:hAnsi="Times New Roman" w:cs="Times New Roman"/>
          <w:kern w:val="2"/>
        </w:rPr>
      </w:pPr>
    </w:p>
    <w:p w14:paraId="69C58887" w14:textId="77777777" w:rsidR="00DE1B44" w:rsidRDefault="00DE1B44">
      <w:pPr>
        <w:widowControl w:val="0"/>
        <w:spacing w:before="120"/>
        <w:ind w:firstLine="480"/>
        <w:rPr>
          <w:rFonts w:ascii="Times New Roman" w:hAnsi="Times New Roman" w:cs="Times New Roman"/>
          <w:kern w:val="2"/>
        </w:rPr>
      </w:pPr>
    </w:p>
    <w:p w14:paraId="5A138F17" w14:textId="77777777" w:rsidR="00DE1B44" w:rsidRDefault="00D40582">
      <w:pPr>
        <w:widowControl w:val="0"/>
        <w:spacing w:before="120"/>
        <w:ind w:firstLine="480"/>
        <w:jc w:val="right"/>
        <w:rPr>
          <w:rFonts w:ascii="Times New Roman" w:hAnsi="Times New Roman" w:cs="Times New Roman"/>
          <w:kern w:val="2"/>
        </w:rPr>
      </w:pPr>
      <w:r>
        <w:rPr>
          <w:rFonts w:ascii="Times New Roman" w:hAnsi="Times New Roman" w:cs="Times New Roman"/>
          <w:kern w:val="2"/>
        </w:rPr>
        <w:t>广发银行股份有限公司</w:t>
      </w:r>
    </w:p>
    <w:p w14:paraId="3B653C59" w14:textId="77777777" w:rsidR="00DE1B44" w:rsidRDefault="00D40582">
      <w:pPr>
        <w:widowControl w:val="0"/>
        <w:spacing w:before="120"/>
        <w:ind w:firstLine="480"/>
        <w:jc w:val="right"/>
        <w:rPr>
          <w:rFonts w:ascii="Times New Roman" w:hAnsi="Times New Roman" w:cs="Times New Roman"/>
          <w:kern w:val="2"/>
        </w:rPr>
      </w:pPr>
      <w:r>
        <w:rPr>
          <w:rFonts w:ascii="Times New Roman" w:hAnsi="Times New Roman" w:cs="Times New Roman" w:hint="eastAsia"/>
          <w:kern w:val="2"/>
        </w:rPr>
        <w:t>年</w:t>
      </w:r>
      <w:r>
        <w:rPr>
          <w:rFonts w:ascii="Times New Roman" w:hAnsi="Times New Roman" w:cs="Times New Roman"/>
          <w:kern w:val="2"/>
        </w:rPr>
        <w:t xml:space="preserve">   </w:t>
      </w:r>
      <w:r>
        <w:rPr>
          <w:rFonts w:ascii="Times New Roman" w:hAnsi="Times New Roman" w:cs="Times New Roman"/>
          <w:kern w:val="2"/>
        </w:rPr>
        <w:t>月</w:t>
      </w:r>
      <w:r>
        <w:rPr>
          <w:rFonts w:ascii="Times New Roman" w:hAnsi="Times New Roman" w:cs="Times New Roman"/>
          <w:kern w:val="2"/>
        </w:rPr>
        <w:t xml:space="preserve">   </w:t>
      </w:r>
      <w:r>
        <w:rPr>
          <w:rFonts w:ascii="Times New Roman" w:hAnsi="Times New Roman" w:cs="Times New Roman"/>
          <w:kern w:val="2"/>
        </w:rPr>
        <w:t>日</w:t>
      </w:r>
    </w:p>
    <w:p w14:paraId="35C8F7C0" w14:textId="77777777" w:rsidR="00DE1B44" w:rsidRPr="00C74863" w:rsidRDefault="00DE1B44">
      <w:pPr>
        <w:spacing w:beforeLines="0" w:before="0" w:line="240" w:lineRule="auto"/>
        <w:ind w:firstLineChars="0" w:firstLine="0"/>
        <w:jc w:val="left"/>
        <w:rPr>
          <w:rFonts w:ascii="Times New Roman" w:hAnsi="Times New Roman" w:cs="Times New Roman"/>
        </w:rPr>
      </w:pPr>
    </w:p>
    <w:sectPr w:rsidR="00DE1B44" w:rsidRPr="00C74863">
      <w:headerReference w:type="default" r:id="rId51"/>
      <w:pgSz w:w="11906" w:h="16838"/>
      <w:pgMar w:top="1440" w:right="1440" w:bottom="1440" w:left="1440"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B46FF" w14:textId="77777777" w:rsidR="00E872C5" w:rsidRDefault="00E872C5">
      <w:pPr>
        <w:spacing w:before="120" w:line="240" w:lineRule="auto"/>
        <w:ind w:firstLine="480"/>
      </w:pPr>
      <w:r>
        <w:separator/>
      </w:r>
    </w:p>
  </w:endnote>
  <w:endnote w:type="continuationSeparator" w:id="0">
    <w:p w14:paraId="3A007957" w14:textId="77777777" w:rsidR="00E872C5" w:rsidRDefault="00E872C5">
      <w:pPr>
        <w:spacing w:before="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MS Sans Serif">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宋体">
    <w:panose1 w:val="02010600030101010101"/>
    <w:charset w:val="86"/>
    <w:family w:val="auto"/>
    <w:pitch w:val="variable"/>
    <w:sig w:usb0="000000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FIMOFO+MSung-Light">
    <w:altName w:val="微软雅黑"/>
    <w:charset w:val="86"/>
    <w:family w:val="auto"/>
    <w:pitch w:val="default"/>
    <w:sig w:usb0="00000000" w:usb1="00000000" w:usb2="00000010" w:usb3="00000000" w:csb0="00040000" w:csb1="00000000"/>
  </w:font>
  <w:font w:name="Times-Bold">
    <w:altName w:val="Times New Roman"/>
    <w:charset w:val="00"/>
    <w:family w:val="auto"/>
    <w:pitch w:val="default"/>
    <w:sig w:usb0="00000000" w:usb1="00000000" w:usb2="00000000" w:usb3="00000000" w:csb0="00000001" w:csb1="00000000"/>
  </w:font>
  <w:font w:name="CDEDHB+MSung-Light">
    <w:altName w:val="汉仪书宋二KW"/>
    <w:charset w:val="86"/>
    <w:family w:val="auto"/>
    <w:pitch w:val="default"/>
    <w:sig w:usb0="00000000" w:usb1="00000000" w:usb2="00000010" w:usb3="00000000" w:csb0="00040000" w:csb1="00000000"/>
  </w:font>
  <w:font w:name="@'宋体">
    <w:altName w:val="汉仪书宋二KW"/>
    <w:charset w:val="86"/>
    <w:family w:val="auto"/>
    <w:pitch w:val="default"/>
    <w:sig w:usb0="00000000" w:usb1="00000000" w:usb2="00000010" w:usb3="00000000" w:csb0="00040000" w:csb1="00000000"/>
  </w:font>
  <w:font w:name="MHeiHK-Light">
    <w:altName w:val="汉仪书宋二KW"/>
    <w:charset w:val="88"/>
    <w:family w:val="roman"/>
    <w:pitch w:val="default"/>
    <w:sig w:usb0="00000000" w:usb1="00000000" w:usb2="00000010" w:usb3="00000000" w:csb0="00100000" w:csb1="00000000"/>
  </w:font>
  <w:font w:name="新宋体">
    <w:panose1 w:val="02010609030101010101"/>
    <w:charset w:val="86"/>
    <w:family w:val="modern"/>
    <w:pitch w:val="fixed"/>
    <w:sig w:usb0="00000283" w:usb1="288F0000" w:usb2="00000016" w:usb3="00000000" w:csb0="00040001" w:csb1="00000000"/>
  </w:font>
  <w:font w:name="SC STKaiti">
    <w:altName w:val="汉仪书宋二KW"/>
    <w:charset w:val="86"/>
    <w:family w:val="auto"/>
    <w:pitch w:val="default"/>
    <w:sig w:usb0="00000000" w:usb1="00000000" w:usb2="00000010" w:usb3="00000000" w:csb0="0004009F" w:csb1="00000000"/>
  </w:font>
  <w:font w:name="Angsana New">
    <w:panose1 w:val="02020603050405020304"/>
    <w:charset w:val="DE"/>
    <w:family w:val="roman"/>
    <w:pitch w:val="variable"/>
    <w:sig w:usb0="81000003" w:usb1="00000000" w:usb2="00000000" w:usb3="00000000" w:csb0="00010001" w:csb1="00000000"/>
  </w:font>
  <w:font w:name="方正楷体_GBK">
    <w:altName w:val="Arial Unicode MS"/>
    <w:charset w:val="86"/>
    <w:family w:val="script"/>
    <w:pitch w:val="fixed"/>
    <w:sig w:usb0="00000001" w:usb1="080E0000" w:usb2="00000010" w:usb3="00000000" w:csb0="00040000" w:csb1="00000000"/>
  </w:font>
  <w:font w:name="CG Omega">
    <w:altName w:val="Arial"/>
    <w:charset w:val="00"/>
    <w:family w:val="auto"/>
    <w:pitch w:val="default"/>
    <w:sig w:usb0="00000000" w:usb1="00000000" w:usb2="00000000" w:usb3="00000000" w:csb0="00000093" w:csb1="00000000"/>
  </w:font>
  <w:font w:name="Adobe 明體 Std L">
    <w:altName w:val="Yu Gothic"/>
    <w:panose1 w:val="00000000000000000000"/>
    <w:charset w:val="80"/>
    <w:family w:val="roman"/>
    <w:notTrueType/>
    <w:pitch w:val="variable"/>
    <w:sig w:usb0="00000203" w:usb1="1A0F1900" w:usb2="00000016" w:usb3="00000000" w:csb0="00120005" w:csb1="00000000"/>
  </w:font>
  <w:font w:name="Times LT Std">
    <w:altName w:val="DejaVu Sans"/>
    <w:charset w:val="86"/>
    <w:family w:val="auto"/>
    <w:pitch w:val="default"/>
    <w:sig w:usb0="00000000" w:usb1="00000000" w:usb2="00000010" w:usb3="00000000" w:csb0="00040000" w:csb1="00000000"/>
  </w:font>
  <w:font w:name="ATC-*MHei-Light+Helvetica45Ligh">
    <w:altName w:val="汉仪书宋二KW"/>
    <w:charset w:val="88"/>
    <w:family w:val="auto"/>
    <w:pitch w:val="default"/>
    <w:sig w:usb0="00000000" w:usb1="00000000" w:usb2="00000010" w:usb3="00000000" w:csb0="00100000" w:csb1="00000000"/>
  </w:font>
  <w:font w:name="HelveticaNeueLT Std Lt">
    <w:altName w:val="Arial"/>
    <w:charset w:val="00"/>
    <w:family w:val="auto"/>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HiddenHorzOCl">
    <w:altName w:val="汉仪书宋二KW"/>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Zurich Cn BT">
    <w:altName w:val="Arial"/>
    <w:charset w:val="00"/>
    <w:family w:val="auto"/>
    <w:pitch w:val="default"/>
    <w:sig w:usb0="00000000" w:usb1="00000000" w:usb2="00000000" w:usb3="00000000" w:csb0="00000001" w:csb1="00000000"/>
  </w:font>
  <w:font w:name="ˎ̥">
    <w:altName w:val="Times New Roman"/>
    <w:charset w:val="86"/>
    <w:family w:val="swiss"/>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BEC6" w14:textId="77777777" w:rsidR="00C74863" w:rsidRDefault="00C74863">
    <w:pPr>
      <w:pStyle w:val="aff"/>
      <w:spacing w:before="120"/>
      <w:ind w:left="48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090C" w14:textId="1D655F89" w:rsidR="00C74863" w:rsidRDefault="00C74863">
    <w:pPr>
      <w:pStyle w:val="aff"/>
      <w:spacing w:before="120"/>
      <w:ind w:firstLineChars="0" w:firstLine="0"/>
      <w:jc w:val="center"/>
      <w:rPr>
        <w:rFonts w:ascii="Times New Roman" w:hAnsi="Times New Roman"/>
      </w:rPr>
    </w:pPr>
    <w:r>
      <w:rPr>
        <w:rFonts w:ascii="Times New Roman" w:hAnsi="Times New Roman"/>
      </w:rPr>
      <w:t>1-2-</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45CC0">
      <w:rPr>
        <w:rFonts w:ascii="Times New Roman" w:hAnsi="Times New Roman"/>
        <w:noProof/>
      </w:rPr>
      <w:t>90</w:t>
    </w:r>
    <w:r>
      <w:rP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0AED7" w14:textId="77777777" w:rsidR="00C74863" w:rsidRDefault="00C74863">
    <w:pPr>
      <w:pStyle w:val="aff"/>
      <w:spacing w:before="120"/>
      <w:ind w:left="48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55BA" w14:textId="77777777" w:rsidR="00C74863" w:rsidRDefault="00C74863">
    <w:pPr>
      <w:pStyle w:val="aff"/>
      <w:spacing w:before="120"/>
      <w:ind w:left="48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4004D" w14:textId="77777777" w:rsidR="00E872C5" w:rsidRDefault="00E872C5">
      <w:pPr>
        <w:spacing w:before="120" w:line="240" w:lineRule="auto"/>
        <w:ind w:firstLine="480"/>
      </w:pPr>
      <w:r>
        <w:separator/>
      </w:r>
    </w:p>
  </w:footnote>
  <w:footnote w:type="continuationSeparator" w:id="0">
    <w:p w14:paraId="4346E4B7" w14:textId="77777777" w:rsidR="00E872C5" w:rsidRDefault="00E872C5">
      <w:pPr>
        <w:spacing w:before="120" w:line="240" w:lineRule="auto"/>
        <w:ind w:firstLine="480"/>
      </w:pPr>
      <w:r>
        <w:continuationSeparator/>
      </w:r>
    </w:p>
  </w:footnote>
  <w:footnote w:id="1">
    <w:p w14:paraId="505B059C" w14:textId="77777777" w:rsidR="00C74863" w:rsidRDefault="00C74863">
      <w:pPr>
        <w:pStyle w:val="aff6"/>
        <w:spacing w:before="120"/>
        <w:ind w:firstLine="360"/>
      </w:pPr>
      <w:r>
        <w:rPr>
          <w:rStyle w:val="afff8"/>
        </w:rPr>
        <w:footnoteRef/>
      </w:r>
      <w:r>
        <w:t>曾用名为“江西省高速公路投资集团有限责任公司”，2021年1月更名。下同。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53424" w14:textId="77777777" w:rsidR="00C74863" w:rsidRDefault="00C74863">
    <w:pPr>
      <w:pStyle w:val="aff1"/>
      <w:spacing w:before="120"/>
      <w:ind w:left="48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4C5B" w14:textId="77777777" w:rsidR="00C74863" w:rsidRDefault="00C74863" w:rsidP="00F677C4">
    <w:pPr>
      <w:pStyle w:val="aff1"/>
      <w:spacing w:before="120" w:line="240" w:lineRule="auto"/>
      <w:ind w:firstLineChars="0" w:firstLine="0"/>
      <w:jc w:val="left"/>
    </w:pPr>
    <w:r>
      <w:t>广发银行股份有限公司</w:t>
    </w:r>
    <w:r>
      <w:rPr>
        <w:rFonts w:hint="eastAsia"/>
      </w:rPr>
      <w:t xml:space="preserve">                                                                 </w:t>
    </w:r>
    <w:r>
      <w:rPr>
        <w:rFonts w:hint="eastAsia"/>
      </w:rPr>
      <w:t>定向发行说明书</w:t>
    </w:r>
  </w:p>
  <w:p w14:paraId="71B62303" w14:textId="77777777" w:rsidR="00C74863" w:rsidRDefault="00C74863">
    <w:pPr>
      <w:pStyle w:val="aff1"/>
      <w:pBdr>
        <w:bottom w:val="none" w:sz="0" w:space="0" w:color="auto"/>
      </w:pBdr>
      <w:spacing w:before="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2D321" w14:textId="77777777" w:rsidR="00C74863" w:rsidRDefault="00C74863">
    <w:pPr>
      <w:pStyle w:val="aff1"/>
      <w:pBdr>
        <w:bottom w:val="none" w:sz="0" w:space="0" w:color="auto"/>
      </w:pBdr>
      <w:spacing w:before="120"/>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C41A" w14:textId="77777777" w:rsidR="00C74863" w:rsidRDefault="00C74863" w:rsidP="00F677C4">
    <w:pPr>
      <w:pStyle w:val="aff1"/>
      <w:spacing w:before="120" w:line="240" w:lineRule="auto"/>
      <w:ind w:left="7560" w:hangingChars="4200" w:hanging="7560"/>
      <w:jc w:val="left"/>
    </w:pPr>
    <w:r>
      <w:t>广发银行股份有限公司</w:t>
    </w:r>
    <w:r>
      <w:rPr>
        <w:rFonts w:hint="eastAsia"/>
      </w:rPr>
      <w:t xml:space="preserve">                                                                 </w:t>
    </w:r>
    <w:r>
      <w:rPr>
        <w:rFonts w:hint="eastAsia"/>
      </w:rPr>
      <w:t>定向发行说明书</w:t>
    </w:r>
  </w:p>
  <w:p w14:paraId="3854E80C" w14:textId="77777777" w:rsidR="00C74863" w:rsidRDefault="00C74863">
    <w:pPr>
      <w:pStyle w:val="aff1"/>
      <w:pBdr>
        <w:bottom w:val="none" w:sz="0" w:space="0" w:color="auto"/>
      </w:pBdr>
      <w:spacing w:before="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E73A3"/>
    <w:multiLevelType w:val="multilevel"/>
    <w:tmpl w:val="0B3E73A3"/>
    <w:lvl w:ilvl="0">
      <w:start w:val="1"/>
      <w:numFmt w:val="decimal"/>
      <w:pStyle w:val="KWheading1"/>
      <w:lvlText w:val="%1"/>
      <w:lvlJc w:val="left"/>
      <w:pPr>
        <w:tabs>
          <w:tab w:val="left" w:pos="567"/>
        </w:tabs>
        <w:ind w:left="567" w:hanging="567"/>
      </w:pPr>
      <w:rPr>
        <w:rFonts w:hint="eastAsia"/>
      </w:rPr>
    </w:lvl>
    <w:lvl w:ilvl="1">
      <w:start w:val="1"/>
      <w:numFmt w:val="decimal"/>
      <w:pStyle w:val="KWheading2"/>
      <w:lvlText w:val="%1.%2"/>
      <w:lvlJc w:val="left"/>
      <w:pPr>
        <w:tabs>
          <w:tab w:val="left" w:pos="567"/>
        </w:tabs>
        <w:ind w:left="567" w:hanging="567"/>
      </w:pPr>
      <w:rPr>
        <w:rFonts w:ascii="Arial" w:hAnsi="Arial" w:hint="default"/>
        <w:sz w:val="20"/>
      </w:rPr>
    </w:lvl>
    <w:lvl w:ilvl="2">
      <w:start w:val="1"/>
      <w:numFmt w:val="lowerLetter"/>
      <w:pStyle w:val="KWheading3"/>
      <w:lvlText w:val="(%3)"/>
      <w:lvlJc w:val="left"/>
      <w:pPr>
        <w:tabs>
          <w:tab w:val="left" w:pos="567"/>
        </w:tabs>
        <w:ind w:left="567" w:hanging="567"/>
      </w:pPr>
      <w:rPr>
        <w:rFonts w:ascii="Arial" w:hAnsi="Arial" w:hint="default"/>
        <w:sz w:val="16"/>
      </w:rPr>
    </w:lvl>
    <w:lvl w:ilvl="3">
      <w:start w:val="1"/>
      <w:numFmt w:val="lowerRoman"/>
      <w:pStyle w:val="KWheading4"/>
      <w:lvlText w:val="(%4)"/>
      <w:lvlJc w:val="left"/>
      <w:pPr>
        <w:tabs>
          <w:tab w:val="left" w:pos="1134"/>
        </w:tabs>
        <w:ind w:left="1134" w:hanging="567"/>
      </w:pPr>
      <w:rPr>
        <w:rFonts w:ascii="Arial" w:hAnsi="Arial" w:hint="default"/>
        <w:b w:val="0"/>
        <w:i w:val="0"/>
        <w:sz w:val="16"/>
      </w:rPr>
    </w:lvl>
    <w:lvl w:ilvl="4">
      <w:start w:val="1"/>
      <w:numFmt w:val="upperLetter"/>
      <w:pStyle w:val="KWheading5"/>
      <w:lvlText w:val="(%5)"/>
      <w:lvlJc w:val="left"/>
      <w:pPr>
        <w:tabs>
          <w:tab w:val="left" w:pos="1701"/>
        </w:tabs>
        <w:ind w:left="1701" w:hanging="567"/>
      </w:pPr>
      <w:rPr>
        <w:rFonts w:ascii="Arial" w:hAnsi="Arial" w:hint="default"/>
        <w:sz w:val="16"/>
      </w:rPr>
    </w:lvl>
    <w:lvl w:ilvl="5">
      <w:start w:val="1"/>
      <w:numFmt w:val="none"/>
      <w:lvlText w:val=""/>
      <w:lvlJc w:val="left"/>
      <w:pPr>
        <w:tabs>
          <w:tab w:val="left" w:pos="2268"/>
        </w:tabs>
        <w:ind w:left="2268" w:hanging="2268"/>
      </w:pPr>
      <w:rPr>
        <w:rFonts w:hint="eastAsia"/>
      </w:rPr>
    </w:lvl>
    <w:lvl w:ilvl="6">
      <w:start w:val="1"/>
      <w:numFmt w:val="none"/>
      <w:lvlText w:val=""/>
      <w:lvlJc w:val="left"/>
      <w:pPr>
        <w:tabs>
          <w:tab w:val="left" w:pos="2268"/>
        </w:tabs>
        <w:ind w:left="2268" w:hanging="2268"/>
      </w:pPr>
      <w:rPr>
        <w:rFonts w:hint="eastAsia"/>
      </w:rPr>
    </w:lvl>
    <w:lvl w:ilvl="7">
      <w:start w:val="1"/>
      <w:numFmt w:val="none"/>
      <w:lvlText w:val=""/>
      <w:lvlJc w:val="left"/>
      <w:pPr>
        <w:tabs>
          <w:tab w:val="left" w:pos="2268"/>
        </w:tabs>
        <w:ind w:left="2268" w:hanging="2268"/>
      </w:pPr>
      <w:rPr>
        <w:rFonts w:hint="eastAsia"/>
      </w:rPr>
    </w:lvl>
    <w:lvl w:ilvl="8">
      <w:start w:val="1"/>
      <w:numFmt w:val="none"/>
      <w:lvlText w:val=""/>
      <w:lvlJc w:val="left"/>
      <w:pPr>
        <w:tabs>
          <w:tab w:val="left" w:pos="2268"/>
        </w:tabs>
        <w:ind w:left="2268" w:hanging="2268"/>
      </w:pPr>
      <w:rPr>
        <w:rFonts w:hint="eastAsia"/>
      </w:rPr>
    </w:lvl>
  </w:abstractNum>
  <w:abstractNum w:abstractNumId="1" w15:restartNumberingAfterBreak="0">
    <w:nsid w:val="35AC4092"/>
    <w:multiLevelType w:val="multilevel"/>
    <w:tmpl w:val="35AC4092"/>
    <w:lvl w:ilvl="0">
      <w:start w:val="1"/>
      <w:numFmt w:val="decimal"/>
      <w:lvlText w:val="%1"/>
      <w:lvlJc w:val="left"/>
      <w:pPr>
        <w:tabs>
          <w:tab w:val="left" w:pos="360"/>
        </w:tabs>
      </w:pPr>
      <w:rPr>
        <w:rFonts w:ascii="楷体_GB2312" w:eastAsia="楷体_GB2312" w:hint="eastAsia"/>
        <w:b/>
        <w:bCs/>
        <w:i w:val="0"/>
        <w:iCs w:val="0"/>
      </w:rPr>
    </w:lvl>
    <w:lvl w:ilvl="1">
      <w:start w:val="1"/>
      <w:numFmt w:val="decimal"/>
      <w:lvlText w:val="%1.%2"/>
      <w:lvlJc w:val="left"/>
      <w:pPr>
        <w:tabs>
          <w:tab w:val="left" w:pos="576"/>
        </w:tabs>
        <w:ind w:left="576" w:hanging="576"/>
      </w:pPr>
      <w:rPr>
        <w:rFonts w:ascii="楷体_GB2312" w:eastAsia="楷体_GB2312" w:hint="eastAsia"/>
        <w:b/>
        <w:bCs/>
        <w:i w:val="0"/>
        <w:iCs w:val="0"/>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2" w15:restartNumberingAfterBreak="0">
    <w:nsid w:val="36B9255A"/>
    <w:multiLevelType w:val="multilevel"/>
    <w:tmpl w:val="36B9255A"/>
    <w:lvl w:ilvl="0">
      <w:start w:val="1"/>
      <w:numFmt w:val="decimal"/>
      <w:pStyle w:val="a"/>
      <w:lvlText w:val="%1、"/>
      <w:lvlJc w:val="left"/>
      <w:pPr>
        <w:ind w:left="1070" w:hanging="36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43205E24"/>
    <w:multiLevelType w:val="multilevel"/>
    <w:tmpl w:val="43205E24"/>
    <w:lvl w:ilvl="0">
      <w:start w:val="1"/>
      <w:numFmt w:val="chineseCountingThousand"/>
      <w:lvlText w:val="（%1）"/>
      <w:lvlJc w:val="left"/>
      <w:pPr>
        <w:tabs>
          <w:tab w:val="left" w:pos="420"/>
        </w:tabs>
        <w:ind w:left="420" w:hanging="420"/>
      </w:pPr>
      <w:rPr>
        <w:rFonts w:hint="eastAsia"/>
        <w:sz w:val="28"/>
        <w:szCs w:val="28"/>
      </w:rPr>
    </w:lvl>
    <w:lvl w:ilvl="1">
      <w:start w:val="1"/>
      <w:numFmt w:val="bullet"/>
      <w:pStyle w:val="a0"/>
      <w:lvlText w:val=""/>
      <w:lvlJc w:val="left"/>
      <w:pPr>
        <w:tabs>
          <w:tab w:val="left" w:pos="840"/>
        </w:tabs>
        <w:ind w:left="840" w:hanging="420"/>
      </w:pPr>
      <w:rPr>
        <w:rFonts w:ascii="MS Sans Serif" w:hAnsi="MS Sans Serif" w:hint="default"/>
        <w:sz w:val="24"/>
        <w:szCs w:val="24"/>
      </w:rPr>
    </w:lvl>
    <w:lvl w:ilvl="2">
      <w:start w:val="1"/>
      <w:numFmt w:val="bullet"/>
      <w:lvlText w:val=""/>
      <w:lvlJc w:val="left"/>
      <w:pPr>
        <w:tabs>
          <w:tab w:val="left" w:pos="1260"/>
        </w:tabs>
        <w:ind w:left="1260" w:hanging="420"/>
      </w:pPr>
      <w:rPr>
        <w:rFonts w:ascii="MS Sans Serif" w:hAnsi="MS Sans Serif" w:hint="default"/>
        <w:sz w:val="28"/>
        <w:szCs w:val="28"/>
      </w:rPr>
    </w:lvl>
    <w:lvl w:ilvl="3">
      <w:start w:val="2"/>
      <w:numFmt w:val="japaneseCounting"/>
      <w:lvlText w:val="（%4）"/>
      <w:lvlJc w:val="left"/>
      <w:pPr>
        <w:tabs>
          <w:tab w:val="left" w:pos="2115"/>
        </w:tabs>
        <w:ind w:left="2115" w:hanging="855"/>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ocumentProtection w:edit="readOnly" w:enforcement="0"/>
  <w:defaultTabStop w:val="420"/>
  <w:drawingGridHorizontalSpacing w:val="1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08BD"/>
    <w:rsid w:val="F7FDC56D"/>
    <w:rsid w:val="00000186"/>
    <w:rsid w:val="0000066C"/>
    <w:rsid w:val="0000075D"/>
    <w:rsid w:val="0000082A"/>
    <w:rsid w:val="00000FC8"/>
    <w:rsid w:val="0000120E"/>
    <w:rsid w:val="0000165B"/>
    <w:rsid w:val="00001712"/>
    <w:rsid w:val="00001864"/>
    <w:rsid w:val="00001B28"/>
    <w:rsid w:val="00001E0E"/>
    <w:rsid w:val="000028A2"/>
    <w:rsid w:val="0000295A"/>
    <w:rsid w:val="00003784"/>
    <w:rsid w:val="000038D0"/>
    <w:rsid w:val="000040C5"/>
    <w:rsid w:val="000043C9"/>
    <w:rsid w:val="000045DD"/>
    <w:rsid w:val="000045FF"/>
    <w:rsid w:val="0000498C"/>
    <w:rsid w:val="00004D87"/>
    <w:rsid w:val="000054DF"/>
    <w:rsid w:val="00005971"/>
    <w:rsid w:val="00005DAF"/>
    <w:rsid w:val="0000627D"/>
    <w:rsid w:val="00006450"/>
    <w:rsid w:val="00006735"/>
    <w:rsid w:val="0000710D"/>
    <w:rsid w:val="0000795B"/>
    <w:rsid w:val="000079B6"/>
    <w:rsid w:val="00007CE9"/>
    <w:rsid w:val="00010232"/>
    <w:rsid w:val="00010363"/>
    <w:rsid w:val="0001057C"/>
    <w:rsid w:val="00010607"/>
    <w:rsid w:val="000107CA"/>
    <w:rsid w:val="0001085B"/>
    <w:rsid w:val="00010C21"/>
    <w:rsid w:val="00011050"/>
    <w:rsid w:val="000111A0"/>
    <w:rsid w:val="000116DE"/>
    <w:rsid w:val="00011B5F"/>
    <w:rsid w:val="000124E3"/>
    <w:rsid w:val="0001263B"/>
    <w:rsid w:val="00012672"/>
    <w:rsid w:val="000127E2"/>
    <w:rsid w:val="00012E6A"/>
    <w:rsid w:val="0001315F"/>
    <w:rsid w:val="00013A6A"/>
    <w:rsid w:val="00013F85"/>
    <w:rsid w:val="00014383"/>
    <w:rsid w:val="00014884"/>
    <w:rsid w:val="00014AD5"/>
    <w:rsid w:val="000151A3"/>
    <w:rsid w:val="0001565E"/>
    <w:rsid w:val="000160FA"/>
    <w:rsid w:val="0001647C"/>
    <w:rsid w:val="0001686D"/>
    <w:rsid w:val="0001714E"/>
    <w:rsid w:val="00017285"/>
    <w:rsid w:val="000178AF"/>
    <w:rsid w:val="00020B38"/>
    <w:rsid w:val="0002138C"/>
    <w:rsid w:val="0002168A"/>
    <w:rsid w:val="0002183B"/>
    <w:rsid w:val="00022AAB"/>
    <w:rsid w:val="000236D8"/>
    <w:rsid w:val="00023A12"/>
    <w:rsid w:val="00023F26"/>
    <w:rsid w:val="0002471F"/>
    <w:rsid w:val="00024C3C"/>
    <w:rsid w:val="00025244"/>
    <w:rsid w:val="0002539D"/>
    <w:rsid w:val="00025DF1"/>
    <w:rsid w:val="00025EDA"/>
    <w:rsid w:val="000264AB"/>
    <w:rsid w:val="00026B3A"/>
    <w:rsid w:val="00026D30"/>
    <w:rsid w:val="0002712D"/>
    <w:rsid w:val="0002784C"/>
    <w:rsid w:val="00027A63"/>
    <w:rsid w:val="00027F8C"/>
    <w:rsid w:val="00030975"/>
    <w:rsid w:val="0003140D"/>
    <w:rsid w:val="000317C2"/>
    <w:rsid w:val="0003184C"/>
    <w:rsid w:val="0003185F"/>
    <w:rsid w:val="0003217C"/>
    <w:rsid w:val="00032743"/>
    <w:rsid w:val="0003275B"/>
    <w:rsid w:val="00032AE4"/>
    <w:rsid w:val="00033A74"/>
    <w:rsid w:val="00034536"/>
    <w:rsid w:val="000349E3"/>
    <w:rsid w:val="00034CF0"/>
    <w:rsid w:val="00034D60"/>
    <w:rsid w:val="000352EA"/>
    <w:rsid w:val="000363C9"/>
    <w:rsid w:val="0003642F"/>
    <w:rsid w:val="000364E8"/>
    <w:rsid w:val="00036551"/>
    <w:rsid w:val="00036893"/>
    <w:rsid w:val="00036AA8"/>
    <w:rsid w:val="00036D8F"/>
    <w:rsid w:val="00037763"/>
    <w:rsid w:val="00037A16"/>
    <w:rsid w:val="00037B61"/>
    <w:rsid w:val="000404E7"/>
    <w:rsid w:val="00040691"/>
    <w:rsid w:val="00041165"/>
    <w:rsid w:val="0004172A"/>
    <w:rsid w:val="0004231B"/>
    <w:rsid w:val="000435B3"/>
    <w:rsid w:val="00043F7B"/>
    <w:rsid w:val="00044469"/>
    <w:rsid w:val="00045ED1"/>
    <w:rsid w:val="00045F51"/>
    <w:rsid w:val="000467C6"/>
    <w:rsid w:val="000469ED"/>
    <w:rsid w:val="00047093"/>
    <w:rsid w:val="0004713E"/>
    <w:rsid w:val="00047948"/>
    <w:rsid w:val="00047E8C"/>
    <w:rsid w:val="00050501"/>
    <w:rsid w:val="0005050F"/>
    <w:rsid w:val="00050F08"/>
    <w:rsid w:val="0005171F"/>
    <w:rsid w:val="00051A8A"/>
    <w:rsid w:val="00053B5A"/>
    <w:rsid w:val="00053CDE"/>
    <w:rsid w:val="000547B3"/>
    <w:rsid w:val="0005575C"/>
    <w:rsid w:val="00055858"/>
    <w:rsid w:val="000566DC"/>
    <w:rsid w:val="000567B7"/>
    <w:rsid w:val="0005687A"/>
    <w:rsid w:val="00057880"/>
    <w:rsid w:val="00057AAF"/>
    <w:rsid w:val="00057B8D"/>
    <w:rsid w:val="000600C5"/>
    <w:rsid w:val="000600E0"/>
    <w:rsid w:val="00060566"/>
    <w:rsid w:val="00060C0A"/>
    <w:rsid w:val="00060C38"/>
    <w:rsid w:val="00060CFF"/>
    <w:rsid w:val="00060F6A"/>
    <w:rsid w:val="0006107B"/>
    <w:rsid w:val="00061B14"/>
    <w:rsid w:val="000625AF"/>
    <w:rsid w:val="000629EE"/>
    <w:rsid w:val="00062BC0"/>
    <w:rsid w:val="00062FE8"/>
    <w:rsid w:val="00063370"/>
    <w:rsid w:val="00063936"/>
    <w:rsid w:val="00064B7D"/>
    <w:rsid w:val="00065042"/>
    <w:rsid w:val="000656C4"/>
    <w:rsid w:val="000660C9"/>
    <w:rsid w:val="00066616"/>
    <w:rsid w:val="00067015"/>
    <w:rsid w:val="000670FF"/>
    <w:rsid w:val="0006722C"/>
    <w:rsid w:val="00067416"/>
    <w:rsid w:val="00070150"/>
    <w:rsid w:val="00070392"/>
    <w:rsid w:val="00070801"/>
    <w:rsid w:val="00070B42"/>
    <w:rsid w:val="00070E6A"/>
    <w:rsid w:val="00071282"/>
    <w:rsid w:val="00071A94"/>
    <w:rsid w:val="00072CFE"/>
    <w:rsid w:val="00072E48"/>
    <w:rsid w:val="00073B9B"/>
    <w:rsid w:val="00074ABB"/>
    <w:rsid w:val="00074DD9"/>
    <w:rsid w:val="00074EB9"/>
    <w:rsid w:val="000757C4"/>
    <w:rsid w:val="00076B45"/>
    <w:rsid w:val="000777A8"/>
    <w:rsid w:val="00077E7D"/>
    <w:rsid w:val="00077EDB"/>
    <w:rsid w:val="00080998"/>
    <w:rsid w:val="000809C2"/>
    <w:rsid w:val="000815D8"/>
    <w:rsid w:val="00081952"/>
    <w:rsid w:val="00081A77"/>
    <w:rsid w:val="00081CD0"/>
    <w:rsid w:val="000822FD"/>
    <w:rsid w:val="00083295"/>
    <w:rsid w:val="0008353D"/>
    <w:rsid w:val="00083ACC"/>
    <w:rsid w:val="00083F82"/>
    <w:rsid w:val="00084179"/>
    <w:rsid w:val="00084E61"/>
    <w:rsid w:val="0008504B"/>
    <w:rsid w:val="000851D1"/>
    <w:rsid w:val="00085285"/>
    <w:rsid w:val="00085B10"/>
    <w:rsid w:val="00085BB7"/>
    <w:rsid w:val="00085BDF"/>
    <w:rsid w:val="0008756F"/>
    <w:rsid w:val="00087A0C"/>
    <w:rsid w:val="00087B38"/>
    <w:rsid w:val="00087E8B"/>
    <w:rsid w:val="0009049A"/>
    <w:rsid w:val="00090659"/>
    <w:rsid w:val="000906BD"/>
    <w:rsid w:val="00090D6F"/>
    <w:rsid w:val="00091A98"/>
    <w:rsid w:val="0009260C"/>
    <w:rsid w:val="00092C5B"/>
    <w:rsid w:val="00092DDE"/>
    <w:rsid w:val="000931E2"/>
    <w:rsid w:val="00094327"/>
    <w:rsid w:val="00094347"/>
    <w:rsid w:val="0009437E"/>
    <w:rsid w:val="0009438F"/>
    <w:rsid w:val="00095CF2"/>
    <w:rsid w:val="00095E88"/>
    <w:rsid w:val="0009686C"/>
    <w:rsid w:val="00097727"/>
    <w:rsid w:val="00097EA2"/>
    <w:rsid w:val="000A068E"/>
    <w:rsid w:val="000A08E8"/>
    <w:rsid w:val="000A0E91"/>
    <w:rsid w:val="000A0FB4"/>
    <w:rsid w:val="000A1165"/>
    <w:rsid w:val="000A1167"/>
    <w:rsid w:val="000A16BE"/>
    <w:rsid w:val="000A1D71"/>
    <w:rsid w:val="000A1D7A"/>
    <w:rsid w:val="000A2374"/>
    <w:rsid w:val="000A27A4"/>
    <w:rsid w:val="000A2FE7"/>
    <w:rsid w:val="000A300E"/>
    <w:rsid w:val="000A327D"/>
    <w:rsid w:val="000A33A9"/>
    <w:rsid w:val="000A3A92"/>
    <w:rsid w:val="000A3CBF"/>
    <w:rsid w:val="000A528C"/>
    <w:rsid w:val="000A569F"/>
    <w:rsid w:val="000A56AC"/>
    <w:rsid w:val="000A65E1"/>
    <w:rsid w:val="000A701A"/>
    <w:rsid w:val="000A714B"/>
    <w:rsid w:val="000A7A62"/>
    <w:rsid w:val="000A7AA4"/>
    <w:rsid w:val="000B022A"/>
    <w:rsid w:val="000B0267"/>
    <w:rsid w:val="000B1956"/>
    <w:rsid w:val="000B28F4"/>
    <w:rsid w:val="000B3001"/>
    <w:rsid w:val="000B3421"/>
    <w:rsid w:val="000B402D"/>
    <w:rsid w:val="000B42E9"/>
    <w:rsid w:val="000B486D"/>
    <w:rsid w:val="000B4AFF"/>
    <w:rsid w:val="000B5146"/>
    <w:rsid w:val="000B5DEE"/>
    <w:rsid w:val="000B647B"/>
    <w:rsid w:val="000B6495"/>
    <w:rsid w:val="000B664D"/>
    <w:rsid w:val="000B6776"/>
    <w:rsid w:val="000B6991"/>
    <w:rsid w:val="000B6BF4"/>
    <w:rsid w:val="000B6CC5"/>
    <w:rsid w:val="000B707D"/>
    <w:rsid w:val="000B7447"/>
    <w:rsid w:val="000C0374"/>
    <w:rsid w:val="000C0A68"/>
    <w:rsid w:val="000C0F29"/>
    <w:rsid w:val="000C1544"/>
    <w:rsid w:val="000C21D3"/>
    <w:rsid w:val="000C2E31"/>
    <w:rsid w:val="000C344D"/>
    <w:rsid w:val="000C6C83"/>
    <w:rsid w:val="000C70B6"/>
    <w:rsid w:val="000C756E"/>
    <w:rsid w:val="000C7E16"/>
    <w:rsid w:val="000D099E"/>
    <w:rsid w:val="000D0AD6"/>
    <w:rsid w:val="000D0D2F"/>
    <w:rsid w:val="000D0D5D"/>
    <w:rsid w:val="000D0FF2"/>
    <w:rsid w:val="000D13CC"/>
    <w:rsid w:val="000D18D5"/>
    <w:rsid w:val="000D25D5"/>
    <w:rsid w:val="000D3928"/>
    <w:rsid w:val="000D3E24"/>
    <w:rsid w:val="000D3F1E"/>
    <w:rsid w:val="000D3FED"/>
    <w:rsid w:val="000D4118"/>
    <w:rsid w:val="000D4B03"/>
    <w:rsid w:val="000D4C6C"/>
    <w:rsid w:val="000D51CE"/>
    <w:rsid w:val="000D60DB"/>
    <w:rsid w:val="000D646A"/>
    <w:rsid w:val="000D664C"/>
    <w:rsid w:val="000D68B2"/>
    <w:rsid w:val="000D73BE"/>
    <w:rsid w:val="000D7DEA"/>
    <w:rsid w:val="000E016E"/>
    <w:rsid w:val="000E027C"/>
    <w:rsid w:val="000E15EC"/>
    <w:rsid w:val="000E1D44"/>
    <w:rsid w:val="000E2C8A"/>
    <w:rsid w:val="000E3DE9"/>
    <w:rsid w:val="000E406F"/>
    <w:rsid w:val="000E427A"/>
    <w:rsid w:val="000E46C0"/>
    <w:rsid w:val="000E4B86"/>
    <w:rsid w:val="000E4DFA"/>
    <w:rsid w:val="000E5C3D"/>
    <w:rsid w:val="000E6AE8"/>
    <w:rsid w:val="000E70F2"/>
    <w:rsid w:val="000E7878"/>
    <w:rsid w:val="000E7A5C"/>
    <w:rsid w:val="000F02DB"/>
    <w:rsid w:val="000F08E3"/>
    <w:rsid w:val="000F0C41"/>
    <w:rsid w:val="000F121D"/>
    <w:rsid w:val="000F1913"/>
    <w:rsid w:val="000F1BBC"/>
    <w:rsid w:val="000F1CF2"/>
    <w:rsid w:val="000F237A"/>
    <w:rsid w:val="000F2643"/>
    <w:rsid w:val="000F2E14"/>
    <w:rsid w:val="000F326B"/>
    <w:rsid w:val="000F3947"/>
    <w:rsid w:val="000F3C33"/>
    <w:rsid w:val="000F3DAC"/>
    <w:rsid w:val="000F4C2E"/>
    <w:rsid w:val="000F4FD0"/>
    <w:rsid w:val="000F51E0"/>
    <w:rsid w:val="000F53BC"/>
    <w:rsid w:val="000F68B0"/>
    <w:rsid w:val="000F6ED4"/>
    <w:rsid w:val="000F6F97"/>
    <w:rsid w:val="000F74A7"/>
    <w:rsid w:val="000F7C0E"/>
    <w:rsid w:val="00100BE6"/>
    <w:rsid w:val="00101A70"/>
    <w:rsid w:val="001043CC"/>
    <w:rsid w:val="00104556"/>
    <w:rsid w:val="00104735"/>
    <w:rsid w:val="00105201"/>
    <w:rsid w:val="00105B6E"/>
    <w:rsid w:val="00105D68"/>
    <w:rsid w:val="00107099"/>
    <w:rsid w:val="001070E2"/>
    <w:rsid w:val="0010766D"/>
    <w:rsid w:val="00107BBA"/>
    <w:rsid w:val="00107EC0"/>
    <w:rsid w:val="0011025A"/>
    <w:rsid w:val="0011051B"/>
    <w:rsid w:val="00111984"/>
    <w:rsid w:val="00111DCF"/>
    <w:rsid w:val="00112414"/>
    <w:rsid w:val="00113121"/>
    <w:rsid w:val="00113C71"/>
    <w:rsid w:val="00113CE5"/>
    <w:rsid w:val="00114671"/>
    <w:rsid w:val="00114A6F"/>
    <w:rsid w:val="00114EC1"/>
    <w:rsid w:val="001150A9"/>
    <w:rsid w:val="001152E8"/>
    <w:rsid w:val="0011581F"/>
    <w:rsid w:val="001158A2"/>
    <w:rsid w:val="00116370"/>
    <w:rsid w:val="001163F3"/>
    <w:rsid w:val="00116B17"/>
    <w:rsid w:val="001178B9"/>
    <w:rsid w:val="001178EF"/>
    <w:rsid w:val="00117A1B"/>
    <w:rsid w:val="00117D32"/>
    <w:rsid w:val="00120905"/>
    <w:rsid w:val="00121C65"/>
    <w:rsid w:val="001220E8"/>
    <w:rsid w:val="0012378E"/>
    <w:rsid w:val="00124C16"/>
    <w:rsid w:val="001254F1"/>
    <w:rsid w:val="0012578D"/>
    <w:rsid w:val="00125B7E"/>
    <w:rsid w:val="00125CA7"/>
    <w:rsid w:val="0012681E"/>
    <w:rsid w:val="00126907"/>
    <w:rsid w:val="00126943"/>
    <w:rsid w:val="00126D57"/>
    <w:rsid w:val="00127147"/>
    <w:rsid w:val="001271BD"/>
    <w:rsid w:val="0012723B"/>
    <w:rsid w:val="00127409"/>
    <w:rsid w:val="00127669"/>
    <w:rsid w:val="00127A5E"/>
    <w:rsid w:val="00127CCA"/>
    <w:rsid w:val="00127F22"/>
    <w:rsid w:val="00127F7C"/>
    <w:rsid w:val="00130614"/>
    <w:rsid w:val="0013062D"/>
    <w:rsid w:val="00130849"/>
    <w:rsid w:val="00130D2C"/>
    <w:rsid w:val="001320E1"/>
    <w:rsid w:val="00132FC4"/>
    <w:rsid w:val="00133415"/>
    <w:rsid w:val="00133E15"/>
    <w:rsid w:val="001342B9"/>
    <w:rsid w:val="00134883"/>
    <w:rsid w:val="00134F8C"/>
    <w:rsid w:val="0013511F"/>
    <w:rsid w:val="001353BC"/>
    <w:rsid w:val="0013594E"/>
    <w:rsid w:val="00136011"/>
    <w:rsid w:val="0013601F"/>
    <w:rsid w:val="001364D7"/>
    <w:rsid w:val="0013687C"/>
    <w:rsid w:val="001371C5"/>
    <w:rsid w:val="001373B9"/>
    <w:rsid w:val="00137F8F"/>
    <w:rsid w:val="00141D5B"/>
    <w:rsid w:val="00142192"/>
    <w:rsid w:val="001421C8"/>
    <w:rsid w:val="001421D1"/>
    <w:rsid w:val="001425E7"/>
    <w:rsid w:val="00142B5B"/>
    <w:rsid w:val="0014320D"/>
    <w:rsid w:val="001433DC"/>
    <w:rsid w:val="00143A41"/>
    <w:rsid w:val="00143E97"/>
    <w:rsid w:val="001444C5"/>
    <w:rsid w:val="00144ED7"/>
    <w:rsid w:val="001454E1"/>
    <w:rsid w:val="00145514"/>
    <w:rsid w:val="00146209"/>
    <w:rsid w:val="00146246"/>
    <w:rsid w:val="00146765"/>
    <w:rsid w:val="00146D86"/>
    <w:rsid w:val="00147079"/>
    <w:rsid w:val="00147179"/>
    <w:rsid w:val="00147B45"/>
    <w:rsid w:val="001509B4"/>
    <w:rsid w:val="00150CCB"/>
    <w:rsid w:val="00152E19"/>
    <w:rsid w:val="0015340C"/>
    <w:rsid w:val="00153C14"/>
    <w:rsid w:val="00153C6D"/>
    <w:rsid w:val="00154394"/>
    <w:rsid w:val="00154D7D"/>
    <w:rsid w:val="00155239"/>
    <w:rsid w:val="00155CE7"/>
    <w:rsid w:val="001567C9"/>
    <w:rsid w:val="00156959"/>
    <w:rsid w:val="001576FF"/>
    <w:rsid w:val="001578A2"/>
    <w:rsid w:val="00157E37"/>
    <w:rsid w:val="00157FE0"/>
    <w:rsid w:val="001608AF"/>
    <w:rsid w:val="00160901"/>
    <w:rsid w:val="00160E42"/>
    <w:rsid w:val="00161430"/>
    <w:rsid w:val="001618F1"/>
    <w:rsid w:val="00161A6F"/>
    <w:rsid w:val="00161F00"/>
    <w:rsid w:val="00163648"/>
    <w:rsid w:val="0016395A"/>
    <w:rsid w:val="00163EB0"/>
    <w:rsid w:val="00164069"/>
    <w:rsid w:val="00164AD9"/>
    <w:rsid w:val="00164F01"/>
    <w:rsid w:val="00164F06"/>
    <w:rsid w:val="0016518C"/>
    <w:rsid w:val="0016623E"/>
    <w:rsid w:val="0016628E"/>
    <w:rsid w:val="001663DD"/>
    <w:rsid w:val="00166611"/>
    <w:rsid w:val="00167401"/>
    <w:rsid w:val="00167447"/>
    <w:rsid w:val="0016768E"/>
    <w:rsid w:val="00167698"/>
    <w:rsid w:val="001702A4"/>
    <w:rsid w:val="00170EE4"/>
    <w:rsid w:val="001715A4"/>
    <w:rsid w:val="00171D82"/>
    <w:rsid w:val="001724B7"/>
    <w:rsid w:val="00173107"/>
    <w:rsid w:val="0017323E"/>
    <w:rsid w:val="00173A20"/>
    <w:rsid w:val="00173CE9"/>
    <w:rsid w:val="001741F8"/>
    <w:rsid w:val="0017444F"/>
    <w:rsid w:val="0017457E"/>
    <w:rsid w:val="00174582"/>
    <w:rsid w:val="00174AAE"/>
    <w:rsid w:val="00175376"/>
    <w:rsid w:val="00176651"/>
    <w:rsid w:val="00176E02"/>
    <w:rsid w:val="00177457"/>
    <w:rsid w:val="00177972"/>
    <w:rsid w:val="00177DA1"/>
    <w:rsid w:val="0018045D"/>
    <w:rsid w:val="00180B2F"/>
    <w:rsid w:val="00180CAF"/>
    <w:rsid w:val="00180E74"/>
    <w:rsid w:val="001813C3"/>
    <w:rsid w:val="00181884"/>
    <w:rsid w:val="00181F42"/>
    <w:rsid w:val="00182512"/>
    <w:rsid w:val="001827D7"/>
    <w:rsid w:val="00182F70"/>
    <w:rsid w:val="001851BC"/>
    <w:rsid w:val="001857D7"/>
    <w:rsid w:val="00185CD7"/>
    <w:rsid w:val="0018627F"/>
    <w:rsid w:val="00187A78"/>
    <w:rsid w:val="001900ED"/>
    <w:rsid w:val="001904E1"/>
    <w:rsid w:val="0019224C"/>
    <w:rsid w:val="00192820"/>
    <w:rsid w:val="00193418"/>
    <w:rsid w:val="0019346D"/>
    <w:rsid w:val="00193665"/>
    <w:rsid w:val="0019478C"/>
    <w:rsid w:val="00195075"/>
    <w:rsid w:val="0019530A"/>
    <w:rsid w:val="001957EB"/>
    <w:rsid w:val="00196043"/>
    <w:rsid w:val="001962B6"/>
    <w:rsid w:val="00196AAA"/>
    <w:rsid w:val="00196C1F"/>
    <w:rsid w:val="00196F53"/>
    <w:rsid w:val="0019777C"/>
    <w:rsid w:val="00197807"/>
    <w:rsid w:val="00197E98"/>
    <w:rsid w:val="001A0292"/>
    <w:rsid w:val="001A02FA"/>
    <w:rsid w:val="001A04E7"/>
    <w:rsid w:val="001A1073"/>
    <w:rsid w:val="001A1911"/>
    <w:rsid w:val="001A254C"/>
    <w:rsid w:val="001A2D22"/>
    <w:rsid w:val="001A2F1A"/>
    <w:rsid w:val="001A37FD"/>
    <w:rsid w:val="001A3F3E"/>
    <w:rsid w:val="001A44A0"/>
    <w:rsid w:val="001A470E"/>
    <w:rsid w:val="001A4719"/>
    <w:rsid w:val="001A4E02"/>
    <w:rsid w:val="001A4E9D"/>
    <w:rsid w:val="001A50D9"/>
    <w:rsid w:val="001A531B"/>
    <w:rsid w:val="001A5926"/>
    <w:rsid w:val="001A5F4C"/>
    <w:rsid w:val="001A7A1D"/>
    <w:rsid w:val="001A7DB6"/>
    <w:rsid w:val="001B0876"/>
    <w:rsid w:val="001B09D7"/>
    <w:rsid w:val="001B0B7D"/>
    <w:rsid w:val="001B0F98"/>
    <w:rsid w:val="001B182F"/>
    <w:rsid w:val="001B1EE5"/>
    <w:rsid w:val="001B250D"/>
    <w:rsid w:val="001B26D0"/>
    <w:rsid w:val="001B28D0"/>
    <w:rsid w:val="001B2C71"/>
    <w:rsid w:val="001B2DAA"/>
    <w:rsid w:val="001B2EF0"/>
    <w:rsid w:val="001B2FDB"/>
    <w:rsid w:val="001B3874"/>
    <w:rsid w:val="001B3B5F"/>
    <w:rsid w:val="001B3DFF"/>
    <w:rsid w:val="001B4388"/>
    <w:rsid w:val="001B43FD"/>
    <w:rsid w:val="001B45D6"/>
    <w:rsid w:val="001B4A79"/>
    <w:rsid w:val="001B4AF7"/>
    <w:rsid w:val="001B514A"/>
    <w:rsid w:val="001B518A"/>
    <w:rsid w:val="001B5B87"/>
    <w:rsid w:val="001B6BC5"/>
    <w:rsid w:val="001B6C67"/>
    <w:rsid w:val="001B6E62"/>
    <w:rsid w:val="001B78D0"/>
    <w:rsid w:val="001B7E51"/>
    <w:rsid w:val="001C0048"/>
    <w:rsid w:val="001C0312"/>
    <w:rsid w:val="001C056B"/>
    <w:rsid w:val="001C05F7"/>
    <w:rsid w:val="001C0B4D"/>
    <w:rsid w:val="001C11C6"/>
    <w:rsid w:val="001C16DD"/>
    <w:rsid w:val="001C2155"/>
    <w:rsid w:val="001C23ED"/>
    <w:rsid w:val="001C25BF"/>
    <w:rsid w:val="001C27C1"/>
    <w:rsid w:val="001C27D1"/>
    <w:rsid w:val="001C29FA"/>
    <w:rsid w:val="001C2D93"/>
    <w:rsid w:val="001C3D16"/>
    <w:rsid w:val="001C4291"/>
    <w:rsid w:val="001C504E"/>
    <w:rsid w:val="001C5276"/>
    <w:rsid w:val="001C5EEB"/>
    <w:rsid w:val="001C62D0"/>
    <w:rsid w:val="001C7EE4"/>
    <w:rsid w:val="001D0182"/>
    <w:rsid w:val="001D0A70"/>
    <w:rsid w:val="001D0D63"/>
    <w:rsid w:val="001D0DAA"/>
    <w:rsid w:val="001D2018"/>
    <w:rsid w:val="001D3466"/>
    <w:rsid w:val="001D3874"/>
    <w:rsid w:val="001D3F2E"/>
    <w:rsid w:val="001D4C65"/>
    <w:rsid w:val="001D4EA2"/>
    <w:rsid w:val="001D52D9"/>
    <w:rsid w:val="001D57C0"/>
    <w:rsid w:val="001D6219"/>
    <w:rsid w:val="001D7080"/>
    <w:rsid w:val="001E0B44"/>
    <w:rsid w:val="001E1148"/>
    <w:rsid w:val="001E15DF"/>
    <w:rsid w:val="001E17CD"/>
    <w:rsid w:val="001E1E43"/>
    <w:rsid w:val="001E252C"/>
    <w:rsid w:val="001E37A2"/>
    <w:rsid w:val="001E37CD"/>
    <w:rsid w:val="001E3BAA"/>
    <w:rsid w:val="001E4262"/>
    <w:rsid w:val="001E4318"/>
    <w:rsid w:val="001E541A"/>
    <w:rsid w:val="001E5966"/>
    <w:rsid w:val="001E5B4B"/>
    <w:rsid w:val="001E61F2"/>
    <w:rsid w:val="001E68C9"/>
    <w:rsid w:val="001E6E13"/>
    <w:rsid w:val="001E6F3A"/>
    <w:rsid w:val="001E7FDB"/>
    <w:rsid w:val="001F0149"/>
    <w:rsid w:val="001F019C"/>
    <w:rsid w:val="001F13D1"/>
    <w:rsid w:val="001F13D2"/>
    <w:rsid w:val="001F22AA"/>
    <w:rsid w:val="001F23CE"/>
    <w:rsid w:val="001F33AA"/>
    <w:rsid w:val="001F376C"/>
    <w:rsid w:val="001F3DFA"/>
    <w:rsid w:val="001F3F07"/>
    <w:rsid w:val="001F4481"/>
    <w:rsid w:val="001F4C78"/>
    <w:rsid w:val="001F4DE5"/>
    <w:rsid w:val="001F5237"/>
    <w:rsid w:val="001F5292"/>
    <w:rsid w:val="001F53C7"/>
    <w:rsid w:val="001F54F3"/>
    <w:rsid w:val="001F567D"/>
    <w:rsid w:val="001F5681"/>
    <w:rsid w:val="001F5784"/>
    <w:rsid w:val="001F6315"/>
    <w:rsid w:val="001F6549"/>
    <w:rsid w:val="001F673C"/>
    <w:rsid w:val="001F689A"/>
    <w:rsid w:val="001F6ABB"/>
    <w:rsid w:val="001F7050"/>
    <w:rsid w:val="002007AC"/>
    <w:rsid w:val="002008D4"/>
    <w:rsid w:val="00200D95"/>
    <w:rsid w:val="002010C1"/>
    <w:rsid w:val="00201980"/>
    <w:rsid w:val="00201B8A"/>
    <w:rsid w:val="002021A5"/>
    <w:rsid w:val="002023BD"/>
    <w:rsid w:val="00203477"/>
    <w:rsid w:val="002036AC"/>
    <w:rsid w:val="00204792"/>
    <w:rsid w:val="00204A99"/>
    <w:rsid w:val="00204BFE"/>
    <w:rsid w:val="0020568C"/>
    <w:rsid w:val="002060A0"/>
    <w:rsid w:val="00206398"/>
    <w:rsid w:val="00206B92"/>
    <w:rsid w:val="00206F8D"/>
    <w:rsid w:val="00207392"/>
    <w:rsid w:val="00207835"/>
    <w:rsid w:val="00207BA1"/>
    <w:rsid w:val="00207DB2"/>
    <w:rsid w:val="002107ED"/>
    <w:rsid w:val="00211974"/>
    <w:rsid w:val="00211ECA"/>
    <w:rsid w:val="0021225E"/>
    <w:rsid w:val="002127A1"/>
    <w:rsid w:val="002130C3"/>
    <w:rsid w:val="002131BD"/>
    <w:rsid w:val="002132CA"/>
    <w:rsid w:val="00213771"/>
    <w:rsid w:val="00213B11"/>
    <w:rsid w:val="00213F5B"/>
    <w:rsid w:val="00214FF7"/>
    <w:rsid w:val="002151E1"/>
    <w:rsid w:val="002156BB"/>
    <w:rsid w:val="00216304"/>
    <w:rsid w:val="00216371"/>
    <w:rsid w:val="002163E9"/>
    <w:rsid w:val="00216F5C"/>
    <w:rsid w:val="0021711C"/>
    <w:rsid w:val="00217A6E"/>
    <w:rsid w:val="00217B13"/>
    <w:rsid w:val="00217CAE"/>
    <w:rsid w:val="00217D5B"/>
    <w:rsid w:val="002201E6"/>
    <w:rsid w:val="00220287"/>
    <w:rsid w:val="0022110C"/>
    <w:rsid w:val="0022139C"/>
    <w:rsid w:val="0022164F"/>
    <w:rsid w:val="00221768"/>
    <w:rsid w:val="00221A00"/>
    <w:rsid w:val="002224B1"/>
    <w:rsid w:val="002224D0"/>
    <w:rsid w:val="00222570"/>
    <w:rsid w:val="00223768"/>
    <w:rsid w:val="0022377F"/>
    <w:rsid w:val="002237E8"/>
    <w:rsid w:val="00223A27"/>
    <w:rsid w:val="00223B2E"/>
    <w:rsid w:val="00224546"/>
    <w:rsid w:val="00224658"/>
    <w:rsid w:val="00225DC1"/>
    <w:rsid w:val="00226341"/>
    <w:rsid w:val="00226EB1"/>
    <w:rsid w:val="00227CD1"/>
    <w:rsid w:val="00230C67"/>
    <w:rsid w:val="0023121C"/>
    <w:rsid w:val="002317BA"/>
    <w:rsid w:val="00233370"/>
    <w:rsid w:val="002334EB"/>
    <w:rsid w:val="0023421C"/>
    <w:rsid w:val="00234AEA"/>
    <w:rsid w:val="002355CE"/>
    <w:rsid w:val="002356CD"/>
    <w:rsid w:val="00235FE8"/>
    <w:rsid w:val="002362D3"/>
    <w:rsid w:val="00236722"/>
    <w:rsid w:val="00236937"/>
    <w:rsid w:val="00236969"/>
    <w:rsid w:val="00236ED0"/>
    <w:rsid w:val="002379FD"/>
    <w:rsid w:val="002402D4"/>
    <w:rsid w:val="002404B7"/>
    <w:rsid w:val="00241A98"/>
    <w:rsid w:val="00241D7B"/>
    <w:rsid w:val="00241EF8"/>
    <w:rsid w:val="00241FD2"/>
    <w:rsid w:val="00241FE8"/>
    <w:rsid w:val="00242024"/>
    <w:rsid w:val="002427F4"/>
    <w:rsid w:val="00242CAC"/>
    <w:rsid w:val="002433C2"/>
    <w:rsid w:val="00243AEA"/>
    <w:rsid w:val="00243E89"/>
    <w:rsid w:val="00243EFC"/>
    <w:rsid w:val="002441A6"/>
    <w:rsid w:val="002454AD"/>
    <w:rsid w:val="00245A24"/>
    <w:rsid w:val="00246722"/>
    <w:rsid w:val="00246B51"/>
    <w:rsid w:val="0024701A"/>
    <w:rsid w:val="0025000A"/>
    <w:rsid w:val="00250E90"/>
    <w:rsid w:val="00250F26"/>
    <w:rsid w:val="00251184"/>
    <w:rsid w:val="00251B6F"/>
    <w:rsid w:val="002523FD"/>
    <w:rsid w:val="00252481"/>
    <w:rsid w:val="002533EA"/>
    <w:rsid w:val="00253D5D"/>
    <w:rsid w:val="002548EE"/>
    <w:rsid w:val="0025572B"/>
    <w:rsid w:val="00255A9F"/>
    <w:rsid w:val="00255CB9"/>
    <w:rsid w:val="002563D4"/>
    <w:rsid w:val="0025685C"/>
    <w:rsid w:val="00256C25"/>
    <w:rsid w:val="00257032"/>
    <w:rsid w:val="0025771D"/>
    <w:rsid w:val="0025799A"/>
    <w:rsid w:val="00257C51"/>
    <w:rsid w:val="002604C1"/>
    <w:rsid w:val="00260FD1"/>
    <w:rsid w:val="0026106D"/>
    <w:rsid w:val="002610AE"/>
    <w:rsid w:val="00261D1E"/>
    <w:rsid w:val="00261FC4"/>
    <w:rsid w:val="0026272A"/>
    <w:rsid w:val="00262E8C"/>
    <w:rsid w:val="00263651"/>
    <w:rsid w:val="0026513E"/>
    <w:rsid w:val="00266F9F"/>
    <w:rsid w:val="0026701A"/>
    <w:rsid w:val="002674DC"/>
    <w:rsid w:val="0026753C"/>
    <w:rsid w:val="0026779A"/>
    <w:rsid w:val="00267F8A"/>
    <w:rsid w:val="002702F2"/>
    <w:rsid w:val="00270C58"/>
    <w:rsid w:val="00270E0E"/>
    <w:rsid w:val="00271B39"/>
    <w:rsid w:val="00271EBF"/>
    <w:rsid w:val="002722C3"/>
    <w:rsid w:val="0027248C"/>
    <w:rsid w:val="00272CFD"/>
    <w:rsid w:val="00272D4F"/>
    <w:rsid w:val="00273ED4"/>
    <w:rsid w:val="00274234"/>
    <w:rsid w:val="00274484"/>
    <w:rsid w:val="00274AD7"/>
    <w:rsid w:val="00274DA2"/>
    <w:rsid w:val="002753CF"/>
    <w:rsid w:val="00275939"/>
    <w:rsid w:val="0027599F"/>
    <w:rsid w:val="00275C31"/>
    <w:rsid w:val="0027657A"/>
    <w:rsid w:val="00276869"/>
    <w:rsid w:val="00276B54"/>
    <w:rsid w:val="002773A1"/>
    <w:rsid w:val="00277A92"/>
    <w:rsid w:val="00277EE5"/>
    <w:rsid w:val="002800A4"/>
    <w:rsid w:val="0028043D"/>
    <w:rsid w:val="002813C4"/>
    <w:rsid w:val="002818C2"/>
    <w:rsid w:val="0028211E"/>
    <w:rsid w:val="00282137"/>
    <w:rsid w:val="0028271C"/>
    <w:rsid w:val="002839B0"/>
    <w:rsid w:val="002839D8"/>
    <w:rsid w:val="00283C4C"/>
    <w:rsid w:val="00284A78"/>
    <w:rsid w:val="00284B34"/>
    <w:rsid w:val="00285023"/>
    <w:rsid w:val="00285325"/>
    <w:rsid w:val="00285A30"/>
    <w:rsid w:val="00285F96"/>
    <w:rsid w:val="00286045"/>
    <w:rsid w:val="00286283"/>
    <w:rsid w:val="002863DE"/>
    <w:rsid w:val="00286801"/>
    <w:rsid w:val="00286B77"/>
    <w:rsid w:val="00287083"/>
    <w:rsid w:val="0028773F"/>
    <w:rsid w:val="00287992"/>
    <w:rsid w:val="00287AB1"/>
    <w:rsid w:val="002901C9"/>
    <w:rsid w:val="002910F8"/>
    <w:rsid w:val="00291818"/>
    <w:rsid w:val="00291A0C"/>
    <w:rsid w:val="00291CA8"/>
    <w:rsid w:val="00292092"/>
    <w:rsid w:val="002927D7"/>
    <w:rsid w:val="00292AE0"/>
    <w:rsid w:val="00293343"/>
    <w:rsid w:val="0029365D"/>
    <w:rsid w:val="002938AD"/>
    <w:rsid w:val="00293979"/>
    <w:rsid w:val="00293BE6"/>
    <w:rsid w:val="00294736"/>
    <w:rsid w:val="0029565F"/>
    <w:rsid w:val="00295F83"/>
    <w:rsid w:val="00296612"/>
    <w:rsid w:val="00296B37"/>
    <w:rsid w:val="00296E6E"/>
    <w:rsid w:val="0029794F"/>
    <w:rsid w:val="00297C68"/>
    <w:rsid w:val="002A037D"/>
    <w:rsid w:val="002A08F1"/>
    <w:rsid w:val="002A15AF"/>
    <w:rsid w:val="002A175C"/>
    <w:rsid w:val="002A320A"/>
    <w:rsid w:val="002A3DB8"/>
    <w:rsid w:val="002A4058"/>
    <w:rsid w:val="002A4223"/>
    <w:rsid w:val="002A4A45"/>
    <w:rsid w:val="002A4C1C"/>
    <w:rsid w:val="002A4D8D"/>
    <w:rsid w:val="002A52FF"/>
    <w:rsid w:val="002A583B"/>
    <w:rsid w:val="002A6386"/>
    <w:rsid w:val="002A6F88"/>
    <w:rsid w:val="002A737A"/>
    <w:rsid w:val="002A7A30"/>
    <w:rsid w:val="002B05BF"/>
    <w:rsid w:val="002B09B4"/>
    <w:rsid w:val="002B1817"/>
    <w:rsid w:val="002B19D9"/>
    <w:rsid w:val="002B212F"/>
    <w:rsid w:val="002B255A"/>
    <w:rsid w:val="002B2C3C"/>
    <w:rsid w:val="002B3ABC"/>
    <w:rsid w:val="002B3D66"/>
    <w:rsid w:val="002B48AC"/>
    <w:rsid w:val="002B49F4"/>
    <w:rsid w:val="002B4DCB"/>
    <w:rsid w:val="002B4E4D"/>
    <w:rsid w:val="002B4F9A"/>
    <w:rsid w:val="002B50B6"/>
    <w:rsid w:val="002B518B"/>
    <w:rsid w:val="002B6C3A"/>
    <w:rsid w:val="002B6C8A"/>
    <w:rsid w:val="002B7BEE"/>
    <w:rsid w:val="002B7F23"/>
    <w:rsid w:val="002C06C5"/>
    <w:rsid w:val="002C103C"/>
    <w:rsid w:val="002C151F"/>
    <w:rsid w:val="002C1B8C"/>
    <w:rsid w:val="002C1BF5"/>
    <w:rsid w:val="002C2C5A"/>
    <w:rsid w:val="002C2F4E"/>
    <w:rsid w:val="002C3539"/>
    <w:rsid w:val="002C35B2"/>
    <w:rsid w:val="002C3D50"/>
    <w:rsid w:val="002C47AF"/>
    <w:rsid w:val="002C4D16"/>
    <w:rsid w:val="002C4FED"/>
    <w:rsid w:val="002C551D"/>
    <w:rsid w:val="002C5710"/>
    <w:rsid w:val="002C5A1E"/>
    <w:rsid w:val="002C69B4"/>
    <w:rsid w:val="002C6A59"/>
    <w:rsid w:val="002C6C1A"/>
    <w:rsid w:val="002C6D28"/>
    <w:rsid w:val="002C7001"/>
    <w:rsid w:val="002C7B14"/>
    <w:rsid w:val="002D0781"/>
    <w:rsid w:val="002D0B8E"/>
    <w:rsid w:val="002D0D29"/>
    <w:rsid w:val="002D149E"/>
    <w:rsid w:val="002D1B32"/>
    <w:rsid w:val="002D1B3B"/>
    <w:rsid w:val="002D2472"/>
    <w:rsid w:val="002D285D"/>
    <w:rsid w:val="002D293F"/>
    <w:rsid w:val="002D2985"/>
    <w:rsid w:val="002D299F"/>
    <w:rsid w:val="002D30EE"/>
    <w:rsid w:val="002D350E"/>
    <w:rsid w:val="002D3D93"/>
    <w:rsid w:val="002D495A"/>
    <w:rsid w:val="002D4BC4"/>
    <w:rsid w:val="002D568B"/>
    <w:rsid w:val="002D5900"/>
    <w:rsid w:val="002D5E29"/>
    <w:rsid w:val="002D5F80"/>
    <w:rsid w:val="002D6A15"/>
    <w:rsid w:val="002D740C"/>
    <w:rsid w:val="002E0E97"/>
    <w:rsid w:val="002E20BF"/>
    <w:rsid w:val="002E229F"/>
    <w:rsid w:val="002E3CF5"/>
    <w:rsid w:val="002E3DBA"/>
    <w:rsid w:val="002E3EEE"/>
    <w:rsid w:val="002E526F"/>
    <w:rsid w:val="002E615F"/>
    <w:rsid w:val="002E646B"/>
    <w:rsid w:val="002E6A53"/>
    <w:rsid w:val="002E6DA2"/>
    <w:rsid w:val="002E7AE2"/>
    <w:rsid w:val="002F0429"/>
    <w:rsid w:val="002F0599"/>
    <w:rsid w:val="002F0631"/>
    <w:rsid w:val="002F0975"/>
    <w:rsid w:val="002F0D54"/>
    <w:rsid w:val="002F1246"/>
    <w:rsid w:val="002F1893"/>
    <w:rsid w:val="002F2D69"/>
    <w:rsid w:val="002F2D9A"/>
    <w:rsid w:val="002F3962"/>
    <w:rsid w:val="002F3EA0"/>
    <w:rsid w:val="002F4446"/>
    <w:rsid w:val="002F4504"/>
    <w:rsid w:val="002F46D8"/>
    <w:rsid w:val="002F4BFD"/>
    <w:rsid w:val="002F4CC0"/>
    <w:rsid w:val="002F4D8F"/>
    <w:rsid w:val="002F4F8C"/>
    <w:rsid w:val="002F55B9"/>
    <w:rsid w:val="002F5A55"/>
    <w:rsid w:val="002F5A96"/>
    <w:rsid w:val="002F5C9F"/>
    <w:rsid w:val="002F5F27"/>
    <w:rsid w:val="002F642B"/>
    <w:rsid w:val="0030097C"/>
    <w:rsid w:val="00301122"/>
    <w:rsid w:val="00301819"/>
    <w:rsid w:val="0030214D"/>
    <w:rsid w:val="0030235B"/>
    <w:rsid w:val="003028E6"/>
    <w:rsid w:val="00303330"/>
    <w:rsid w:val="00303C8C"/>
    <w:rsid w:val="00303EB1"/>
    <w:rsid w:val="00305007"/>
    <w:rsid w:val="0030511C"/>
    <w:rsid w:val="003052C9"/>
    <w:rsid w:val="0030596B"/>
    <w:rsid w:val="00306195"/>
    <w:rsid w:val="0030793B"/>
    <w:rsid w:val="00307C6B"/>
    <w:rsid w:val="00311315"/>
    <w:rsid w:val="00311453"/>
    <w:rsid w:val="0031182D"/>
    <w:rsid w:val="003119F2"/>
    <w:rsid w:val="003123C6"/>
    <w:rsid w:val="003123D8"/>
    <w:rsid w:val="003138AE"/>
    <w:rsid w:val="003139E6"/>
    <w:rsid w:val="00313E43"/>
    <w:rsid w:val="00314877"/>
    <w:rsid w:val="00314ECF"/>
    <w:rsid w:val="00315131"/>
    <w:rsid w:val="0031531F"/>
    <w:rsid w:val="00315876"/>
    <w:rsid w:val="003159AA"/>
    <w:rsid w:val="00315A26"/>
    <w:rsid w:val="00315F8B"/>
    <w:rsid w:val="003160A8"/>
    <w:rsid w:val="00316407"/>
    <w:rsid w:val="0031656B"/>
    <w:rsid w:val="00317470"/>
    <w:rsid w:val="00317762"/>
    <w:rsid w:val="00317B43"/>
    <w:rsid w:val="00317FF1"/>
    <w:rsid w:val="00320241"/>
    <w:rsid w:val="00320573"/>
    <w:rsid w:val="003206E3"/>
    <w:rsid w:val="0032109C"/>
    <w:rsid w:val="00321A57"/>
    <w:rsid w:val="00321BA1"/>
    <w:rsid w:val="00322015"/>
    <w:rsid w:val="00322759"/>
    <w:rsid w:val="00322F27"/>
    <w:rsid w:val="00322F7E"/>
    <w:rsid w:val="0032337C"/>
    <w:rsid w:val="0032344A"/>
    <w:rsid w:val="003235E0"/>
    <w:rsid w:val="003238E3"/>
    <w:rsid w:val="00324277"/>
    <w:rsid w:val="00324567"/>
    <w:rsid w:val="00325217"/>
    <w:rsid w:val="00325293"/>
    <w:rsid w:val="0032571A"/>
    <w:rsid w:val="00325FF2"/>
    <w:rsid w:val="00326980"/>
    <w:rsid w:val="00326C2C"/>
    <w:rsid w:val="00327335"/>
    <w:rsid w:val="0032739F"/>
    <w:rsid w:val="00327D49"/>
    <w:rsid w:val="00327E52"/>
    <w:rsid w:val="00327E66"/>
    <w:rsid w:val="00330509"/>
    <w:rsid w:val="003306A4"/>
    <w:rsid w:val="00330AFB"/>
    <w:rsid w:val="00331755"/>
    <w:rsid w:val="00331CEB"/>
    <w:rsid w:val="0033279C"/>
    <w:rsid w:val="0033285E"/>
    <w:rsid w:val="003329E3"/>
    <w:rsid w:val="00332C74"/>
    <w:rsid w:val="0033341F"/>
    <w:rsid w:val="003341CF"/>
    <w:rsid w:val="0033449D"/>
    <w:rsid w:val="00334596"/>
    <w:rsid w:val="00334C96"/>
    <w:rsid w:val="00334CD4"/>
    <w:rsid w:val="00335060"/>
    <w:rsid w:val="003354C7"/>
    <w:rsid w:val="00335606"/>
    <w:rsid w:val="003361A8"/>
    <w:rsid w:val="00336DCD"/>
    <w:rsid w:val="00337107"/>
    <w:rsid w:val="00337340"/>
    <w:rsid w:val="00337D16"/>
    <w:rsid w:val="003404AA"/>
    <w:rsid w:val="003406BB"/>
    <w:rsid w:val="00340EF4"/>
    <w:rsid w:val="00340FF4"/>
    <w:rsid w:val="0034211C"/>
    <w:rsid w:val="00342840"/>
    <w:rsid w:val="00342C9C"/>
    <w:rsid w:val="00342CF8"/>
    <w:rsid w:val="0034329C"/>
    <w:rsid w:val="00343994"/>
    <w:rsid w:val="00343D93"/>
    <w:rsid w:val="00343E55"/>
    <w:rsid w:val="003441E8"/>
    <w:rsid w:val="0034467C"/>
    <w:rsid w:val="00344DC0"/>
    <w:rsid w:val="00345245"/>
    <w:rsid w:val="003454C8"/>
    <w:rsid w:val="00345D42"/>
    <w:rsid w:val="003460D1"/>
    <w:rsid w:val="003468C3"/>
    <w:rsid w:val="00346FCC"/>
    <w:rsid w:val="0034721B"/>
    <w:rsid w:val="00347463"/>
    <w:rsid w:val="003479D4"/>
    <w:rsid w:val="0035027B"/>
    <w:rsid w:val="003508F2"/>
    <w:rsid w:val="00351003"/>
    <w:rsid w:val="003515F8"/>
    <w:rsid w:val="0035183C"/>
    <w:rsid w:val="00351C36"/>
    <w:rsid w:val="00352210"/>
    <w:rsid w:val="0035251F"/>
    <w:rsid w:val="00352AB4"/>
    <w:rsid w:val="0035381E"/>
    <w:rsid w:val="00353A11"/>
    <w:rsid w:val="00353E7C"/>
    <w:rsid w:val="00353F01"/>
    <w:rsid w:val="00353FC0"/>
    <w:rsid w:val="00354A86"/>
    <w:rsid w:val="003557F4"/>
    <w:rsid w:val="00355E2E"/>
    <w:rsid w:val="00355E50"/>
    <w:rsid w:val="0035677A"/>
    <w:rsid w:val="00356B77"/>
    <w:rsid w:val="00356C74"/>
    <w:rsid w:val="00356D9E"/>
    <w:rsid w:val="003575BE"/>
    <w:rsid w:val="0035762C"/>
    <w:rsid w:val="00360798"/>
    <w:rsid w:val="003607EF"/>
    <w:rsid w:val="0036098F"/>
    <w:rsid w:val="003609D3"/>
    <w:rsid w:val="00360CB6"/>
    <w:rsid w:val="00361212"/>
    <w:rsid w:val="00361953"/>
    <w:rsid w:val="0036245D"/>
    <w:rsid w:val="0036261D"/>
    <w:rsid w:val="00362904"/>
    <w:rsid w:val="00363741"/>
    <w:rsid w:val="00363BF2"/>
    <w:rsid w:val="00363F48"/>
    <w:rsid w:val="003648B4"/>
    <w:rsid w:val="0036535E"/>
    <w:rsid w:val="003656BB"/>
    <w:rsid w:val="00365C11"/>
    <w:rsid w:val="0036607A"/>
    <w:rsid w:val="003661D2"/>
    <w:rsid w:val="0036646F"/>
    <w:rsid w:val="003667A2"/>
    <w:rsid w:val="003669CE"/>
    <w:rsid w:val="00366C2F"/>
    <w:rsid w:val="00366D94"/>
    <w:rsid w:val="00367BF9"/>
    <w:rsid w:val="00367E2C"/>
    <w:rsid w:val="00367FC9"/>
    <w:rsid w:val="00370E63"/>
    <w:rsid w:val="00371E10"/>
    <w:rsid w:val="00371FED"/>
    <w:rsid w:val="00372BFB"/>
    <w:rsid w:val="00372EDC"/>
    <w:rsid w:val="003736F5"/>
    <w:rsid w:val="003739C0"/>
    <w:rsid w:val="003739EC"/>
    <w:rsid w:val="00373B89"/>
    <w:rsid w:val="0037447C"/>
    <w:rsid w:val="00374703"/>
    <w:rsid w:val="00374E22"/>
    <w:rsid w:val="0037592B"/>
    <w:rsid w:val="0037646A"/>
    <w:rsid w:val="003767F0"/>
    <w:rsid w:val="00376CE1"/>
    <w:rsid w:val="00376F5C"/>
    <w:rsid w:val="00377400"/>
    <w:rsid w:val="00377FBC"/>
    <w:rsid w:val="00380576"/>
    <w:rsid w:val="00380C04"/>
    <w:rsid w:val="0038131C"/>
    <w:rsid w:val="003815F9"/>
    <w:rsid w:val="00381965"/>
    <w:rsid w:val="003820C1"/>
    <w:rsid w:val="00382113"/>
    <w:rsid w:val="003826CB"/>
    <w:rsid w:val="00382986"/>
    <w:rsid w:val="00382DEA"/>
    <w:rsid w:val="003838B0"/>
    <w:rsid w:val="00384FDE"/>
    <w:rsid w:val="0038544D"/>
    <w:rsid w:val="00385877"/>
    <w:rsid w:val="00385D54"/>
    <w:rsid w:val="003865AE"/>
    <w:rsid w:val="00386A89"/>
    <w:rsid w:val="003901C1"/>
    <w:rsid w:val="003905CC"/>
    <w:rsid w:val="00391A1A"/>
    <w:rsid w:val="00391B2E"/>
    <w:rsid w:val="00391F08"/>
    <w:rsid w:val="0039245E"/>
    <w:rsid w:val="00392C94"/>
    <w:rsid w:val="00392DF0"/>
    <w:rsid w:val="00392EFA"/>
    <w:rsid w:val="00393BBD"/>
    <w:rsid w:val="00394002"/>
    <w:rsid w:val="0039470B"/>
    <w:rsid w:val="00394727"/>
    <w:rsid w:val="003949CF"/>
    <w:rsid w:val="0039510F"/>
    <w:rsid w:val="003951A6"/>
    <w:rsid w:val="0039580C"/>
    <w:rsid w:val="00395C80"/>
    <w:rsid w:val="00396BEC"/>
    <w:rsid w:val="00396FD1"/>
    <w:rsid w:val="003978AA"/>
    <w:rsid w:val="003A054E"/>
    <w:rsid w:val="003A060B"/>
    <w:rsid w:val="003A0E75"/>
    <w:rsid w:val="003A1AD2"/>
    <w:rsid w:val="003A20DB"/>
    <w:rsid w:val="003A28B0"/>
    <w:rsid w:val="003A3A1E"/>
    <w:rsid w:val="003A40F1"/>
    <w:rsid w:val="003A4563"/>
    <w:rsid w:val="003A48DB"/>
    <w:rsid w:val="003A56D3"/>
    <w:rsid w:val="003A67C4"/>
    <w:rsid w:val="003A6C92"/>
    <w:rsid w:val="003A6E7E"/>
    <w:rsid w:val="003A74C0"/>
    <w:rsid w:val="003A7567"/>
    <w:rsid w:val="003B0BA6"/>
    <w:rsid w:val="003B0D99"/>
    <w:rsid w:val="003B1B9D"/>
    <w:rsid w:val="003B1E25"/>
    <w:rsid w:val="003B2702"/>
    <w:rsid w:val="003B2BAD"/>
    <w:rsid w:val="003B2C9B"/>
    <w:rsid w:val="003B3756"/>
    <w:rsid w:val="003B381A"/>
    <w:rsid w:val="003B4DEE"/>
    <w:rsid w:val="003B561E"/>
    <w:rsid w:val="003B56C3"/>
    <w:rsid w:val="003B5E88"/>
    <w:rsid w:val="003B6563"/>
    <w:rsid w:val="003B6898"/>
    <w:rsid w:val="003B7314"/>
    <w:rsid w:val="003B743A"/>
    <w:rsid w:val="003B7CE3"/>
    <w:rsid w:val="003C019C"/>
    <w:rsid w:val="003C0204"/>
    <w:rsid w:val="003C0586"/>
    <w:rsid w:val="003C0E78"/>
    <w:rsid w:val="003C1A07"/>
    <w:rsid w:val="003C1DA1"/>
    <w:rsid w:val="003C20D1"/>
    <w:rsid w:val="003C23AA"/>
    <w:rsid w:val="003C24B6"/>
    <w:rsid w:val="003C2CF1"/>
    <w:rsid w:val="003C2F51"/>
    <w:rsid w:val="003C31F7"/>
    <w:rsid w:val="003C345F"/>
    <w:rsid w:val="003C3498"/>
    <w:rsid w:val="003C3505"/>
    <w:rsid w:val="003C4E72"/>
    <w:rsid w:val="003C53DD"/>
    <w:rsid w:val="003C5F67"/>
    <w:rsid w:val="003C657B"/>
    <w:rsid w:val="003C663C"/>
    <w:rsid w:val="003C71FC"/>
    <w:rsid w:val="003C7916"/>
    <w:rsid w:val="003C7E2C"/>
    <w:rsid w:val="003D06EF"/>
    <w:rsid w:val="003D0DA6"/>
    <w:rsid w:val="003D11A7"/>
    <w:rsid w:val="003D1328"/>
    <w:rsid w:val="003D15F8"/>
    <w:rsid w:val="003D1711"/>
    <w:rsid w:val="003D1F57"/>
    <w:rsid w:val="003D2C53"/>
    <w:rsid w:val="003D2FC7"/>
    <w:rsid w:val="003D3B12"/>
    <w:rsid w:val="003D3BC1"/>
    <w:rsid w:val="003D3C80"/>
    <w:rsid w:val="003D3F65"/>
    <w:rsid w:val="003D482B"/>
    <w:rsid w:val="003D69AC"/>
    <w:rsid w:val="003D6B05"/>
    <w:rsid w:val="003D6EE5"/>
    <w:rsid w:val="003D72D6"/>
    <w:rsid w:val="003E0AF7"/>
    <w:rsid w:val="003E0B02"/>
    <w:rsid w:val="003E0EB0"/>
    <w:rsid w:val="003E1174"/>
    <w:rsid w:val="003E160D"/>
    <w:rsid w:val="003E1769"/>
    <w:rsid w:val="003E227C"/>
    <w:rsid w:val="003E2A15"/>
    <w:rsid w:val="003E2F29"/>
    <w:rsid w:val="003E3521"/>
    <w:rsid w:val="003E3E64"/>
    <w:rsid w:val="003E4689"/>
    <w:rsid w:val="003E46CE"/>
    <w:rsid w:val="003E47B6"/>
    <w:rsid w:val="003E5119"/>
    <w:rsid w:val="003E5371"/>
    <w:rsid w:val="003E551D"/>
    <w:rsid w:val="003E554E"/>
    <w:rsid w:val="003E5554"/>
    <w:rsid w:val="003E5728"/>
    <w:rsid w:val="003E5833"/>
    <w:rsid w:val="003E62E3"/>
    <w:rsid w:val="003E6571"/>
    <w:rsid w:val="003E66CF"/>
    <w:rsid w:val="003E704E"/>
    <w:rsid w:val="003E7307"/>
    <w:rsid w:val="003F0605"/>
    <w:rsid w:val="003F0BB0"/>
    <w:rsid w:val="003F2128"/>
    <w:rsid w:val="003F27D6"/>
    <w:rsid w:val="003F2DBA"/>
    <w:rsid w:val="003F324C"/>
    <w:rsid w:val="003F334A"/>
    <w:rsid w:val="003F5212"/>
    <w:rsid w:val="003F5837"/>
    <w:rsid w:val="003F5ADA"/>
    <w:rsid w:val="003F5B88"/>
    <w:rsid w:val="003F5D40"/>
    <w:rsid w:val="003F66AF"/>
    <w:rsid w:val="003F7007"/>
    <w:rsid w:val="003F76B8"/>
    <w:rsid w:val="003F7A14"/>
    <w:rsid w:val="003F7F07"/>
    <w:rsid w:val="004013CA"/>
    <w:rsid w:val="00402EB5"/>
    <w:rsid w:val="004035C8"/>
    <w:rsid w:val="004038BD"/>
    <w:rsid w:val="00403955"/>
    <w:rsid w:val="00403A73"/>
    <w:rsid w:val="00403C2E"/>
    <w:rsid w:val="004047EF"/>
    <w:rsid w:val="00404A3F"/>
    <w:rsid w:val="00405437"/>
    <w:rsid w:val="004056D5"/>
    <w:rsid w:val="0040583F"/>
    <w:rsid w:val="00405DE1"/>
    <w:rsid w:val="00406010"/>
    <w:rsid w:val="004063AC"/>
    <w:rsid w:val="004065D7"/>
    <w:rsid w:val="0040685D"/>
    <w:rsid w:val="00406A6E"/>
    <w:rsid w:val="004074A1"/>
    <w:rsid w:val="00407566"/>
    <w:rsid w:val="004078D5"/>
    <w:rsid w:val="004079D9"/>
    <w:rsid w:val="00410909"/>
    <w:rsid w:val="00410C5F"/>
    <w:rsid w:val="00410DCF"/>
    <w:rsid w:val="00410FB4"/>
    <w:rsid w:val="004114F2"/>
    <w:rsid w:val="00412235"/>
    <w:rsid w:val="00412567"/>
    <w:rsid w:val="0041275C"/>
    <w:rsid w:val="00412D32"/>
    <w:rsid w:val="00412EB4"/>
    <w:rsid w:val="004130BA"/>
    <w:rsid w:val="0041369F"/>
    <w:rsid w:val="004137C1"/>
    <w:rsid w:val="00413BA0"/>
    <w:rsid w:val="00413E50"/>
    <w:rsid w:val="00413EAA"/>
    <w:rsid w:val="004142C3"/>
    <w:rsid w:val="00414E75"/>
    <w:rsid w:val="00415215"/>
    <w:rsid w:val="004154B7"/>
    <w:rsid w:val="00415932"/>
    <w:rsid w:val="00415FFE"/>
    <w:rsid w:val="00416192"/>
    <w:rsid w:val="00416200"/>
    <w:rsid w:val="00416FF2"/>
    <w:rsid w:val="0041701A"/>
    <w:rsid w:val="004179FA"/>
    <w:rsid w:val="00417CC4"/>
    <w:rsid w:val="00417F49"/>
    <w:rsid w:val="00420077"/>
    <w:rsid w:val="00420247"/>
    <w:rsid w:val="004207D7"/>
    <w:rsid w:val="00421CB8"/>
    <w:rsid w:val="00422A88"/>
    <w:rsid w:val="004231DA"/>
    <w:rsid w:val="004232F4"/>
    <w:rsid w:val="00423782"/>
    <w:rsid w:val="00423D5C"/>
    <w:rsid w:val="004240F3"/>
    <w:rsid w:val="0042468C"/>
    <w:rsid w:val="00424E7A"/>
    <w:rsid w:val="00425843"/>
    <w:rsid w:val="00426871"/>
    <w:rsid w:val="004273CF"/>
    <w:rsid w:val="00427985"/>
    <w:rsid w:val="00427AB4"/>
    <w:rsid w:val="00427B8F"/>
    <w:rsid w:val="00427FCE"/>
    <w:rsid w:val="00430375"/>
    <w:rsid w:val="00430B7C"/>
    <w:rsid w:val="00430BA7"/>
    <w:rsid w:val="004315E0"/>
    <w:rsid w:val="00431A5C"/>
    <w:rsid w:val="0043376D"/>
    <w:rsid w:val="00433822"/>
    <w:rsid w:val="004339E0"/>
    <w:rsid w:val="00434320"/>
    <w:rsid w:val="00434A42"/>
    <w:rsid w:val="00434A90"/>
    <w:rsid w:val="00434AA0"/>
    <w:rsid w:val="00434CC9"/>
    <w:rsid w:val="00434FB2"/>
    <w:rsid w:val="004357B5"/>
    <w:rsid w:val="00440F7D"/>
    <w:rsid w:val="004414B1"/>
    <w:rsid w:val="00441A46"/>
    <w:rsid w:val="0044278E"/>
    <w:rsid w:val="00443282"/>
    <w:rsid w:val="00445BF8"/>
    <w:rsid w:val="00446102"/>
    <w:rsid w:val="004479F5"/>
    <w:rsid w:val="00447C60"/>
    <w:rsid w:val="00447EB4"/>
    <w:rsid w:val="00451155"/>
    <w:rsid w:val="004523C9"/>
    <w:rsid w:val="0045267D"/>
    <w:rsid w:val="004531E4"/>
    <w:rsid w:val="00453735"/>
    <w:rsid w:val="00454496"/>
    <w:rsid w:val="004546AA"/>
    <w:rsid w:val="0045479D"/>
    <w:rsid w:val="004550D3"/>
    <w:rsid w:val="0045569B"/>
    <w:rsid w:val="00456829"/>
    <w:rsid w:val="004574EB"/>
    <w:rsid w:val="00457926"/>
    <w:rsid w:val="00457D7F"/>
    <w:rsid w:val="00457ED2"/>
    <w:rsid w:val="0046070C"/>
    <w:rsid w:val="00460728"/>
    <w:rsid w:val="00460CAD"/>
    <w:rsid w:val="00461A19"/>
    <w:rsid w:val="00461E88"/>
    <w:rsid w:val="0046241B"/>
    <w:rsid w:val="00462588"/>
    <w:rsid w:val="00462D15"/>
    <w:rsid w:val="00462FF5"/>
    <w:rsid w:val="004631A8"/>
    <w:rsid w:val="00463ADD"/>
    <w:rsid w:val="00464412"/>
    <w:rsid w:val="00464A60"/>
    <w:rsid w:val="00464DB4"/>
    <w:rsid w:val="00464F97"/>
    <w:rsid w:val="004652B2"/>
    <w:rsid w:val="00465AC0"/>
    <w:rsid w:val="00466C1D"/>
    <w:rsid w:val="00466FED"/>
    <w:rsid w:val="00467775"/>
    <w:rsid w:val="00467803"/>
    <w:rsid w:val="0047097D"/>
    <w:rsid w:val="00470E4C"/>
    <w:rsid w:val="00471A17"/>
    <w:rsid w:val="00471E25"/>
    <w:rsid w:val="00472B4A"/>
    <w:rsid w:val="00472EDE"/>
    <w:rsid w:val="00473513"/>
    <w:rsid w:val="00473839"/>
    <w:rsid w:val="004738FB"/>
    <w:rsid w:val="00473A99"/>
    <w:rsid w:val="00473D1F"/>
    <w:rsid w:val="00473D3C"/>
    <w:rsid w:val="004742A0"/>
    <w:rsid w:val="0047470A"/>
    <w:rsid w:val="00474C06"/>
    <w:rsid w:val="00474C8A"/>
    <w:rsid w:val="00474E0B"/>
    <w:rsid w:val="00474F61"/>
    <w:rsid w:val="004757EC"/>
    <w:rsid w:val="0048014D"/>
    <w:rsid w:val="0048029E"/>
    <w:rsid w:val="00480938"/>
    <w:rsid w:val="00480C98"/>
    <w:rsid w:val="00480DA0"/>
    <w:rsid w:val="00480E04"/>
    <w:rsid w:val="004817DA"/>
    <w:rsid w:val="00481B38"/>
    <w:rsid w:val="0048255F"/>
    <w:rsid w:val="004827C0"/>
    <w:rsid w:val="00482BFF"/>
    <w:rsid w:val="0048341D"/>
    <w:rsid w:val="004834BF"/>
    <w:rsid w:val="00483545"/>
    <w:rsid w:val="00483ACD"/>
    <w:rsid w:val="00483F5E"/>
    <w:rsid w:val="0048425C"/>
    <w:rsid w:val="004848E0"/>
    <w:rsid w:val="0048499E"/>
    <w:rsid w:val="00484A50"/>
    <w:rsid w:val="00484E7F"/>
    <w:rsid w:val="004851F1"/>
    <w:rsid w:val="00485B98"/>
    <w:rsid w:val="00486593"/>
    <w:rsid w:val="004865D0"/>
    <w:rsid w:val="0048757C"/>
    <w:rsid w:val="00487587"/>
    <w:rsid w:val="00487ADC"/>
    <w:rsid w:val="00487E5A"/>
    <w:rsid w:val="004900D5"/>
    <w:rsid w:val="0049030D"/>
    <w:rsid w:val="004906BF"/>
    <w:rsid w:val="00490A78"/>
    <w:rsid w:val="004910A9"/>
    <w:rsid w:val="004917C9"/>
    <w:rsid w:val="00491FD5"/>
    <w:rsid w:val="00492256"/>
    <w:rsid w:val="0049285C"/>
    <w:rsid w:val="00492CFA"/>
    <w:rsid w:val="004932CE"/>
    <w:rsid w:val="00494712"/>
    <w:rsid w:val="00494991"/>
    <w:rsid w:val="004950F4"/>
    <w:rsid w:val="004952F9"/>
    <w:rsid w:val="004955E9"/>
    <w:rsid w:val="00495622"/>
    <w:rsid w:val="00496192"/>
    <w:rsid w:val="004965D2"/>
    <w:rsid w:val="00496A4E"/>
    <w:rsid w:val="00497830"/>
    <w:rsid w:val="00497980"/>
    <w:rsid w:val="004A006A"/>
    <w:rsid w:val="004A04D9"/>
    <w:rsid w:val="004A0594"/>
    <w:rsid w:val="004A135A"/>
    <w:rsid w:val="004A1C28"/>
    <w:rsid w:val="004A203E"/>
    <w:rsid w:val="004A25D9"/>
    <w:rsid w:val="004A3519"/>
    <w:rsid w:val="004A3E99"/>
    <w:rsid w:val="004A3EE0"/>
    <w:rsid w:val="004A42FF"/>
    <w:rsid w:val="004A4374"/>
    <w:rsid w:val="004A4672"/>
    <w:rsid w:val="004A48A9"/>
    <w:rsid w:val="004A4DA7"/>
    <w:rsid w:val="004A53B8"/>
    <w:rsid w:val="004A5523"/>
    <w:rsid w:val="004A5599"/>
    <w:rsid w:val="004A5CC6"/>
    <w:rsid w:val="004A5CF3"/>
    <w:rsid w:val="004A60E2"/>
    <w:rsid w:val="004A6861"/>
    <w:rsid w:val="004A7059"/>
    <w:rsid w:val="004A71D4"/>
    <w:rsid w:val="004A750E"/>
    <w:rsid w:val="004A769E"/>
    <w:rsid w:val="004B02E7"/>
    <w:rsid w:val="004B12CA"/>
    <w:rsid w:val="004B1400"/>
    <w:rsid w:val="004B2E7D"/>
    <w:rsid w:val="004B30B5"/>
    <w:rsid w:val="004B338C"/>
    <w:rsid w:val="004B3F5A"/>
    <w:rsid w:val="004B3FE5"/>
    <w:rsid w:val="004B42BB"/>
    <w:rsid w:val="004B453C"/>
    <w:rsid w:val="004B47BC"/>
    <w:rsid w:val="004B5764"/>
    <w:rsid w:val="004B5A5A"/>
    <w:rsid w:val="004B5AD4"/>
    <w:rsid w:val="004B5B8D"/>
    <w:rsid w:val="004B5E8A"/>
    <w:rsid w:val="004B6250"/>
    <w:rsid w:val="004B7013"/>
    <w:rsid w:val="004B7723"/>
    <w:rsid w:val="004B7E59"/>
    <w:rsid w:val="004C0557"/>
    <w:rsid w:val="004C0CFE"/>
    <w:rsid w:val="004C0ED8"/>
    <w:rsid w:val="004C1294"/>
    <w:rsid w:val="004C137A"/>
    <w:rsid w:val="004C223E"/>
    <w:rsid w:val="004C2614"/>
    <w:rsid w:val="004C2F09"/>
    <w:rsid w:val="004C2F15"/>
    <w:rsid w:val="004C3D1E"/>
    <w:rsid w:val="004C46E2"/>
    <w:rsid w:val="004C49DC"/>
    <w:rsid w:val="004C5004"/>
    <w:rsid w:val="004C53A0"/>
    <w:rsid w:val="004C54EB"/>
    <w:rsid w:val="004C6379"/>
    <w:rsid w:val="004C6961"/>
    <w:rsid w:val="004C6C4A"/>
    <w:rsid w:val="004C6E10"/>
    <w:rsid w:val="004C6E93"/>
    <w:rsid w:val="004C7444"/>
    <w:rsid w:val="004C7660"/>
    <w:rsid w:val="004C7A59"/>
    <w:rsid w:val="004D0175"/>
    <w:rsid w:val="004D05D9"/>
    <w:rsid w:val="004D154B"/>
    <w:rsid w:val="004D1C4D"/>
    <w:rsid w:val="004D22B4"/>
    <w:rsid w:val="004D249C"/>
    <w:rsid w:val="004D279C"/>
    <w:rsid w:val="004D37A3"/>
    <w:rsid w:val="004D3B6F"/>
    <w:rsid w:val="004D4A84"/>
    <w:rsid w:val="004D4E05"/>
    <w:rsid w:val="004D556C"/>
    <w:rsid w:val="004D582D"/>
    <w:rsid w:val="004D583E"/>
    <w:rsid w:val="004D619F"/>
    <w:rsid w:val="004D6B83"/>
    <w:rsid w:val="004D71B1"/>
    <w:rsid w:val="004D7F6A"/>
    <w:rsid w:val="004D7FC2"/>
    <w:rsid w:val="004E0227"/>
    <w:rsid w:val="004E02F1"/>
    <w:rsid w:val="004E0319"/>
    <w:rsid w:val="004E0A31"/>
    <w:rsid w:val="004E146C"/>
    <w:rsid w:val="004E1772"/>
    <w:rsid w:val="004E2156"/>
    <w:rsid w:val="004E23A8"/>
    <w:rsid w:val="004E2B19"/>
    <w:rsid w:val="004E2FC4"/>
    <w:rsid w:val="004E3A88"/>
    <w:rsid w:val="004E3F35"/>
    <w:rsid w:val="004E4131"/>
    <w:rsid w:val="004E48A4"/>
    <w:rsid w:val="004E5193"/>
    <w:rsid w:val="004E6BF8"/>
    <w:rsid w:val="004E6C4D"/>
    <w:rsid w:val="004E733D"/>
    <w:rsid w:val="004E749A"/>
    <w:rsid w:val="004F0715"/>
    <w:rsid w:val="004F0C2B"/>
    <w:rsid w:val="004F10A6"/>
    <w:rsid w:val="004F16A7"/>
    <w:rsid w:val="004F2476"/>
    <w:rsid w:val="004F2796"/>
    <w:rsid w:val="004F2892"/>
    <w:rsid w:val="004F2952"/>
    <w:rsid w:val="004F35BF"/>
    <w:rsid w:val="004F35CC"/>
    <w:rsid w:val="004F3BA0"/>
    <w:rsid w:val="004F3DDC"/>
    <w:rsid w:val="004F43E3"/>
    <w:rsid w:val="004F5293"/>
    <w:rsid w:val="004F6433"/>
    <w:rsid w:val="004F65C6"/>
    <w:rsid w:val="004F67A5"/>
    <w:rsid w:val="004F683A"/>
    <w:rsid w:val="004F6D45"/>
    <w:rsid w:val="004F75E3"/>
    <w:rsid w:val="004F7B05"/>
    <w:rsid w:val="00500464"/>
    <w:rsid w:val="005004DB"/>
    <w:rsid w:val="005007F2"/>
    <w:rsid w:val="00500D20"/>
    <w:rsid w:val="005010C9"/>
    <w:rsid w:val="005012DA"/>
    <w:rsid w:val="0050154F"/>
    <w:rsid w:val="00501658"/>
    <w:rsid w:val="00501A88"/>
    <w:rsid w:val="00501D1B"/>
    <w:rsid w:val="00502395"/>
    <w:rsid w:val="0050311F"/>
    <w:rsid w:val="00503373"/>
    <w:rsid w:val="00503B25"/>
    <w:rsid w:val="005045E9"/>
    <w:rsid w:val="005047D1"/>
    <w:rsid w:val="00504A9A"/>
    <w:rsid w:val="00504DD8"/>
    <w:rsid w:val="00504DE6"/>
    <w:rsid w:val="0050568F"/>
    <w:rsid w:val="00505A5B"/>
    <w:rsid w:val="00506413"/>
    <w:rsid w:val="0050646F"/>
    <w:rsid w:val="00506E50"/>
    <w:rsid w:val="00507CF0"/>
    <w:rsid w:val="00510712"/>
    <w:rsid w:val="00510A8F"/>
    <w:rsid w:val="00511D57"/>
    <w:rsid w:val="005123B9"/>
    <w:rsid w:val="00512833"/>
    <w:rsid w:val="005132B2"/>
    <w:rsid w:val="005138FA"/>
    <w:rsid w:val="00514C4D"/>
    <w:rsid w:val="00514DD2"/>
    <w:rsid w:val="005157BB"/>
    <w:rsid w:val="00515FFF"/>
    <w:rsid w:val="00516125"/>
    <w:rsid w:val="00516ABB"/>
    <w:rsid w:val="00516BF2"/>
    <w:rsid w:val="005170B1"/>
    <w:rsid w:val="00517354"/>
    <w:rsid w:val="00517613"/>
    <w:rsid w:val="00517C76"/>
    <w:rsid w:val="0052038D"/>
    <w:rsid w:val="005209DD"/>
    <w:rsid w:val="0052124B"/>
    <w:rsid w:val="005221DD"/>
    <w:rsid w:val="005226B3"/>
    <w:rsid w:val="00522ABA"/>
    <w:rsid w:val="00523B79"/>
    <w:rsid w:val="00523DC6"/>
    <w:rsid w:val="005242C1"/>
    <w:rsid w:val="005252E8"/>
    <w:rsid w:val="00525446"/>
    <w:rsid w:val="00526615"/>
    <w:rsid w:val="0052758F"/>
    <w:rsid w:val="005275A5"/>
    <w:rsid w:val="00527602"/>
    <w:rsid w:val="00527BF9"/>
    <w:rsid w:val="0053016F"/>
    <w:rsid w:val="00530F69"/>
    <w:rsid w:val="00531210"/>
    <w:rsid w:val="0053138E"/>
    <w:rsid w:val="0053143F"/>
    <w:rsid w:val="005321B3"/>
    <w:rsid w:val="00533AED"/>
    <w:rsid w:val="00533B38"/>
    <w:rsid w:val="00533C65"/>
    <w:rsid w:val="00534C90"/>
    <w:rsid w:val="00534DD1"/>
    <w:rsid w:val="0053502E"/>
    <w:rsid w:val="00535372"/>
    <w:rsid w:val="005354D8"/>
    <w:rsid w:val="005359CF"/>
    <w:rsid w:val="005361C3"/>
    <w:rsid w:val="00536218"/>
    <w:rsid w:val="0053695A"/>
    <w:rsid w:val="005373E8"/>
    <w:rsid w:val="00537616"/>
    <w:rsid w:val="00540355"/>
    <w:rsid w:val="00540879"/>
    <w:rsid w:val="0054122A"/>
    <w:rsid w:val="00541C34"/>
    <w:rsid w:val="0054203C"/>
    <w:rsid w:val="0054226C"/>
    <w:rsid w:val="00543351"/>
    <w:rsid w:val="005445D3"/>
    <w:rsid w:val="00544CEE"/>
    <w:rsid w:val="00544FB5"/>
    <w:rsid w:val="00545A7B"/>
    <w:rsid w:val="00545CDD"/>
    <w:rsid w:val="00545F24"/>
    <w:rsid w:val="005463CA"/>
    <w:rsid w:val="0054640F"/>
    <w:rsid w:val="005476CA"/>
    <w:rsid w:val="00547854"/>
    <w:rsid w:val="00547B3B"/>
    <w:rsid w:val="00547B86"/>
    <w:rsid w:val="00550281"/>
    <w:rsid w:val="00550AD3"/>
    <w:rsid w:val="00551418"/>
    <w:rsid w:val="005528B2"/>
    <w:rsid w:val="00552A8E"/>
    <w:rsid w:val="00552B35"/>
    <w:rsid w:val="00552FCE"/>
    <w:rsid w:val="00553578"/>
    <w:rsid w:val="0055369F"/>
    <w:rsid w:val="00554753"/>
    <w:rsid w:val="00554A4E"/>
    <w:rsid w:val="00554D88"/>
    <w:rsid w:val="00555003"/>
    <w:rsid w:val="0055670B"/>
    <w:rsid w:val="00556CB2"/>
    <w:rsid w:val="00556CCC"/>
    <w:rsid w:val="00556D3A"/>
    <w:rsid w:val="005574E7"/>
    <w:rsid w:val="00557D6C"/>
    <w:rsid w:val="0056090A"/>
    <w:rsid w:val="00561AD6"/>
    <w:rsid w:val="00561BC5"/>
    <w:rsid w:val="00561DB1"/>
    <w:rsid w:val="005626AE"/>
    <w:rsid w:val="00562F09"/>
    <w:rsid w:val="0056303B"/>
    <w:rsid w:val="005631A2"/>
    <w:rsid w:val="005632FB"/>
    <w:rsid w:val="005636C6"/>
    <w:rsid w:val="0056389E"/>
    <w:rsid w:val="00564764"/>
    <w:rsid w:val="00566008"/>
    <w:rsid w:val="00566394"/>
    <w:rsid w:val="00566567"/>
    <w:rsid w:val="00566BD7"/>
    <w:rsid w:val="005670AB"/>
    <w:rsid w:val="005674F6"/>
    <w:rsid w:val="00567B53"/>
    <w:rsid w:val="005700B0"/>
    <w:rsid w:val="00570CBD"/>
    <w:rsid w:val="00570D51"/>
    <w:rsid w:val="00570F5F"/>
    <w:rsid w:val="00570FCE"/>
    <w:rsid w:val="005712C6"/>
    <w:rsid w:val="0057151A"/>
    <w:rsid w:val="00571D1E"/>
    <w:rsid w:val="00571FD9"/>
    <w:rsid w:val="00572341"/>
    <w:rsid w:val="00573D62"/>
    <w:rsid w:val="005742C2"/>
    <w:rsid w:val="00574312"/>
    <w:rsid w:val="00574B14"/>
    <w:rsid w:val="00574C5A"/>
    <w:rsid w:val="00575327"/>
    <w:rsid w:val="005755EB"/>
    <w:rsid w:val="00575AD9"/>
    <w:rsid w:val="00575E87"/>
    <w:rsid w:val="0057645A"/>
    <w:rsid w:val="005767F5"/>
    <w:rsid w:val="005772D1"/>
    <w:rsid w:val="0057778B"/>
    <w:rsid w:val="00577DA5"/>
    <w:rsid w:val="00577EBC"/>
    <w:rsid w:val="00580FCB"/>
    <w:rsid w:val="0058159D"/>
    <w:rsid w:val="00581607"/>
    <w:rsid w:val="00582537"/>
    <w:rsid w:val="005826CC"/>
    <w:rsid w:val="00582D66"/>
    <w:rsid w:val="00583255"/>
    <w:rsid w:val="00583386"/>
    <w:rsid w:val="005835C8"/>
    <w:rsid w:val="00583E52"/>
    <w:rsid w:val="005841DC"/>
    <w:rsid w:val="00584B15"/>
    <w:rsid w:val="0058576A"/>
    <w:rsid w:val="00586AF2"/>
    <w:rsid w:val="00586C2D"/>
    <w:rsid w:val="00586E3B"/>
    <w:rsid w:val="00587665"/>
    <w:rsid w:val="00587752"/>
    <w:rsid w:val="00587D2E"/>
    <w:rsid w:val="005900EB"/>
    <w:rsid w:val="00590B18"/>
    <w:rsid w:val="00590C93"/>
    <w:rsid w:val="00590F65"/>
    <w:rsid w:val="00591167"/>
    <w:rsid w:val="005912E0"/>
    <w:rsid w:val="00591AB7"/>
    <w:rsid w:val="00592B2A"/>
    <w:rsid w:val="00592D2F"/>
    <w:rsid w:val="00592E1D"/>
    <w:rsid w:val="00592EFF"/>
    <w:rsid w:val="005930FF"/>
    <w:rsid w:val="00593432"/>
    <w:rsid w:val="00593843"/>
    <w:rsid w:val="00593C32"/>
    <w:rsid w:val="00593D76"/>
    <w:rsid w:val="00594236"/>
    <w:rsid w:val="005944C6"/>
    <w:rsid w:val="00594D87"/>
    <w:rsid w:val="00595570"/>
    <w:rsid w:val="00596293"/>
    <w:rsid w:val="0059637A"/>
    <w:rsid w:val="005969E9"/>
    <w:rsid w:val="005A0295"/>
    <w:rsid w:val="005A08EC"/>
    <w:rsid w:val="005A0DD9"/>
    <w:rsid w:val="005A1314"/>
    <w:rsid w:val="005A1404"/>
    <w:rsid w:val="005A187B"/>
    <w:rsid w:val="005A1C6A"/>
    <w:rsid w:val="005A1D13"/>
    <w:rsid w:val="005A3E8A"/>
    <w:rsid w:val="005A49CF"/>
    <w:rsid w:val="005A52C4"/>
    <w:rsid w:val="005A5693"/>
    <w:rsid w:val="005A5798"/>
    <w:rsid w:val="005A60DE"/>
    <w:rsid w:val="005A624E"/>
    <w:rsid w:val="005A62AA"/>
    <w:rsid w:val="005A6AF7"/>
    <w:rsid w:val="005A72B3"/>
    <w:rsid w:val="005A7447"/>
    <w:rsid w:val="005A7ED5"/>
    <w:rsid w:val="005B0D19"/>
    <w:rsid w:val="005B112E"/>
    <w:rsid w:val="005B1280"/>
    <w:rsid w:val="005B1724"/>
    <w:rsid w:val="005B1D27"/>
    <w:rsid w:val="005B2344"/>
    <w:rsid w:val="005B261B"/>
    <w:rsid w:val="005B2CB8"/>
    <w:rsid w:val="005B2F94"/>
    <w:rsid w:val="005B31D2"/>
    <w:rsid w:val="005B353D"/>
    <w:rsid w:val="005B3A7F"/>
    <w:rsid w:val="005B3C09"/>
    <w:rsid w:val="005B3DC2"/>
    <w:rsid w:val="005B4471"/>
    <w:rsid w:val="005B4F8F"/>
    <w:rsid w:val="005B5D91"/>
    <w:rsid w:val="005B5FEC"/>
    <w:rsid w:val="005B61D0"/>
    <w:rsid w:val="005B7058"/>
    <w:rsid w:val="005B7F2C"/>
    <w:rsid w:val="005C078B"/>
    <w:rsid w:val="005C1A3A"/>
    <w:rsid w:val="005C1D5B"/>
    <w:rsid w:val="005C1FC5"/>
    <w:rsid w:val="005C30B7"/>
    <w:rsid w:val="005C3237"/>
    <w:rsid w:val="005C37F1"/>
    <w:rsid w:val="005C4AB7"/>
    <w:rsid w:val="005C5155"/>
    <w:rsid w:val="005C54D2"/>
    <w:rsid w:val="005C616D"/>
    <w:rsid w:val="005C64A4"/>
    <w:rsid w:val="005C6766"/>
    <w:rsid w:val="005C6C16"/>
    <w:rsid w:val="005C7559"/>
    <w:rsid w:val="005D02E6"/>
    <w:rsid w:val="005D043F"/>
    <w:rsid w:val="005D080C"/>
    <w:rsid w:val="005D087E"/>
    <w:rsid w:val="005D096E"/>
    <w:rsid w:val="005D0E60"/>
    <w:rsid w:val="005D1FB2"/>
    <w:rsid w:val="005D23A3"/>
    <w:rsid w:val="005D2C37"/>
    <w:rsid w:val="005D32E9"/>
    <w:rsid w:val="005D3A23"/>
    <w:rsid w:val="005D4102"/>
    <w:rsid w:val="005D428D"/>
    <w:rsid w:val="005D4325"/>
    <w:rsid w:val="005D4C54"/>
    <w:rsid w:val="005D522D"/>
    <w:rsid w:val="005D544C"/>
    <w:rsid w:val="005D54C4"/>
    <w:rsid w:val="005D5845"/>
    <w:rsid w:val="005D687A"/>
    <w:rsid w:val="005D6D75"/>
    <w:rsid w:val="005D787A"/>
    <w:rsid w:val="005E04F3"/>
    <w:rsid w:val="005E0A7E"/>
    <w:rsid w:val="005E1F8E"/>
    <w:rsid w:val="005E201A"/>
    <w:rsid w:val="005E222E"/>
    <w:rsid w:val="005E255C"/>
    <w:rsid w:val="005E275F"/>
    <w:rsid w:val="005E2BFE"/>
    <w:rsid w:val="005E3713"/>
    <w:rsid w:val="005E3714"/>
    <w:rsid w:val="005E4617"/>
    <w:rsid w:val="005E4A10"/>
    <w:rsid w:val="005E5034"/>
    <w:rsid w:val="005E5088"/>
    <w:rsid w:val="005E59D8"/>
    <w:rsid w:val="005E5D80"/>
    <w:rsid w:val="005E61AE"/>
    <w:rsid w:val="005E6C79"/>
    <w:rsid w:val="005E7419"/>
    <w:rsid w:val="005E7495"/>
    <w:rsid w:val="005E757C"/>
    <w:rsid w:val="005E75CF"/>
    <w:rsid w:val="005E7747"/>
    <w:rsid w:val="005E7798"/>
    <w:rsid w:val="005F01BB"/>
    <w:rsid w:val="005F029F"/>
    <w:rsid w:val="005F0992"/>
    <w:rsid w:val="005F0F4D"/>
    <w:rsid w:val="005F0FE9"/>
    <w:rsid w:val="005F16FC"/>
    <w:rsid w:val="005F182D"/>
    <w:rsid w:val="005F1996"/>
    <w:rsid w:val="005F19AD"/>
    <w:rsid w:val="005F1C84"/>
    <w:rsid w:val="005F1D30"/>
    <w:rsid w:val="005F264B"/>
    <w:rsid w:val="005F2EAA"/>
    <w:rsid w:val="005F30F0"/>
    <w:rsid w:val="005F3534"/>
    <w:rsid w:val="005F4345"/>
    <w:rsid w:val="005F4467"/>
    <w:rsid w:val="005F47C7"/>
    <w:rsid w:val="005F4E94"/>
    <w:rsid w:val="005F5736"/>
    <w:rsid w:val="005F5E35"/>
    <w:rsid w:val="005F5E3C"/>
    <w:rsid w:val="005F5F0A"/>
    <w:rsid w:val="005F61CE"/>
    <w:rsid w:val="005F64DD"/>
    <w:rsid w:val="005F764C"/>
    <w:rsid w:val="005F782A"/>
    <w:rsid w:val="005F7836"/>
    <w:rsid w:val="0060007C"/>
    <w:rsid w:val="006000E4"/>
    <w:rsid w:val="00600461"/>
    <w:rsid w:val="00600D64"/>
    <w:rsid w:val="00600DBD"/>
    <w:rsid w:val="00601A5E"/>
    <w:rsid w:val="00601CE4"/>
    <w:rsid w:val="006023CE"/>
    <w:rsid w:val="00602A79"/>
    <w:rsid w:val="00602C0B"/>
    <w:rsid w:val="0060320C"/>
    <w:rsid w:val="006039B5"/>
    <w:rsid w:val="00603D32"/>
    <w:rsid w:val="00603F75"/>
    <w:rsid w:val="00604394"/>
    <w:rsid w:val="00605414"/>
    <w:rsid w:val="0060593F"/>
    <w:rsid w:val="00605F5E"/>
    <w:rsid w:val="00606039"/>
    <w:rsid w:val="0060619B"/>
    <w:rsid w:val="0060699F"/>
    <w:rsid w:val="00606D13"/>
    <w:rsid w:val="006072BD"/>
    <w:rsid w:val="00607B87"/>
    <w:rsid w:val="00607DBC"/>
    <w:rsid w:val="0061184D"/>
    <w:rsid w:val="00611A2C"/>
    <w:rsid w:val="00611B7B"/>
    <w:rsid w:val="00611FDA"/>
    <w:rsid w:val="00612180"/>
    <w:rsid w:val="00613075"/>
    <w:rsid w:val="006135F2"/>
    <w:rsid w:val="00613896"/>
    <w:rsid w:val="00613D3D"/>
    <w:rsid w:val="00613E5A"/>
    <w:rsid w:val="00614214"/>
    <w:rsid w:val="006142C5"/>
    <w:rsid w:val="00614C73"/>
    <w:rsid w:val="00615648"/>
    <w:rsid w:val="006156CC"/>
    <w:rsid w:val="00615950"/>
    <w:rsid w:val="0061599F"/>
    <w:rsid w:val="00615A7F"/>
    <w:rsid w:val="00615CBB"/>
    <w:rsid w:val="00616109"/>
    <w:rsid w:val="00616699"/>
    <w:rsid w:val="006166CF"/>
    <w:rsid w:val="006167BA"/>
    <w:rsid w:val="00616E06"/>
    <w:rsid w:val="0061761A"/>
    <w:rsid w:val="00617E1D"/>
    <w:rsid w:val="006204D8"/>
    <w:rsid w:val="00620885"/>
    <w:rsid w:val="00620905"/>
    <w:rsid w:val="00620C4C"/>
    <w:rsid w:val="00621380"/>
    <w:rsid w:val="00621520"/>
    <w:rsid w:val="0062152F"/>
    <w:rsid w:val="006217C0"/>
    <w:rsid w:val="006217E7"/>
    <w:rsid w:val="006235DD"/>
    <w:rsid w:val="00623667"/>
    <w:rsid w:val="006238F8"/>
    <w:rsid w:val="00623998"/>
    <w:rsid w:val="00624BEA"/>
    <w:rsid w:val="00624E7B"/>
    <w:rsid w:val="006257F8"/>
    <w:rsid w:val="00626B25"/>
    <w:rsid w:val="00626DE9"/>
    <w:rsid w:val="006270E4"/>
    <w:rsid w:val="00627578"/>
    <w:rsid w:val="0062770F"/>
    <w:rsid w:val="00627964"/>
    <w:rsid w:val="00630137"/>
    <w:rsid w:val="00630648"/>
    <w:rsid w:val="0063073C"/>
    <w:rsid w:val="00630B33"/>
    <w:rsid w:val="00630D71"/>
    <w:rsid w:val="00630DEB"/>
    <w:rsid w:val="00630EA6"/>
    <w:rsid w:val="0063117C"/>
    <w:rsid w:val="0063215C"/>
    <w:rsid w:val="00634713"/>
    <w:rsid w:val="0063576E"/>
    <w:rsid w:val="0063585E"/>
    <w:rsid w:val="00635EFD"/>
    <w:rsid w:val="00636515"/>
    <w:rsid w:val="00636580"/>
    <w:rsid w:val="0063671D"/>
    <w:rsid w:val="00636737"/>
    <w:rsid w:val="0063675A"/>
    <w:rsid w:val="0063777B"/>
    <w:rsid w:val="0064052F"/>
    <w:rsid w:val="006411CD"/>
    <w:rsid w:val="0064160D"/>
    <w:rsid w:val="0064217B"/>
    <w:rsid w:val="00642D03"/>
    <w:rsid w:val="0064318F"/>
    <w:rsid w:val="00643D12"/>
    <w:rsid w:val="00644899"/>
    <w:rsid w:val="00645000"/>
    <w:rsid w:val="00645F81"/>
    <w:rsid w:val="00647A6F"/>
    <w:rsid w:val="00647D1E"/>
    <w:rsid w:val="00647E00"/>
    <w:rsid w:val="006501C5"/>
    <w:rsid w:val="006502F4"/>
    <w:rsid w:val="006504E8"/>
    <w:rsid w:val="006508E0"/>
    <w:rsid w:val="00650E9D"/>
    <w:rsid w:val="0065122E"/>
    <w:rsid w:val="00651267"/>
    <w:rsid w:val="0065126F"/>
    <w:rsid w:val="0065127B"/>
    <w:rsid w:val="00651494"/>
    <w:rsid w:val="006517C7"/>
    <w:rsid w:val="00651CC4"/>
    <w:rsid w:val="00651E62"/>
    <w:rsid w:val="00652B36"/>
    <w:rsid w:val="00652BF8"/>
    <w:rsid w:val="00652C36"/>
    <w:rsid w:val="00652D37"/>
    <w:rsid w:val="00652D45"/>
    <w:rsid w:val="00652ED3"/>
    <w:rsid w:val="00653244"/>
    <w:rsid w:val="00653AA3"/>
    <w:rsid w:val="00653BF8"/>
    <w:rsid w:val="00653D7C"/>
    <w:rsid w:val="00653F93"/>
    <w:rsid w:val="00653FB4"/>
    <w:rsid w:val="00653FE8"/>
    <w:rsid w:val="0065402F"/>
    <w:rsid w:val="00654179"/>
    <w:rsid w:val="00654DD1"/>
    <w:rsid w:val="00654EC2"/>
    <w:rsid w:val="00655499"/>
    <w:rsid w:val="006556DB"/>
    <w:rsid w:val="00656E59"/>
    <w:rsid w:val="00660120"/>
    <w:rsid w:val="00660692"/>
    <w:rsid w:val="00660893"/>
    <w:rsid w:val="00661811"/>
    <w:rsid w:val="00662228"/>
    <w:rsid w:val="00662C97"/>
    <w:rsid w:val="00663C62"/>
    <w:rsid w:val="00663E14"/>
    <w:rsid w:val="00664011"/>
    <w:rsid w:val="00664717"/>
    <w:rsid w:val="00664F18"/>
    <w:rsid w:val="00665202"/>
    <w:rsid w:val="00665296"/>
    <w:rsid w:val="00665659"/>
    <w:rsid w:val="0066589F"/>
    <w:rsid w:val="00665ADC"/>
    <w:rsid w:val="00665E95"/>
    <w:rsid w:val="0066624E"/>
    <w:rsid w:val="006662ED"/>
    <w:rsid w:val="00667471"/>
    <w:rsid w:val="006677DA"/>
    <w:rsid w:val="0067008C"/>
    <w:rsid w:val="0067013C"/>
    <w:rsid w:val="0067068B"/>
    <w:rsid w:val="00670B83"/>
    <w:rsid w:val="00671129"/>
    <w:rsid w:val="0067112F"/>
    <w:rsid w:val="006713EE"/>
    <w:rsid w:val="006720E2"/>
    <w:rsid w:val="006721CB"/>
    <w:rsid w:val="00672BA7"/>
    <w:rsid w:val="00673285"/>
    <w:rsid w:val="00673F81"/>
    <w:rsid w:val="0067457A"/>
    <w:rsid w:val="006746D1"/>
    <w:rsid w:val="00674A3F"/>
    <w:rsid w:val="00674EC5"/>
    <w:rsid w:val="00675138"/>
    <w:rsid w:val="0067520C"/>
    <w:rsid w:val="00676036"/>
    <w:rsid w:val="00676462"/>
    <w:rsid w:val="0067673F"/>
    <w:rsid w:val="006767B8"/>
    <w:rsid w:val="00680D3A"/>
    <w:rsid w:val="00683052"/>
    <w:rsid w:val="00683124"/>
    <w:rsid w:val="0068368D"/>
    <w:rsid w:val="006840BB"/>
    <w:rsid w:val="00685162"/>
    <w:rsid w:val="0068570C"/>
    <w:rsid w:val="00686063"/>
    <w:rsid w:val="006862DB"/>
    <w:rsid w:val="0068636A"/>
    <w:rsid w:val="00687321"/>
    <w:rsid w:val="006875E8"/>
    <w:rsid w:val="00687726"/>
    <w:rsid w:val="006879EB"/>
    <w:rsid w:val="00687FC4"/>
    <w:rsid w:val="00690160"/>
    <w:rsid w:val="00690DB3"/>
    <w:rsid w:val="006915BB"/>
    <w:rsid w:val="0069185C"/>
    <w:rsid w:val="00691A86"/>
    <w:rsid w:val="00691B26"/>
    <w:rsid w:val="00692682"/>
    <w:rsid w:val="00692ACE"/>
    <w:rsid w:val="00693BF0"/>
    <w:rsid w:val="006940D9"/>
    <w:rsid w:val="00694749"/>
    <w:rsid w:val="00695D2B"/>
    <w:rsid w:val="00695E41"/>
    <w:rsid w:val="006960F9"/>
    <w:rsid w:val="006964FA"/>
    <w:rsid w:val="0069651A"/>
    <w:rsid w:val="00696B28"/>
    <w:rsid w:val="00697379"/>
    <w:rsid w:val="006974E6"/>
    <w:rsid w:val="0069773C"/>
    <w:rsid w:val="0069794B"/>
    <w:rsid w:val="00697F38"/>
    <w:rsid w:val="006A039F"/>
    <w:rsid w:val="006A097D"/>
    <w:rsid w:val="006A16A4"/>
    <w:rsid w:val="006A1A76"/>
    <w:rsid w:val="006A1B14"/>
    <w:rsid w:val="006A1D9B"/>
    <w:rsid w:val="006A2B55"/>
    <w:rsid w:val="006A2E28"/>
    <w:rsid w:val="006A3494"/>
    <w:rsid w:val="006A3686"/>
    <w:rsid w:val="006A36C2"/>
    <w:rsid w:val="006A3A9E"/>
    <w:rsid w:val="006A5455"/>
    <w:rsid w:val="006A5730"/>
    <w:rsid w:val="006A57D3"/>
    <w:rsid w:val="006A6312"/>
    <w:rsid w:val="006A6621"/>
    <w:rsid w:val="006A66C9"/>
    <w:rsid w:val="006A6753"/>
    <w:rsid w:val="006A681E"/>
    <w:rsid w:val="006A6BA8"/>
    <w:rsid w:val="006A6C5E"/>
    <w:rsid w:val="006A6CB8"/>
    <w:rsid w:val="006A71E6"/>
    <w:rsid w:val="006A7960"/>
    <w:rsid w:val="006A7EDB"/>
    <w:rsid w:val="006B0334"/>
    <w:rsid w:val="006B0BD9"/>
    <w:rsid w:val="006B1071"/>
    <w:rsid w:val="006B1BF4"/>
    <w:rsid w:val="006B2002"/>
    <w:rsid w:val="006B29A5"/>
    <w:rsid w:val="006B317E"/>
    <w:rsid w:val="006B324D"/>
    <w:rsid w:val="006B37F8"/>
    <w:rsid w:val="006B48AA"/>
    <w:rsid w:val="006B4A7B"/>
    <w:rsid w:val="006B4AA4"/>
    <w:rsid w:val="006B4E24"/>
    <w:rsid w:val="006B5419"/>
    <w:rsid w:val="006B54F6"/>
    <w:rsid w:val="006B587D"/>
    <w:rsid w:val="006B5B90"/>
    <w:rsid w:val="006B5E61"/>
    <w:rsid w:val="006B64B5"/>
    <w:rsid w:val="006B66ED"/>
    <w:rsid w:val="006B6898"/>
    <w:rsid w:val="006B6A3A"/>
    <w:rsid w:val="006B6EC8"/>
    <w:rsid w:val="006B6FD5"/>
    <w:rsid w:val="006B709B"/>
    <w:rsid w:val="006B7343"/>
    <w:rsid w:val="006B7563"/>
    <w:rsid w:val="006B78AC"/>
    <w:rsid w:val="006B79C1"/>
    <w:rsid w:val="006B7E65"/>
    <w:rsid w:val="006C097D"/>
    <w:rsid w:val="006C0CFB"/>
    <w:rsid w:val="006C1427"/>
    <w:rsid w:val="006C1B7D"/>
    <w:rsid w:val="006C21DC"/>
    <w:rsid w:val="006C23EA"/>
    <w:rsid w:val="006C24A7"/>
    <w:rsid w:val="006C2FB1"/>
    <w:rsid w:val="006C3230"/>
    <w:rsid w:val="006C3247"/>
    <w:rsid w:val="006C326E"/>
    <w:rsid w:val="006C47C3"/>
    <w:rsid w:val="006C47FC"/>
    <w:rsid w:val="006C4CDB"/>
    <w:rsid w:val="006C4E9C"/>
    <w:rsid w:val="006C5263"/>
    <w:rsid w:val="006C52EB"/>
    <w:rsid w:val="006C5AD0"/>
    <w:rsid w:val="006C692E"/>
    <w:rsid w:val="006C6EBB"/>
    <w:rsid w:val="006C706A"/>
    <w:rsid w:val="006C7EBE"/>
    <w:rsid w:val="006D0CAA"/>
    <w:rsid w:val="006D0E30"/>
    <w:rsid w:val="006D0FDC"/>
    <w:rsid w:val="006D1AEC"/>
    <w:rsid w:val="006D211C"/>
    <w:rsid w:val="006D2C85"/>
    <w:rsid w:val="006D2D91"/>
    <w:rsid w:val="006D2F86"/>
    <w:rsid w:val="006D38C8"/>
    <w:rsid w:val="006D3A0A"/>
    <w:rsid w:val="006D48B6"/>
    <w:rsid w:val="006D4F2B"/>
    <w:rsid w:val="006D50C0"/>
    <w:rsid w:val="006D57DB"/>
    <w:rsid w:val="006D5A38"/>
    <w:rsid w:val="006D730D"/>
    <w:rsid w:val="006E028B"/>
    <w:rsid w:val="006E039A"/>
    <w:rsid w:val="006E1440"/>
    <w:rsid w:val="006E234F"/>
    <w:rsid w:val="006E2FB2"/>
    <w:rsid w:val="006E3349"/>
    <w:rsid w:val="006E368D"/>
    <w:rsid w:val="006E393C"/>
    <w:rsid w:val="006E3B50"/>
    <w:rsid w:val="006E447E"/>
    <w:rsid w:val="006E492D"/>
    <w:rsid w:val="006E4F02"/>
    <w:rsid w:val="006E5798"/>
    <w:rsid w:val="006E5C14"/>
    <w:rsid w:val="006E5F53"/>
    <w:rsid w:val="006E6362"/>
    <w:rsid w:val="006E6372"/>
    <w:rsid w:val="006E7AA3"/>
    <w:rsid w:val="006F0281"/>
    <w:rsid w:val="006F067D"/>
    <w:rsid w:val="006F0790"/>
    <w:rsid w:val="006F0954"/>
    <w:rsid w:val="006F099D"/>
    <w:rsid w:val="006F0DB5"/>
    <w:rsid w:val="006F0FDF"/>
    <w:rsid w:val="006F1143"/>
    <w:rsid w:val="006F1701"/>
    <w:rsid w:val="006F192D"/>
    <w:rsid w:val="006F2E11"/>
    <w:rsid w:val="006F2EFE"/>
    <w:rsid w:val="006F3392"/>
    <w:rsid w:val="006F37EC"/>
    <w:rsid w:val="006F3876"/>
    <w:rsid w:val="006F4624"/>
    <w:rsid w:val="006F4C0A"/>
    <w:rsid w:val="006F5307"/>
    <w:rsid w:val="006F539C"/>
    <w:rsid w:val="006F5B7E"/>
    <w:rsid w:val="006F5ECB"/>
    <w:rsid w:val="006F6063"/>
    <w:rsid w:val="006F607D"/>
    <w:rsid w:val="006F6AF3"/>
    <w:rsid w:val="006F7AD5"/>
    <w:rsid w:val="0070006E"/>
    <w:rsid w:val="00700184"/>
    <w:rsid w:val="00700760"/>
    <w:rsid w:val="00700941"/>
    <w:rsid w:val="00700DF5"/>
    <w:rsid w:val="00701421"/>
    <w:rsid w:val="007017E8"/>
    <w:rsid w:val="00701AF9"/>
    <w:rsid w:val="00701EC6"/>
    <w:rsid w:val="00702CBD"/>
    <w:rsid w:val="00703C0F"/>
    <w:rsid w:val="00703C1E"/>
    <w:rsid w:val="00703E8E"/>
    <w:rsid w:val="00703F1E"/>
    <w:rsid w:val="00703FD6"/>
    <w:rsid w:val="00704053"/>
    <w:rsid w:val="00704721"/>
    <w:rsid w:val="007067C7"/>
    <w:rsid w:val="00706B31"/>
    <w:rsid w:val="007074E2"/>
    <w:rsid w:val="00707843"/>
    <w:rsid w:val="0070799B"/>
    <w:rsid w:val="0071080D"/>
    <w:rsid w:val="00711BF8"/>
    <w:rsid w:val="007129E2"/>
    <w:rsid w:val="007130A1"/>
    <w:rsid w:val="00713F91"/>
    <w:rsid w:val="00713FD0"/>
    <w:rsid w:val="0071472A"/>
    <w:rsid w:val="00714866"/>
    <w:rsid w:val="00714AE9"/>
    <w:rsid w:val="00714C5D"/>
    <w:rsid w:val="00715383"/>
    <w:rsid w:val="00715EAA"/>
    <w:rsid w:val="00715F2C"/>
    <w:rsid w:val="0071602A"/>
    <w:rsid w:val="0071609B"/>
    <w:rsid w:val="00716C29"/>
    <w:rsid w:val="00716D05"/>
    <w:rsid w:val="0071777B"/>
    <w:rsid w:val="00717FD0"/>
    <w:rsid w:val="007200C7"/>
    <w:rsid w:val="007206B8"/>
    <w:rsid w:val="00720ABA"/>
    <w:rsid w:val="00721037"/>
    <w:rsid w:val="00721226"/>
    <w:rsid w:val="00723204"/>
    <w:rsid w:val="0072339D"/>
    <w:rsid w:val="00723604"/>
    <w:rsid w:val="007237DA"/>
    <w:rsid w:val="00724582"/>
    <w:rsid w:val="0072476D"/>
    <w:rsid w:val="00725517"/>
    <w:rsid w:val="00725587"/>
    <w:rsid w:val="0072581C"/>
    <w:rsid w:val="007258BC"/>
    <w:rsid w:val="00725CCF"/>
    <w:rsid w:val="007263E0"/>
    <w:rsid w:val="00726782"/>
    <w:rsid w:val="00726C41"/>
    <w:rsid w:val="00727185"/>
    <w:rsid w:val="007302CC"/>
    <w:rsid w:val="007304CE"/>
    <w:rsid w:val="00730DA0"/>
    <w:rsid w:val="0073215C"/>
    <w:rsid w:val="00732947"/>
    <w:rsid w:val="00732E57"/>
    <w:rsid w:val="00733101"/>
    <w:rsid w:val="007333EC"/>
    <w:rsid w:val="007334A9"/>
    <w:rsid w:val="0073462E"/>
    <w:rsid w:val="00734BE4"/>
    <w:rsid w:val="00734CF3"/>
    <w:rsid w:val="00735D5A"/>
    <w:rsid w:val="00736459"/>
    <w:rsid w:val="00736618"/>
    <w:rsid w:val="00736ADB"/>
    <w:rsid w:val="00737A02"/>
    <w:rsid w:val="007400E1"/>
    <w:rsid w:val="007401BB"/>
    <w:rsid w:val="007401D2"/>
    <w:rsid w:val="007407A1"/>
    <w:rsid w:val="007409DF"/>
    <w:rsid w:val="00740D89"/>
    <w:rsid w:val="00742285"/>
    <w:rsid w:val="0074251E"/>
    <w:rsid w:val="007432AA"/>
    <w:rsid w:val="00743345"/>
    <w:rsid w:val="007444A3"/>
    <w:rsid w:val="0074452F"/>
    <w:rsid w:val="0074467F"/>
    <w:rsid w:val="00744743"/>
    <w:rsid w:val="007448AD"/>
    <w:rsid w:val="00744EEC"/>
    <w:rsid w:val="0074606D"/>
    <w:rsid w:val="0074619F"/>
    <w:rsid w:val="007467ED"/>
    <w:rsid w:val="00746B05"/>
    <w:rsid w:val="00746B2B"/>
    <w:rsid w:val="00746E40"/>
    <w:rsid w:val="00746E69"/>
    <w:rsid w:val="00750348"/>
    <w:rsid w:val="00750A2B"/>
    <w:rsid w:val="00750F77"/>
    <w:rsid w:val="00751317"/>
    <w:rsid w:val="00751405"/>
    <w:rsid w:val="007520FF"/>
    <w:rsid w:val="00753144"/>
    <w:rsid w:val="00753E4C"/>
    <w:rsid w:val="00754FBE"/>
    <w:rsid w:val="007554D7"/>
    <w:rsid w:val="00756966"/>
    <w:rsid w:val="00756BF5"/>
    <w:rsid w:val="00756D42"/>
    <w:rsid w:val="007572C4"/>
    <w:rsid w:val="0075735A"/>
    <w:rsid w:val="00757AFC"/>
    <w:rsid w:val="007602AC"/>
    <w:rsid w:val="007602FE"/>
    <w:rsid w:val="0076090F"/>
    <w:rsid w:val="007614C5"/>
    <w:rsid w:val="00761E4D"/>
    <w:rsid w:val="00762194"/>
    <w:rsid w:val="0076259B"/>
    <w:rsid w:val="00762EF3"/>
    <w:rsid w:val="00763B19"/>
    <w:rsid w:val="00763D0D"/>
    <w:rsid w:val="007642E4"/>
    <w:rsid w:val="007644AE"/>
    <w:rsid w:val="007650C7"/>
    <w:rsid w:val="00765375"/>
    <w:rsid w:val="007654AA"/>
    <w:rsid w:val="0076592A"/>
    <w:rsid w:val="00765D2F"/>
    <w:rsid w:val="00765D7A"/>
    <w:rsid w:val="00765DD8"/>
    <w:rsid w:val="00766C0F"/>
    <w:rsid w:val="00766FAE"/>
    <w:rsid w:val="007670FC"/>
    <w:rsid w:val="007678D6"/>
    <w:rsid w:val="007679BE"/>
    <w:rsid w:val="00767CC6"/>
    <w:rsid w:val="007703AD"/>
    <w:rsid w:val="0077067F"/>
    <w:rsid w:val="007708CC"/>
    <w:rsid w:val="00770D95"/>
    <w:rsid w:val="0077180C"/>
    <w:rsid w:val="00771A55"/>
    <w:rsid w:val="00771EC8"/>
    <w:rsid w:val="007720FB"/>
    <w:rsid w:val="00773381"/>
    <w:rsid w:val="007733FF"/>
    <w:rsid w:val="00773432"/>
    <w:rsid w:val="0077377A"/>
    <w:rsid w:val="007739AE"/>
    <w:rsid w:val="00774B6B"/>
    <w:rsid w:val="00774E83"/>
    <w:rsid w:val="0077577C"/>
    <w:rsid w:val="00776171"/>
    <w:rsid w:val="0077621E"/>
    <w:rsid w:val="007764B0"/>
    <w:rsid w:val="00776A5F"/>
    <w:rsid w:val="00776ADA"/>
    <w:rsid w:val="0077722B"/>
    <w:rsid w:val="0077739F"/>
    <w:rsid w:val="007777BD"/>
    <w:rsid w:val="00777900"/>
    <w:rsid w:val="007779D1"/>
    <w:rsid w:val="00780950"/>
    <w:rsid w:val="00780D22"/>
    <w:rsid w:val="00781A9B"/>
    <w:rsid w:val="007825B5"/>
    <w:rsid w:val="00782836"/>
    <w:rsid w:val="00782EBF"/>
    <w:rsid w:val="0078339C"/>
    <w:rsid w:val="00783DF1"/>
    <w:rsid w:val="00784216"/>
    <w:rsid w:val="0078478A"/>
    <w:rsid w:val="0078495F"/>
    <w:rsid w:val="007850AE"/>
    <w:rsid w:val="0078539E"/>
    <w:rsid w:val="0078543C"/>
    <w:rsid w:val="007855F3"/>
    <w:rsid w:val="007858C1"/>
    <w:rsid w:val="007859AD"/>
    <w:rsid w:val="00785AB2"/>
    <w:rsid w:val="00785E87"/>
    <w:rsid w:val="00786B86"/>
    <w:rsid w:val="00787695"/>
    <w:rsid w:val="00787A4F"/>
    <w:rsid w:val="007900A8"/>
    <w:rsid w:val="0079056F"/>
    <w:rsid w:val="00790CFB"/>
    <w:rsid w:val="007912A0"/>
    <w:rsid w:val="00791FB9"/>
    <w:rsid w:val="00791FCD"/>
    <w:rsid w:val="00792AD7"/>
    <w:rsid w:val="00793927"/>
    <w:rsid w:val="007940DF"/>
    <w:rsid w:val="00794A76"/>
    <w:rsid w:val="00794D9A"/>
    <w:rsid w:val="0079529C"/>
    <w:rsid w:val="007952D2"/>
    <w:rsid w:val="0079565E"/>
    <w:rsid w:val="00795AC6"/>
    <w:rsid w:val="00796161"/>
    <w:rsid w:val="00796C17"/>
    <w:rsid w:val="00796CA6"/>
    <w:rsid w:val="007971FF"/>
    <w:rsid w:val="0079766B"/>
    <w:rsid w:val="007A15FC"/>
    <w:rsid w:val="007A19B9"/>
    <w:rsid w:val="007A19E9"/>
    <w:rsid w:val="007A1E22"/>
    <w:rsid w:val="007A1FEC"/>
    <w:rsid w:val="007A2924"/>
    <w:rsid w:val="007A2982"/>
    <w:rsid w:val="007A2E4A"/>
    <w:rsid w:val="007A3044"/>
    <w:rsid w:val="007A39EF"/>
    <w:rsid w:val="007A3D8C"/>
    <w:rsid w:val="007A3E06"/>
    <w:rsid w:val="007A440C"/>
    <w:rsid w:val="007A456F"/>
    <w:rsid w:val="007A4747"/>
    <w:rsid w:val="007A53AE"/>
    <w:rsid w:val="007A5516"/>
    <w:rsid w:val="007A66A8"/>
    <w:rsid w:val="007A6AC6"/>
    <w:rsid w:val="007A6C36"/>
    <w:rsid w:val="007A6C96"/>
    <w:rsid w:val="007A6CC5"/>
    <w:rsid w:val="007A78A4"/>
    <w:rsid w:val="007A7A49"/>
    <w:rsid w:val="007B040E"/>
    <w:rsid w:val="007B073E"/>
    <w:rsid w:val="007B0A91"/>
    <w:rsid w:val="007B0B72"/>
    <w:rsid w:val="007B1486"/>
    <w:rsid w:val="007B1763"/>
    <w:rsid w:val="007B18D3"/>
    <w:rsid w:val="007B1F06"/>
    <w:rsid w:val="007B2222"/>
    <w:rsid w:val="007B26F6"/>
    <w:rsid w:val="007B283A"/>
    <w:rsid w:val="007B2FFB"/>
    <w:rsid w:val="007B305F"/>
    <w:rsid w:val="007B37F1"/>
    <w:rsid w:val="007B3FC7"/>
    <w:rsid w:val="007B447C"/>
    <w:rsid w:val="007B480D"/>
    <w:rsid w:val="007B4B8F"/>
    <w:rsid w:val="007B4F08"/>
    <w:rsid w:val="007B57BC"/>
    <w:rsid w:val="007B69CE"/>
    <w:rsid w:val="007B74B9"/>
    <w:rsid w:val="007B762D"/>
    <w:rsid w:val="007B76D4"/>
    <w:rsid w:val="007B7A9D"/>
    <w:rsid w:val="007B7E33"/>
    <w:rsid w:val="007B7E89"/>
    <w:rsid w:val="007B7EF4"/>
    <w:rsid w:val="007C06E2"/>
    <w:rsid w:val="007C1F64"/>
    <w:rsid w:val="007C23F3"/>
    <w:rsid w:val="007C2763"/>
    <w:rsid w:val="007C2932"/>
    <w:rsid w:val="007C30A2"/>
    <w:rsid w:val="007C316D"/>
    <w:rsid w:val="007C33FF"/>
    <w:rsid w:val="007C36E2"/>
    <w:rsid w:val="007C4D3F"/>
    <w:rsid w:val="007C5572"/>
    <w:rsid w:val="007C6005"/>
    <w:rsid w:val="007C6450"/>
    <w:rsid w:val="007C65FA"/>
    <w:rsid w:val="007C6C28"/>
    <w:rsid w:val="007C6C95"/>
    <w:rsid w:val="007C6DBB"/>
    <w:rsid w:val="007C7039"/>
    <w:rsid w:val="007C781C"/>
    <w:rsid w:val="007D0364"/>
    <w:rsid w:val="007D14BB"/>
    <w:rsid w:val="007D14E6"/>
    <w:rsid w:val="007D2970"/>
    <w:rsid w:val="007D322F"/>
    <w:rsid w:val="007D35C1"/>
    <w:rsid w:val="007D3B33"/>
    <w:rsid w:val="007D3CCB"/>
    <w:rsid w:val="007D48FA"/>
    <w:rsid w:val="007D4ACD"/>
    <w:rsid w:val="007D4AE3"/>
    <w:rsid w:val="007D4CAD"/>
    <w:rsid w:val="007D4D9B"/>
    <w:rsid w:val="007D5968"/>
    <w:rsid w:val="007D60DD"/>
    <w:rsid w:val="007D60DE"/>
    <w:rsid w:val="007D6698"/>
    <w:rsid w:val="007D6EB4"/>
    <w:rsid w:val="007D75D3"/>
    <w:rsid w:val="007D77FE"/>
    <w:rsid w:val="007D7A5B"/>
    <w:rsid w:val="007E0BB2"/>
    <w:rsid w:val="007E0FB0"/>
    <w:rsid w:val="007E254D"/>
    <w:rsid w:val="007E32AB"/>
    <w:rsid w:val="007E497E"/>
    <w:rsid w:val="007E49AB"/>
    <w:rsid w:val="007E4E3A"/>
    <w:rsid w:val="007E4FB2"/>
    <w:rsid w:val="007E5658"/>
    <w:rsid w:val="007E5B7F"/>
    <w:rsid w:val="007E5FF4"/>
    <w:rsid w:val="007E603E"/>
    <w:rsid w:val="007E6F19"/>
    <w:rsid w:val="007E7262"/>
    <w:rsid w:val="007E79AD"/>
    <w:rsid w:val="007F08A6"/>
    <w:rsid w:val="007F0ABD"/>
    <w:rsid w:val="007F1198"/>
    <w:rsid w:val="007F1671"/>
    <w:rsid w:val="007F183B"/>
    <w:rsid w:val="007F1FD3"/>
    <w:rsid w:val="007F2A94"/>
    <w:rsid w:val="007F3012"/>
    <w:rsid w:val="007F3A07"/>
    <w:rsid w:val="007F410A"/>
    <w:rsid w:val="007F45E1"/>
    <w:rsid w:val="007F4757"/>
    <w:rsid w:val="007F7AC0"/>
    <w:rsid w:val="0080015D"/>
    <w:rsid w:val="008002F2"/>
    <w:rsid w:val="00801128"/>
    <w:rsid w:val="0080135C"/>
    <w:rsid w:val="0080149C"/>
    <w:rsid w:val="008024D5"/>
    <w:rsid w:val="008032C3"/>
    <w:rsid w:val="00803455"/>
    <w:rsid w:val="008038D1"/>
    <w:rsid w:val="00803C31"/>
    <w:rsid w:val="00804160"/>
    <w:rsid w:val="00804806"/>
    <w:rsid w:val="00805969"/>
    <w:rsid w:val="00805FE4"/>
    <w:rsid w:val="00806170"/>
    <w:rsid w:val="008068D6"/>
    <w:rsid w:val="00806CC4"/>
    <w:rsid w:val="00807830"/>
    <w:rsid w:val="00807DD8"/>
    <w:rsid w:val="00810D82"/>
    <w:rsid w:val="008120A9"/>
    <w:rsid w:val="00812D00"/>
    <w:rsid w:val="00812F19"/>
    <w:rsid w:val="00812F8E"/>
    <w:rsid w:val="0081311C"/>
    <w:rsid w:val="00814419"/>
    <w:rsid w:val="008144B8"/>
    <w:rsid w:val="008145BF"/>
    <w:rsid w:val="00814997"/>
    <w:rsid w:val="0081500E"/>
    <w:rsid w:val="00815CCD"/>
    <w:rsid w:val="00815F86"/>
    <w:rsid w:val="00816135"/>
    <w:rsid w:val="00816326"/>
    <w:rsid w:val="008164FB"/>
    <w:rsid w:val="00816DA2"/>
    <w:rsid w:val="0081739D"/>
    <w:rsid w:val="00817FB1"/>
    <w:rsid w:val="00820178"/>
    <w:rsid w:val="00820880"/>
    <w:rsid w:val="00820FAC"/>
    <w:rsid w:val="0082297A"/>
    <w:rsid w:val="00822ACA"/>
    <w:rsid w:val="00822DC9"/>
    <w:rsid w:val="00824375"/>
    <w:rsid w:val="00824CA5"/>
    <w:rsid w:val="00825FDF"/>
    <w:rsid w:val="00826A61"/>
    <w:rsid w:val="00826C6E"/>
    <w:rsid w:val="00827523"/>
    <w:rsid w:val="00827A76"/>
    <w:rsid w:val="00827D91"/>
    <w:rsid w:val="00830239"/>
    <w:rsid w:val="00830292"/>
    <w:rsid w:val="00830448"/>
    <w:rsid w:val="0083047C"/>
    <w:rsid w:val="00830B21"/>
    <w:rsid w:val="0083292A"/>
    <w:rsid w:val="00833592"/>
    <w:rsid w:val="00833D70"/>
    <w:rsid w:val="00834A81"/>
    <w:rsid w:val="00835217"/>
    <w:rsid w:val="00835B97"/>
    <w:rsid w:val="00835D0F"/>
    <w:rsid w:val="00835F45"/>
    <w:rsid w:val="00835FCD"/>
    <w:rsid w:val="008362F3"/>
    <w:rsid w:val="0083672A"/>
    <w:rsid w:val="008369A4"/>
    <w:rsid w:val="00836BEA"/>
    <w:rsid w:val="00836CDB"/>
    <w:rsid w:val="00837285"/>
    <w:rsid w:val="008375BB"/>
    <w:rsid w:val="00837BAA"/>
    <w:rsid w:val="00837C27"/>
    <w:rsid w:val="00837EB1"/>
    <w:rsid w:val="008402DC"/>
    <w:rsid w:val="00840938"/>
    <w:rsid w:val="008411CD"/>
    <w:rsid w:val="00841749"/>
    <w:rsid w:val="008417B9"/>
    <w:rsid w:val="008418B1"/>
    <w:rsid w:val="00841C5F"/>
    <w:rsid w:val="00841E30"/>
    <w:rsid w:val="00841F53"/>
    <w:rsid w:val="0084249F"/>
    <w:rsid w:val="00842D59"/>
    <w:rsid w:val="00844339"/>
    <w:rsid w:val="00844ABF"/>
    <w:rsid w:val="00844DDA"/>
    <w:rsid w:val="00844FB5"/>
    <w:rsid w:val="00845369"/>
    <w:rsid w:val="00845432"/>
    <w:rsid w:val="00845A3E"/>
    <w:rsid w:val="00845F6A"/>
    <w:rsid w:val="00846ABA"/>
    <w:rsid w:val="0084705B"/>
    <w:rsid w:val="00847548"/>
    <w:rsid w:val="00847B3F"/>
    <w:rsid w:val="0085026E"/>
    <w:rsid w:val="00850B65"/>
    <w:rsid w:val="008510E7"/>
    <w:rsid w:val="00851345"/>
    <w:rsid w:val="0085134B"/>
    <w:rsid w:val="0085162C"/>
    <w:rsid w:val="00851CCF"/>
    <w:rsid w:val="00851DF4"/>
    <w:rsid w:val="00851E3D"/>
    <w:rsid w:val="00851F90"/>
    <w:rsid w:val="008527D0"/>
    <w:rsid w:val="00852A77"/>
    <w:rsid w:val="008531B9"/>
    <w:rsid w:val="00853AC0"/>
    <w:rsid w:val="00853D33"/>
    <w:rsid w:val="00854DF1"/>
    <w:rsid w:val="00855148"/>
    <w:rsid w:val="00855232"/>
    <w:rsid w:val="008552C7"/>
    <w:rsid w:val="0085634F"/>
    <w:rsid w:val="008564E0"/>
    <w:rsid w:val="0085667D"/>
    <w:rsid w:val="00857273"/>
    <w:rsid w:val="00857CB0"/>
    <w:rsid w:val="008601A7"/>
    <w:rsid w:val="00860597"/>
    <w:rsid w:val="00860773"/>
    <w:rsid w:val="00860FBC"/>
    <w:rsid w:val="00861AE8"/>
    <w:rsid w:val="00861B70"/>
    <w:rsid w:val="00861C2D"/>
    <w:rsid w:val="00861F18"/>
    <w:rsid w:val="00862A92"/>
    <w:rsid w:val="008638BC"/>
    <w:rsid w:val="00863906"/>
    <w:rsid w:val="00863BC6"/>
    <w:rsid w:val="00863D6E"/>
    <w:rsid w:val="00863F03"/>
    <w:rsid w:val="0086424B"/>
    <w:rsid w:val="0086497C"/>
    <w:rsid w:val="00864A84"/>
    <w:rsid w:val="00864B21"/>
    <w:rsid w:val="00865BC3"/>
    <w:rsid w:val="00865D0B"/>
    <w:rsid w:val="00865EAA"/>
    <w:rsid w:val="00866AB5"/>
    <w:rsid w:val="00866CC4"/>
    <w:rsid w:val="00866E91"/>
    <w:rsid w:val="008678BE"/>
    <w:rsid w:val="00870374"/>
    <w:rsid w:val="0087039D"/>
    <w:rsid w:val="00870A28"/>
    <w:rsid w:val="008716BD"/>
    <w:rsid w:val="00871784"/>
    <w:rsid w:val="00871855"/>
    <w:rsid w:val="00871ED3"/>
    <w:rsid w:val="00872194"/>
    <w:rsid w:val="00872867"/>
    <w:rsid w:val="00872ADF"/>
    <w:rsid w:val="00872EA1"/>
    <w:rsid w:val="008730E8"/>
    <w:rsid w:val="00873231"/>
    <w:rsid w:val="00873B74"/>
    <w:rsid w:val="00873E64"/>
    <w:rsid w:val="0087474D"/>
    <w:rsid w:val="00874D3E"/>
    <w:rsid w:val="00874D57"/>
    <w:rsid w:val="00875D37"/>
    <w:rsid w:val="00875FFC"/>
    <w:rsid w:val="00876473"/>
    <w:rsid w:val="008768DE"/>
    <w:rsid w:val="00876AA7"/>
    <w:rsid w:val="00877DD7"/>
    <w:rsid w:val="00880184"/>
    <w:rsid w:val="00880188"/>
    <w:rsid w:val="008809A4"/>
    <w:rsid w:val="00881028"/>
    <w:rsid w:val="00881AFC"/>
    <w:rsid w:val="00881C78"/>
    <w:rsid w:val="008829CF"/>
    <w:rsid w:val="0088341C"/>
    <w:rsid w:val="008838FE"/>
    <w:rsid w:val="00883984"/>
    <w:rsid w:val="00884D9B"/>
    <w:rsid w:val="00884EA3"/>
    <w:rsid w:val="008856ED"/>
    <w:rsid w:val="0088571F"/>
    <w:rsid w:val="00885795"/>
    <w:rsid w:val="008863E3"/>
    <w:rsid w:val="008868D5"/>
    <w:rsid w:val="00886F1A"/>
    <w:rsid w:val="008875B4"/>
    <w:rsid w:val="008879EA"/>
    <w:rsid w:val="00887B14"/>
    <w:rsid w:val="00887B3A"/>
    <w:rsid w:val="008906EE"/>
    <w:rsid w:val="00890B7E"/>
    <w:rsid w:val="00890CF9"/>
    <w:rsid w:val="00890F67"/>
    <w:rsid w:val="0089122C"/>
    <w:rsid w:val="00891912"/>
    <w:rsid w:val="0089299D"/>
    <w:rsid w:val="00892EF0"/>
    <w:rsid w:val="008936FF"/>
    <w:rsid w:val="00893A61"/>
    <w:rsid w:val="00894318"/>
    <w:rsid w:val="00895D16"/>
    <w:rsid w:val="00896132"/>
    <w:rsid w:val="0089615F"/>
    <w:rsid w:val="0089770C"/>
    <w:rsid w:val="0089798D"/>
    <w:rsid w:val="008A05E2"/>
    <w:rsid w:val="008A0C60"/>
    <w:rsid w:val="008A0E23"/>
    <w:rsid w:val="008A1777"/>
    <w:rsid w:val="008A2047"/>
    <w:rsid w:val="008A22E0"/>
    <w:rsid w:val="008A3D5D"/>
    <w:rsid w:val="008A3F87"/>
    <w:rsid w:val="008A474F"/>
    <w:rsid w:val="008A4D80"/>
    <w:rsid w:val="008A4E08"/>
    <w:rsid w:val="008A555A"/>
    <w:rsid w:val="008A55D1"/>
    <w:rsid w:val="008A5676"/>
    <w:rsid w:val="008A78E5"/>
    <w:rsid w:val="008A79BC"/>
    <w:rsid w:val="008A7A43"/>
    <w:rsid w:val="008A7BF6"/>
    <w:rsid w:val="008A7D1D"/>
    <w:rsid w:val="008B0949"/>
    <w:rsid w:val="008B0C4B"/>
    <w:rsid w:val="008B1AC0"/>
    <w:rsid w:val="008B2AC5"/>
    <w:rsid w:val="008B2B3E"/>
    <w:rsid w:val="008B3334"/>
    <w:rsid w:val="008B33E3"/>
    <w:rsid w:val="008B366B"/>
    <w:rsid w:val="008B3FFF"/>
    <w:rsid w:val="008B4762"/>
    <w:rsid w:val="008B4939"/>
    <w:rsid w:val="008B4EB4"/>
    <w:rsid w:val="008B50A3"/>
    <w:rsid w:val="008B5E48"/>
    <w:rsid w:val="008C049E"/>
    <w:rsid w:val="008C082E"/>
    <w:rsid w:val="008C09CC"/>
    <w:rsid w:val="008C10AD"/>
    <w:rsid w:val="008C113A"/>
    <w:rsid w:val="008C19D8"/>
    <w:rsid w:val="008C33DB"/>
    <w:rsid w:val="008C41CE"/>
    <w:rsid w:val="008C432C"/>
    <w:rsid w:val="008C4349"/>
    <w:rsid w:val="008C47E3"/>
    <w:rsid w:val="008C497A"/>
    <w:rsid w:val="008C4D6A"/>
    <w:rsid w:val="008C5087"/>
    <w:rsid w:val="008C59DA"/>
    <w:rsid w:val="008C5C6F"/>
    <w:rsid w:val="008C624F"/>
    <w:rsid w:val="008C65A7"/>
    <w:rsid w:val="008C6B85"/>
    <w:rsid w:val="008C6BE8"/>
    <w:rsid w:val="008C6BEF"/>
    <w:rsid w:val="008C706D"/>
    <w:rsid w:val="008C7103"/>
    <w:rsid w:val="008C7193"/>
    <w:rsid w:val="008C7565"/>
    <w:rsid w:val="008C7E43"/>
    <w:rsid w:val="008D00DC"/>
    <w:rsid w:val="008D03AF"/>
    <w:rsid w:val="008D06ED"/>
    <w:rsid w:val="008D2086"/>
    <w:rsid w:val="008D21CE"/>
    <w:rsid w:val="008D22E8"/>
    <w:rsid w:val="008D3F15"/>
    <w:rsid w:val="008D6B0E"/>
    <w:rsid w:val="008D6C66"/>
    <w:rsid w:val="008D73E1"/>
    <w:rsid w:val="008E00E7"/>
    <w:rsid w:val="008E0EFB"/>
    <w:rsid w:val="008E19C0"/>
    <w:rsid w:val="008E2436"/>
    <w:rsid w:val="008E2874"/>
    <w:rsid w:val="008E28E0"/>
    <w:rsid w:val="008E29CB"/>
    <w:rsid w:val="008E2F72"/>
    <w:rsid w:val="008E3905"/>
    <w:rsid w:val="008E3C96"/>
    <w:rsid w:val="008E43D3"/>
    <w:rsid w:val="008E4491"/>
    <w:rsid w:val="008E4EC8"/>
    <w:rsid w:val="008E51B3"/>
    <w:rsid w:val="008E619A"/>
    <w:rsid w:val="008E66AC"/>
    <w:rsid w:val="008E6D5A"/>
    <w:rsid w:val="008E7150"/>
    <w:rsid w:val="008E72EA"/>
    <w:rsid w:val="008E7535"/>
    <w:rsid w:val="008E756E"/>
    <w:rsid w:val="008E7C4D"/>
    <w:rsid w:val="008F091E"/>
    <w:rsid w:val="008F1301"/>
    <w:rsid w:val="008F15A8"/>
    <w:rsid w:val="008F1BF2"/>
    <w:rsid w:val="008F1CF1"/>
    <w:rsid w:val="008F238A"/>
    <w:rsid w:val="008F253E"/>
    <w:rsid w:val="008F2B7C"/>
    <w:rsid w:val="008F412F"/>
    <w:rsid w:val="008F424C"/>
    <w:rsid w:val="008F4692"/>
    <w:rsid w:val="008F49DB"/>
    <w:rsid w:val="008F4A7B"/>
    <w:rsid w:val="008F4D38"/>
    <w:rsid w:val="008F4E6F"/>
    <w:rsid w:val="008F519D"/>
    <w:rsid w:val="008F56B6"/>
    <w:rsid w:val="008F606C"/>
    <w:rsid w:val="008F64DA"/>
    <w:rsid w:val="008F64DB"/>
    <w:rsid w:val="008F6A60"/>
    <w:rsid w:val="008F7379"/>
    <w:rsid w:val="008F7548"/>
    <w:rsid w:val="008F7C21"/>
    <w:rsid w:val="00900593"/>
    <w:rsid w:val="0090067A"/>
    <w:rsid w:val="00900A4E"/>
    <w:rsid w:val="00900D52"/>
    <w:rsid w:val="009017FD"/>
    <w:rsid w:val="00901A09"/>
    <w:rsid w:val="00901B4E"/>
    <w:rsid w:val="00901EB0"/>
    <w:rsid w:val="00901F42"/>
    <w:rsid w:val="009022C4"/>
    <w:rsid w:val="009030FD"/>
    <w:rsid w:val="00903B05"/>
    <w:rsid w:val="00903BF7"/>
    <w:rsid w:val="00905246"/>
    <w:rsid w:val="009053BB"/>
    <w:rsid w:val="00905495"/>
    <w:rsid w:val="00905AA2"/>
    <w:rsid w:val="00907568"/>
    <w:rsid w:val="00907B7F"/>
    <w:rsid w:val="00910084"/>
    <w:rsid w:val="009108EF"/>
    <w:rsid w:val="00910B8E"/>
    <w:rsid w:val="00910BE4"/>
    <w:rsid w:val="00910CA9"/>
    <w:rsid w:val="00911050"/>
    <w:rsid w:val="00911768"/>
    <w:rsid w:val="00911DCA"/>
    <w:rsid w:val="00911FC6"/>
    <w:rsid w:val="00912B26"/>
    <w:rsid w:val="009130B4"/>
    <w:rsid w:val="00913190"/>
    <w:rsid w:val="00914059"/>
    <w:rsid w:val="009145AE"/>
    <w:rsid w:val="00915C9B"/>
    <w:rsid w:val="00916C8E"/>
    <w:rsid w:val="00916DB6"/>
    <w:rsid w:val="00916EE2"/>
    <w:rsid w:val="00917019"/>
    <w:rsid w:val="00917800"/>
    <w:rsid w:val="00917C29"/>
    <w:rsid w:val="00917E98"/>
    <w:rsid w:val="00920368"/>
    <w:rsid w:val="009207BB"/>
    <w:rsid w:val="00920DD8"/>
    <w:rsid w:val="00921973"/>
    <w:rsid w:val="009223DB"/>
    <w:rsid w:val="00922A62"/>
    <w:rsid w:val="00923213"/>
    <w:rsid w:val="00923C1D"/>
    <w:rsid w:val="00923C5B"/>
    <w:rsid w:val="009240A6"/>
    <w:rsid w:val="009240E8"/>
    <w:rsid w:val="0092432C"/>
    <w:rsid w:val="00924576"/>
    <w:rsid w:val="0092478F"/>
    <w:rsid w:val="00924A27"/>
    <w:rsid w:val="00924FE8"/>
    <w:rsid w:val="009252B1"/>
    <w:rsid w:val="009257A9"/>
    <w:rsid w:val="00926192"/>
    <w:rsid w:val="00926F96"/>
    <w:rsid w:val="009309DE"/>
    <w:rsid w:val="0093186E"/>
    <w:rsid w:val="00931B22"/>
    <w:rsid w:val="00931BE7"/>
    <w:rsid w:val="00931D5B"/>
    <w:rsid w:val="00932563"/>
    <w:rsid w:val="009329A4"/>
    <w:rsid w:val="00932A08"/>
    <w:rsid w:val="00932ACB"/>
    <w:rsid w:val="00933291"/>
    <w:rsid w:val="00933416"/>
    <w:rsid w:val="009338C4"/>
    <w:rsid w:val="009341F5"/>
    <w:rsid w:val="0093441B"/>
    <w:rsid w:val="009346E5"/>
    <w:rsid w:val="0093527E"/>
    <w:rsid w:val="009366EA"/>
    <w:rsid w:val="00936ADC"/>
    <w:rsid w:val="00936FC5"/>
    <w:rsid w:val="009377A2"/>
    <w:rsid w:val="0094080C"/>
    <w:rsid w:val="0094082B"/>
    <w:rsid w:val="0094090C"/>
    <w:rsid w:val="00940C98"/>
    <w:rsid w:val="00940E2C"/>
    <w:rsid w:val="00942021"/>
    <w:rsid w:val="0094248E"/>
    <w:rsid w:val="00942B1A"/>
    <w:rsid w:val="009439C0"/>
    <w:rsid w:val="009444C0"/>
    <w:rsid w:val="00944543"/>
    <w:rsid w:val="00944E37"/>
    <w:rsid w:val="009455CE"/>
    <w:rsid w:val="0094563E"/>
    <w:rsid w:val="00945683"/>
    <w:rsid w:val="00945CC0"/>
    <w:rsid w:val="00945DBA"/>
    <w:rsid w:val="0094605A"/>
    <w:rsid w:val="00946834"/>
    <w:rsid w:val="00946B0D"/>
    <w:rsid w:val="00947520"/>
    <w:rsid w:val="00947DBC"/>
    <w:rsid w:val="009500D8"/>
    <w:rsid w:val="009505E8"/>
    <w:rsid w:val="00950A66"/>
    <w:rsid w:val="00951021"/>
    <w:rsid w:val="009512AA"/>
    <w:rsid w:val="00951D6F"/>
    <w:rsid w:val="009522F2"/>
    <w:rsid w:val="00952C9F"/>
    <w:rsid w:val="009536A3"/>
    <w:rsid w:val="0095394B"/>
    <w:rsid w:val="00953F84"/>
    <w:rsid w:val="00954070"/>
    <w:rsid w:val="00954110"/>
    <w:rsid w:val="009545D0"/>
    <w:rsid w:val="009549A0"/>
    <w:rsid w:val="0095505A"/>
    <w:rsid w:val="00955DBD"/>
    <w:rsid w:val="0095676E"/>
    <w:rsid w:val="00956BF5"/>
    <w:rsid w:val="00956F14"/>
    <w:rsid w:val="00957104"/>
    <w:rsid w:val="009574E7"/>
    <w:rsid w:val="00957711"/>
    <w:rsid w:val="009579A5"/>
    <w:rsid w:val="00957C83"/>
    <w:rsid w:val="0096005A"/>
    <w:rsid w:val="00960555"/>
    <w:rsid w:val="00960BD6"/>
    <w:rsid w:val="009610D6"/>
    <w:rsid w:val="009613E1"/>
    <w:rsid w:val="00961865"/>
    <w:rsid w:val="00961EBE"/>
    <w:rsid w:val="009620FE"/>
    <w:rsid w:val="0096220C"/>
    <w:rsid w:val="009622D8"/>
    <w:rsid w:val="00962847"/>
    <w:rsid w:val="00962E1D"/>
    <w:rsid w:val="009630FE"/>
    <w:rsid w:val="009632E5"/>
    <w:rsid w:val="0096354A"/>
    <w:rsid w:val="00963A01"/>
    <w:rsid w:val="00964564"/>
    <w:rsid w:val="00964D3D"/>
    <w:rsid w:val="009655FF"/>
    <w:rsid w:val="00965DF4"/>
    <w:rsid w:val="0096603A"/>
    <w:rsid w:val="009663F7"/>
    <w:rsid w:val="00966586"/>
    <w:rsid w:val="0096659C"/>
    <w:rsid w:val="009668F3"/>
    <w:rsid w:val="00966A88"/>
    <w:rsid w:val="009679BC"/>
    <w:rsid w:val="00967F58"/>
    <w:rsid w:val="00970859"/>
    <w:rsid w:val="00970BBD"/>
    <w:rsid w:val="00971264"/>
    <w:rsid w:val="00971EA7"/>
    <w:rsid w:val="00972DCF"/>
    <w:rsid w:val="00973F9B"/>
    <w:rsid w:val="009742F1"/>
    <w:rsid w:val="00974C43"/>
    <w:rsid w:val="00975626"/>
    <w:rsid w:val="009757FD"/>
    <w:rsid w:val="00975D93"/>
    <w:rsid w:val="0097618B"/>
    <w:rsid w:val="009762D2"/>
    <w:rsid w:val="00976956"/>
    <w:rsid w:val="00976A33"/>
    <w:rsid w:val="009776AB"/>
    <w:rsid w:val="0097786F"/>
    <w:rsid w:val="00980416"/>
    <w:rsid w:val="00980570"/>
    <w:rsid w:val="00981725"/>
    <w:rsid w:val="0098177C"/>
    <w:rsid w:val="00982646"/>
    <w:rsid w:val="00982F91"/>
    <w:rsid w:val="0098320C"/>
    <w:rsid w:val="00983849"/>
    <w:rsid w:val="00983AE2"/>
    <w:rsid w:val="00983F6D"/>
    <w:rsid w:val="00984494"/>
    <w:rsid w:val="00984A21"/>
    <w:rsid w:val="009857E6"/>
    <w:rsid w:val="00985CC3"/>
    <w:rsid w:val="009863EB"/>
    <w:rsid w:val="0098659B"/>
    <w:rsid w:val="00986A27"/>
    <w:rsid w:val="00986A51"/>
    <w:rsid w:val="00986AF3"/>
    <w:rsid w:val="009871BA"/>
    <w:rsid w:val="0098720B"/>
    <w:rsid w:val="0099079C"/>
    <w:rsid w:val="00990F00"/>
    <w:rsid w:val="009910B9"/>
    <w:rsid w:val="00991FC3"/>
    <w:rsid w:val="00992518"/>
    <w:rsid w:val="00992861"/>
    <w:rsid w:val="0099286C"/>
    <w:rsid w:val="00992A88"/>
    <w:rsid w:val="0099385E"/>
    <w:rsid w:val="009944E3"/>
    <w:rsid w:val="00994666"/>
    <w:rsid w:val="00994B5D"/>
    <w:rsid w:val="00994EC6"/>
    <w:rsid w:val="00994F2C"/>
    <w:rsid w:val="009956B1"/>
    <w:rsid w:val="00996AF9"/>
    <w:rsid w:val="0099760F"/>
    <w:rsid w:val="00997903"/>
    <w:rsid w:val="00997EE8"/>
    <w:rsid w:val="009A0012"/>
    <w:rsid w:val="009A00F9"/>
    <w:rsid w:val="009A01F7"/>
    <w:rsid w:val="009A1B01"/>
    <w:rsid w:val="009A2318"/>
    <w:rsid w:val="009A2356"/>
    <w:rsid w:val="009A2A32"/>
    <w:rsid w:val="009A3BC4"/>
    <w:rsid w:val="009A3EBC"/>
    <w:rsid w:val="009A5825"/>
    <w:rsid w:val="009A5C3B"/>
    <w:rsid w:val="009A5CCB"/>
    <w:rsid w:val="009A6761"/>
    <w:rsid w:val="009A69A3"/>
    <w:rsid w:val="009A740C"/>
    <w:rsid w:val="009A7973"/>
    <w:rsid w:val="009B032C"/>
    <w:rsid w:val="009B058A"/>
    <w:rsid w:val="009B12D8"/>
    <w:rsid w:val="009B1542"/>
    <w:rsid w:val="009B1B41"/>
    <w:rsid w:val="009B1BC9"/>
    <w:rsid w:val="009B318B"/>
    <w:rsid w:val="009B3BB6"/>
    <w:rsid w:val="009B3EEB"/>
    <w:rsid w:val="009B425D"/>
    <w:rsid w:val="009B4319"/>
    <w:rsid w:val="009B4A3B"/>
    <w:rsid w:val="009B4B75"/>
    <w:rsid w:val="009B65D0"/>
    <w:rsid w:val="009B6843"/>
    <w:rsid w:val="009C0365"/>
    <w:rsid w:val="009C0B95"/>
    <w:rsid w:val="009C250E"/>
    <w:rsid w:val="009C344F"/>
    <w:rsid w:val="009C3B2A"/>
    <w:rsid w:val="009C4AD3"/>
    <w:rsid w:val="009C522E"/>
    <w:rsid w:val="009C5502"/>
    <w:rsid w:val="009C5AFE"/>
    <w:rsid w:val="009C5B12"/>
    <w:rsid w:val="009C62D2"/>
    <w:rsid w:val="009C65AD"/>
    <w:rsid w:val="009C6B5D"/>
    <w:rsid w:val="009C6C0B"/>
    <w:rsid w:val="009C6C1C"/>
    <w:rsid w:val="009C70D8"/>
    <w:rsid w:val="009C78E1"/>
    <w:rsid w:val="009C7F2F"/>
    <w:rsid w:val="009C7F5D"/>
    <w:rsid w:val="009D0449"/>
    <w:rsid w:val="009D0821"/>
    <w:rsid w:val="009D0CCC"/>
    <w:rsid w:val="009D1661"/>
    <w:rsid w:val="009D1F58"/>
    <w:rsid w:val="009D267D"/>
    <w:rsid w:val="009D26B9"/>
    <w:rsid w:val="009D3F5C"/>
    <w:rsid w:val="009D463E"/>
    <w:rsid w:val="009D4D6C"/>
    <w:rsid w:val="009D51C4"/>
    <w:rsid w:val="009D53DA"/>
    <w:rsid w:val="009D551F"/>
    <w:rsid w:val="009D5FF9"/>
    <w:rsid w:val="009D60E5"/>
    <w:rsid w:val="009D6B2D"/>
    <w:rsid w:val="009D6C65"/>
    <w:rsid w:val="009D7050"/>
    <w:rsid w:val="009D75E5"/>
    <w:rsid w:val="009D7DA2"/>
    <w:rsid w:val="009D7F10"/>
    <w:rsid w:val="009E017F"/>
    <w:rsid w:val="009E02A9"/>
    <w:rsid w:val="009E09B8"/>
    <w:rsid w:val="009E17AF"/>
    <w:rsid w:val="009E1C3C"/>
    <w:rsid w:val="009E1E9F"/>
    <w:rsid w:val="009E2BD5"/>
    <w:rsid w:val="009E2E9B"/>
    <w:rsid w:val="009E3022"/>
    <w:rsid w:val="009E365C"/>
    <w:rsid w:val="009E3DFF"/>
    <w:rsid w:val="009E3FE6"/>
    <w:rsid w:val="009E412F"/>
    <w:rsid w:val="009E4150"/>
    <w:rsid w:val="009E4D88"/>
    <w:rsid w:val="009E5214"/>
    <w:rsid w:val="009E552D"/>
    <w:rsid w:val="009E5FDA"/>
    <w:rsid w:val="009E7800"/>
    <w:rsid w:val="009E7A3C"/>
    <w:rsid w:val="009E7F1E"/>
    <w:rsid w:val="009F0B75"/>
    <w:rsid w:val="009F0C6E"/>
    <w:rsid w:val="009F194E"/>
    <w:rsid w:val="009F1BAB"/>
    <w:rsid w:val="009F25DD"/>
    <w:rsid w:val="009F2C37"/>
    <w:rsid w:val="009F2DA4"/>
    <w:rsid w:val="009F30CB"/>
    <w:rsid w:val="009F35CE"/>
    <w:rsid w:val="009F3E42"/>
    <w:rsid w:val="009F3F03"/>
    <w:rsid w:val="009F445F"/>
    <w:rsid w:val="009F47C5"/>
    <w:rsid w:val="009F4B4A"/>
    <w:rsid w:val="009F4EBC"/>
    <w:rsid w:val="009F4FF7"/>
    <w:rsid w:val="009F683B"/>
    <w:rsid w:val="009F6A02"/>
    <w:rsid w:val="009F6ED3"/>
    <w:rsid w:val="009F7B9D"/>
    <w:rsid w:val="009F7EF5"/>
    <w:rsid w:val="00A00101"/>
    <w:rsid w:val="00A005F2"/>
    <w:rsid w:val="00A012D4"/>
    <w:rsid w:val="00A0152B"/>
    <w:rsid w:val="00A016C2"/>
    <w:rsid w:val="00A01CF3"/>
    <w:rsid w:val="00A01D62"/>
    <w:rsid w:val="00A02B9C"/>
    <w:rsid w:val="00A02EB8"/>
    <w:rsid w:val="00A03B3F"/>
    <w:rsid w:val="00A03BC7"/>
    <w:rsid w:val="00A042ED"/>
    <w:rsid w:val="00A048A4"/>
    <w:rsid w:val="00A05034"/>
    <w:rsid w:val="00A05B69"/>
    <w:rsid w:val="00A05CBE"/>
    <w:rsid w:val="00A0612E"/>
    <w:rsid w:val="00A062BE"/>
    <w:rsid w:val="00A068A8"/>
    <w:rsid w:val="00A06EC4"/>
    <w:rsid w:val="00A06F19"/>
    <w:rsid w:val="00A07352"/>
    <w:rsid w:val="00A073A8"/>
    <w:rsid w:val="00A077A7"/>
    <w:rsid w:val="00A07A0D"/>
    <w:rsid w:val="00A07B5B"/>
    <w:rsid w:val="00A07ED9"/>
    <w:rsid w:val="00A10680"/>
    <w:rsid w:val="00A10913"/>
    <w:rsid w:val="00A1169E"/>
    <w:rsid w:val="00A11AF4"/>
    <w:rsid w:val="00A14E5E"/>
    <w:rsid w:val="00A152AF"/>
    <w:rsid w:val="00A15939"/>
    <w:rsid w:val="00A15A21"/>
    <w:rsid w:val="00A1627E"/>
    <w:rsid w:val="00A16994"/>
    <w:rsid w:val="00A177DC"/>
    <w:rsid w:val="00A179A6"/>
    <w:rsid w:val="00A17C74"/>
    <w:rsid w:val="00A20702"/>
    <w:rsid w:val="00A21942"/>
    <w:rsid w:val="00A21BEC"/>
    <w:rsid w:val="00A226F4"/>
    <w:rsid w:val="00A22AB9"/>
    <w:rsid w:val="00A22B57"/>
    <w:rsid w:val="00A23004"/>
    <w:rsid w:val="00A23714"/>
    <w:rsid w:val="00A240C7"/>
    <w:rsid w:val="00A262BA"/>
    <w:rsid w:val="00A2671E"/>
    <w:rsid w:val="00A26C1E"/>
    <w:rsid w:val="00A26E37"/>
    <w:rsid w:val="00A27A26"/>
    <w:rsid w:val="00A27A47"/>
    <w:rsid w:val="00A30833"/>
    <w:rsid w:val="00A30A5C"/>
    <w:rsid w:val="00A30C80"/>
    <w:rsid w:val="00A30D7E"/>
    <w:rsid w:val="00A30DC5"/>
    <w:rsid w:val="00A314BC"/>
    <w:rsid w:val="00A328BC"/>
    <w:rsid w:val="00A32EC3"/>
    <w:rsid w:val="00A32FF4"/>
    <w:rsid w:val="00A33EFC"/>
    <w:rsid w:val="00A34DB8"/>
    <w:rsid w:val="00A34DDB"/>
    <w:rsid w:val="00A34E94"/>
    <w:rsid w:val="00A34F74"/>
    <w:rsid w:val="00A36362"/>
    <w:rsid w:val="00A363D2"/>
    <w:rsid w:val="00A368CF"/>
    <w:rsid w:val="00A36908"/>
    <w:rsid w:val="00A36BBB"/>
    <w:rsid w:val="00A372D8"/>
    <w:rsid w:val="00A37506"/>
    <w:rsid w:val="00A37642"/>
    <w:rsid w:val="00A37C58"/>
    <w:rsid w:val="00A40059"/>
    <w:rsid w:val="00A412E5"/>
    <w:rsid w:val="00A41709"/>
    <w:rsid w:val="00A41937"/>
    <w:rsid w:val="00A41B1D"/>
    <w:rsid w:val="00A42559"/>
    <w:rsid w:val="00A4256B"/>
    <w:rsid w:val="00A42D8A"/>
    <w:rsid w:val="00A42E63"/>
    <w:rsid w:val="00A434AE"/>
    <w:rsid w:val="00A456A7"/>
    <w:rsid w:val="00A457AA"/>
    <w:rsid w:val="00A45F7A"/>
    <w:rsid w:val="00A4620F"/>
    <w:rsid w:val="00A4670D"/>
    <w:rsid w:val="00A46C5D"/>
    <w:rsid w:val="00A4792B"/>
    <w:rsid w:val="00A50005"/>
    <w:rsid w:val="00A50225"/>
    <w:rsid w:val="00A5076A"/>
    <w:rsid w:val="00A5084F"/>
    <w:rsid w:val="00A50C60"/>
    <w:rsid w:val="00A50F62"/>
    <w:rsid w:val="00A5164F"/>
    <w:rsid w:val="00A51A1F"/>
    <w:rsid w:val="00A51F01"/>
    <w:rsid w:val="00A51FA7"/>
    <w:rsid w:val="00A52191"/>
    <w:rsid w:val="00A52679"/>
    <w:rsid w:val="00A53944"/>
    <w:rsid w:val="00A540C8"/>
    <w:rsid w:val="00A548B6"/>
    <w:rsid w:val="00A55A0C"/>
    <w:rsid w:val="00A55F0F"/>
    <w:rsid w:val="00A55F7D"/>
    <w:rsid w:val="00A5661D"/>
    <w:rsid w:val="00A56830"/>
    <w:rsid w:val="00A56D56"/>
    <w:rsid w:val="00A57D57"/>
    <w:rsid w:val="00A6026D"/>
    <w:rsid w:val="00A60537"/>
    <w:rsid w:val="00A60B4E"/>
    <w:rsid w:val="00A60C65"/>
    <w:rsid w:val="00A612D7"/>
    <w:rsid w:val="00A61575"/>
    <w:rsid w:val="00A6167D"/>
    <w:rsid w:val="00A61A07"/>
    <w:rsid w:val="00A61C80"/>
    <w:rsid w:val="00A61FC6"/>
    <w:rsid w:val="00A62FE4"/>
    <w:rsid w:val="00A632B1"/>
    <w:rsid w:val="00A636CC"/>
    <w:rsid w:val="00A6430D"/>
    <w:rsid w:val="00A64554"/>
    <w:rsid w:val="00A64D00"/>
    <w:rsid w:val="00A64FCF"/>
    <w:rsid w:val="00A6536E"/>
    <w:rsid w:val="00A656B7"/>
    <w:rsid w:val="00A65B8B"/>
    <w:rsid w:val="00A66AA5"/>
    <w:rsid w:val="00A67610"/>
    <w:rsid w:val="00A6798E"/>
    <w:rsid w:val="00A67DA9"/>
    <w:rsid w:val="00A709DF"/>
    <w:rsid w:val="00A70B60"/>
    <w:rsid w:val="00A70B64"/>
    <w:rsid w:val="00A70DF5"/>
    <w:rsid w:val="00A7160D"/>
    <w:rsid w:val="00A71A3E"/>
    <w:rsid w:val="00A722A9"/>
    <w:rsid w:val="00A724AF"/>
    <w:rsid w:val="00A72AFF"/>
    <w:rsid w:val="00A74105"/>
    <w:rsid w:val="00A74782"/>
    <w:rsid w:val="00A754CC"/>
    <w:rsid w:val="00A75579"/>
    <w:rsid w:val="00A7568B"/>
    <w:rsid w:val="00A7591B"/>
    <w:rsid w:val="00A772C1"/>
    <w:rsid w:val="00A777FA"/>
    <w:rsid w:val="00A77985"/>
    <w:rsid w:val="00A779FB"/>
    <w:rsid w:val="00A8002C"/>
    <w:rsid w:val="00A80343"/>
    <w:rsid w:val="00A80C99"/>
    <w:rsid w:val="00A812D5"/>
    <w:rsid w:val="00A81377"/>
    <w:rsid w:val="00A81427"/>
    <w:rsid w:val="00A81500"/>
    <w:rsid w:val="00A81E3E"/>
    <w:rsid w:val="00A82062"/>
    <w:rsid w:val="00A823C7"/>
    <w:rsid w:val="00A826CF"/>
    <w:rsid w:val="00A82702"/>
    <w:rsid w:val="00A82A99"/>
    <w:rsid w:val="00A83AD8"/>
    <w:rsid w:val="00A83B74"/>
    <w:rsid w:val="00A83FD6"/>
    <w:rsid w:val="00A84AC5"/>
    <w:rsid w:val="00A84D0A"/>
    <w:rsid w:val="00A84D2C"/>
    <w:rsid w:val="00A84D8F"/>
    <w:rsid w:val="00A84E22"/>
    <w:rsid w:val="00A85078"/>
    <w:rsid w:val="00A85333"/>
    <w:rsid w:val="00A858C8"/>
    <w:rsid w:val="00A85AF8"/>
    <w:rsid w:val="00A86320"/>
    <w:rsid w:val="00A86549"/>
    <w:rsid w:val="00A87182"/>
    <w:rsid w:val="00A8743D"/>
    <w:rsid w:val="00A87571"/>
    <w:rsid w:val="00A87936"/>
    <w:rsid w:val="00A87BDE"/>
    <w:rsid w:val="00A87C09"/>
    <w:rsid w:val="00A87D0F"/>
    <w:rsid w:val="00A87D2C"/>
    <w:rsid w:val="00A9006B"/>
    <w:rsid w:val="00A913A3"/>
    <w:rsid w:val="00A91589"/>
    <w:rsid w:val="00A91931"/>
    <w:rsid w:val="00A9196B"/>
    <w:rsid w:val="00A91D77"/>
    <w:rsid w:val="00A92431"/>
    <w:rsid w:val="00A92907"/>
    <w:rsid w:val="00A93391"/>
    <w:rsid w:val="00A94A26"/>
    <w:rsid w:val="00A95BC5"/>
    <w:rsid w:val="00A95E03"/>
    <w:rsid w:val="00A96986"/>
    <w:rsid w:val="00A96AF6"/>
    <w:rsid w:val="00A96F86"/>
    <w:rsid w:val="00A96FBD"/>
    <w:rsid w:val="00A97306"/>
    <w:rsid w:val="00AA0C45"/>
    <w:rsid w:val="00AA0C4F"/>
    <w:rsid w:val="00AA16BD"/>
    <w:rsid w:val="00AA16DD"/>
    <w:rsid w:val="00AA172E"/>
    <w:rsid w:val="00AA1EB8"/>
    <w:rsid w:val="00AA2226"/>
    <w:rsid w:val="00AA298F"/>
    <w:rsid w:val="00AA2D25"/>
    <w:rsid w:val="00AA2F6A"/>
    <w:rsid w:val="00AA331E"/>
    <w:rsid w:val="00AA345B"/>
    <w:rsid w:val="00AA3CA7"/>
    <w:rsid w:val="00AA3DFB"/>
    <w:rsid w:val="00AA4110"/>
    <w:rsid w:val="00AA4AF7"/>
    <w:rsid w:val="00AA516F"/>
    <w:rsid w:val="00AA5571"/>
    <w:rsid w:val="00AA5634"/>
    <w:rsid w:val="00AA59AB"/>
    <w:rsid w:val="00AA609B"/>
    <w:rsid w:val="00AA62F9"/>
    <w:rsid w:val="00AA6F7C"/>
    <w:rsid w:val="00AA70EA"/>
    <w:rsid w:val="00AA720E"/>
    <w:rsid w:val="00AA74D5"/>
    <w:rsid w:val="00AA7615"/>
    <w:rsid w:val="00AA7B65"/>
    <w:rsid w:val="00AA7CB0"/>
    <w:rsid w:val="00AB006C"/>
    <w:rsid w:val="00AB135E"/>
    <w:rsid w:val="00AB259F"/>
    <w:rsid w:val="00AB2637"/>
    <w:rsid w:val="00AB28A5"/>
    <w:rsid w:val="00AB301E"/>
    <w:rsid w:val="00AB42E1"/>
    <w:rsid w:val="00AB45BE"/>
    <w:rsid w:val="00AB4A75"/>
    <w:rsid w:val="00AB4F0F"/>
    <w:rsid w:val="00AB4FE8"/>
    <w:rsid w:val="00AB501A"/>
    <w:rsid w:val="00AB616D"/>
    <w:rsid w:val="00AB64E5"/>
    <w:rsid w:val="00AB671E"/>
    <w:rsid w:val="00AB686A"/>
    <w:rsid w:val="00AB70F7"/>
    <w:rsid w:val="00AB71ED"/>
    <w:rsid w:val="00AB7C9D"/>
    <w:rsid w:val="00AC0200"/>
    <w:rsid w:val="00AC0615"/>
    <w:rsid w:val="00AC1C20"/>
    <w:rsid w:val="00AC1DBD"/>
    <w:rsid w:val="00AC29D7"/>
    <w:rsid w:val="00AC3276"/>
    <w:rsid w:val="00AC3B4B"/>
    <w:rsid w:val="00AC3B67"/>
    <w:rsid w:val="00AC3F7F"/>
    <w:rsid w:val="00AC4384"/>
    <w:rsid w:val="00AC4830"/>
    <w:rsid w:val="00AC49B6"/>
    <w:rsid w:val="00AC4E9A"/>
    <w:rsid w:val="00AC59AB"/>
    <w:rsid w:val="00AC5A0B"/>
    <w:rsid w:val="00AC5CCB"/>
    <w:rsid w:val="00AC62B5"/>
    <w:rsid w:val="00AC65B4"/>
    <w:rsid w:val="00AC65DD"/>
    <w:rsid w:val="00AC6F9F"/>
    <w:rsid w:val="00AC6FC4"/>
    <w:rsid w:val="00AC73C6"/>
    <w:rsid w:val="00AC7814"/>
    <w:rsid w:val="00AC7840"/>
    <w:rsid w:val="00AC7983"/>
    <w:rsid w:val="00AD028E"/>
    <w:rsid w:val="00AD034E"/>
    <w:rsid w:val="00AD0A84"/>
    <w:rsid w:val="00AD19CD"/>
    <w:rsid w:val="00AD1D82"/>
    <w:rsid w:val="00AD1E53"/>
    <w:rsid w:val="00AD1E88"/>
    <w:rsid w:val="00AD209F"/>
    <w:rsid w:val="00AD20B3"/>
    <w:rsid w:val="00AD22FE"/>
    <w:rsid w:val="00AD2B58"/>
    <w:rsid w:val="00AD2B88"/>
    <w:rsid w:val="00AD2DFD"/>
    <w:rsid w:val="00AD3769"/>
    <w:rsid w:val="00AD3EF1"/>
    <w:rsid w:val="00AD4395"/>
    <w:rsid w:val="00AD4493"/>
    <w:rsid w:val="00AD484E"/>
    <w:rsid w:val="00AD5336"/>
    <w:rsid w:val="00AD58DD"/>
    <w:rsid w:val="00AD5983"/>
    <w:rsid w:val="00AD79B6"/>
    <w:rsid w:val="00AE01CF"/>
    <w:rsid w:val="00AE03CA"/>
    <w:rsid w:val="00AE084B"/>
    <w:rsid w:val="00AE094B"/>
    <w:rsid w:val="00AE1460"/>
    <w:rsid w:val="00AE1672"/>
    <w:rsid w:val="00AE19F5"/>
    <w:rsid w:val="00AE1B0C"/>
    <w:rsid w:val="00AE1F46"/>
    <w:rsid w:val="00AE2365"/>
    <w:rsid w:val="00AE2770"/>
    <w:rsid w:val="00AE2832"/>
    <w:rsid w:val="00AE32E4"/>
    <w:rsid w:val="00AE33FC"/>
    <w:rsid w:val="00AE36CE"/>
    <w:rsid w:val="00AE49F6"/>
    <w:rsid w:val="00AE4B3D"/>
    <w:rsid w:val="00AE5139"/>
    <w:rsid w:val="00AE537F"/>
    <w:rsid w:val="00AE5474"/>
    <w:rsid w:val="00AE63E7"/>
    <w:rsid w:val="00AE6B74"/>
    <w:rsid w:val="00AE6D6F"/>
    <w:rsid w:val="00AE6E0B"/>
    <w:rsid w:val="00AE7772"/>
    <w:rsid w:val="00AE7EC3"/>
    <w:rsid w:val="00AF07D9"/>
    <w:rsid w:val="00AF0827"/>
    <w:rsid w:val="00AF09D4"/>
    <w:rsid w:val="00AF0E26"/>
    <w:rsid w:val="00AF103C"/>
    <w:rsid w:val="00AF1C42"/>
    <w:rsid w:val="00AF1EA5"/>
    <w:rsid w:val="00AF2D4E"/>
    <w:rsid w:val="00AF2E5D"/>
    <w:rsid w:val="00AF41BD"/>
    <w:rsid w:val="00AF47EE"/>
    <w:rsid w:val="00AF4CAC"/>
    <w:rsid w:val="00AF53BE"/>
    <w:rsid w:val="00AF6352"/>
    <w:rsid w:val="00AF66E9"/>
    <w:rsid w:val="00AF6904"/>
    <w:rsid w:val="00AF6CCB"/>
    <w:rsid w:val="00AF73DD"/>
    <w:rsid w:val="00AF7628"/>
    <w:rsid w:val="00AF77A3"/>
    <w:rsid w:val="00B0038E"/>
    <w:rsid w:val="00B0170F"/>
    <w:rsid w:val="00B01C4E"/>
    <w:rsid w:val="00B02C93"/>
    <w:rsid w:val="00B031AF"/>
    <w:rsid w:val="00B0392F"/>
    <w:rsid w:val="00B03A69"/>
    <w:rsid w:val="00B0512C"/>
    <w:rsid w:val="00B058B0"/>
    <w:rsid w:val="00B05AE3"/>
    <w:rsid w:val="00B05F51"/>
    <w:rsid w:val="00B06079"/>
    <w:rsid w:val="00B0619D"/>
    <w:rsid w:val="00B06949"/>
    <w:rsid w:val="00B069C2"/>
    <w:rsid w:val="00B06BCA"/>
    <w:rsid w:val="00B076C5"/>
    <w:rsid w:val="00B07D68"/>
    <w:rsid w:val="00B07E39"/>
    <w:rsid w:val="00B110D1"/>
    <w:rsid w:val="00B11BED"/>
    <w:rsid w:val="00B12FE7"/>
    <w:rsid w:val="00B14EEC"/>
    <w:rsid w:val="00B14EFD"/>
    <w:rsid w:val="00B14F3F"/>
    <w:rsid w:val="00B16748"/>
    <w:rsid w:val="00B1768A"/>
    <w:rsid w:val="00B17E9E"/>
    <w:rsid w:val="00B20131"/>
    <w:rsid w:val="00B2014B"/>
    <w:rsid w:val="00B211F1"/>
    <w:rsid w:val="00B21443"/>
    <w:rsid w:val="00B2153D"/>
    <w:rsid w:val="00B21924"/>
    <w:rsid w:val="00B21B45"/>
    <w:rsid w:val="00B21C69"/>
    <w:rsid w:val="00B2209A"/>
    <w:rsid w:val="00B23A34"/>
    <w:rsid w:val="00B24302"/>
    <w:rsid w:val="00B246DB"/>
    <w:rsid w:val="00B24761"/>
    <w:rsid w:val="00B24A31"/>
    <w:rsid w:val="00B254C7"/>
    <w:rsid w:val="00B263E5"/>
    <w:rsid w:val="00B264B4"/>
    <w:rsid w:val="00B265E3"/>
    <w:rsid w:val="00B26E63"/>
    <w:rsid w:val="00B271A9"/>
    <w:rsid w:val="00B271DC"/>
    <w:rsid w:val="00B275B6"/>
    <w:rsid w:val="00B27785"/>
    <w:rsid w:val="00B27906"/>
    <w:rsid w:val="00B2796E"/>
    <w:rsid w:val="00B27EE8"/>
    <w:rsid w:val="00B304DB"/>
    <w:rsid w:val="00B30502"/>
    <w:rsid w:val="00B30C5A"/>
    <w:rsid w:val="00B30F1D"/>
    <w:rsid w:val="00B311A1"/>
    <w:rsid w:val="00B31215"/>
    <w:rsid w:val="00B31757"/>
    <w:rsid w:val="00B31848"/>
    <w:rsid w:val="00B31936"/>
    <w:rsid w:val="00B31E7C"/>
    <w:rsid w:val="00B321F9"/>
    <w:rsid w:val="00B32CBE"/>
    <w:rsid w:val="00B32D10"/>
    <w:rsid w:val="00B33084"/>
    <w:rsid w:val="00B333FF"/>
    <w:rsid w:val="00B33462"/>
    <w:rsid w:val="00B33900"/>
    <w:rsid w:val="00B33A39"/>
    <w:rsid w:val="00B33D20"/>
    <w:rsid w:val="00B33E8E"/>
    <w:rsid w:val="00B346B0"/>
    <w:rsid w:val="00B34FAD"/>
    <w:rsid w:val="00B34FCD"/>
    <w:rsid w:val="00B35014"/>
    <w:rsid w:val="00B35290"/>
    <w:rsid w:val="00B355BD"/>
    <w:rsid w:val="00B366FC"/>
    <w:rsid w:val="00B36C8D"/>
    <w:rsid w:val="00B36E23"/>
    <w:rsid w:val="00B3787D"/>
    <w:rsid w:val="00B37A3A"/>
    <w:rsid w:val="00B37B62"/>
    <w:rsid w:val="00B37E24"/>
    <w:rsid w:val="00B402DF"/>
    <w:rsid w:val="00B40A75"/>
    <w:rsid w:val="00B40AEA"/>
    <w:rsid w:val="00B40DAE"/>
    <w:rsid w:val="00B40F1F"/>
    <w:rsid w:val="00B41A89"/>
    <w:rsid w:val="00B41F0B"/>
    <w:rsid w:val="00B429C7"/>
    <w:rsid w:val="00B42D9C"/>
    <w:rsid w:val="00B4342C"/>
    <w:rsid w:val="00B435A4"/>
    <w:rsid w:val="00B4445E"/>
    <w:rsid w:val="00B444C8"/>
    <w:rsid w:val="00B44540"/>
    <w:rsid w:val="00B447D2"/>
    <w:rsid w:val="00B44844"/>
    <w:rsid w:val="00B451C9"/>
    <w:rsid w:val="00B452E1"/>
    <w:rsid w:val="00B457C5"/>
    <w:rsid w:val="00B45FF9"/>
    <w:rsid w:val="00B46180"/>
    <w:rsid w:val="00B464FB"/>
    <w:rsid w:val="00B46D41"/>
    <w:rsid w:val="00B471F0"/>
    <w:rsid w:val="00B4751E"/>
    <w:rsid w:val="00B503B5"/>
    <w:rsid w:val="00B50E93"/>
    <w:rsid w:val="00B51CDA"/>
    <w:rsid w:val="00B5204D"/>
    <w:rsid w:val="00B52CD4"/>
    <w:rsid w:val="00B53A72"/>
    <w:rsid w:val="00B53AD2"/>
    <w:rsid w:val="00B544F4"/>
    <w:rsid w:val="00B54701"/>
    <w:rsid w:val="00B54ABF"/>
    <w:rsid w:val="00B55013"/>
    <w:rsid w:val="00B55408"/>
    <w:rsid w:val="00B5562F"/>
    <w:rsid w:val="00B55805"/>
    <w:rsid w:val="00B558FB"/>
    <w:rsid w:val="00B55A7A"/>
    <w:rsid w:val="00B5622A"/>
    <w:rsid w:val="00B5686C"/>
    <w:rsid w:val="00B56F06"/>
    <w:rsid w:val="00B570DF"/>
    <w:rsid w:val="00B575F9"/>
    <w:rsid w:val="00B57EFF"/>
    <w:rsid w:val="00B57F90"/>
    <w:rsid w:val="00B608D1"/>
    <w:rsid w:val="00B60D75"/>
    <w:rsid w:val="00B61B6B"/>
    <w:rsid w:val="00B6202F"/>
    <w:rsid w:val="00B62A25"/>
    <w:rsid w:val="00B634E6"/>
    <w:rsid w:val="00B63EDA"/>
    <w:rsid w:val="00B63EF0"/>
    <w:rsid w:val="00B64C96"/>
    <w:rsid w:val="00B65ED2"/>
    <w:rsid w:val="00B66DFC"/>
    <w:rsid w:val="00B67120"/>
    <w:rsid w:val="00B67319"/>
    <w:rsid w:val="00B7026A"/>
    <w:rsid w:val="00B70B08"/>
    <w:rsid w:val="00B70B42"/>
    <w:rsid w:val="00B70BE0"/>
    <w:rsid w:val="00B71E72"/>
    <w:rsid w:val="00B72449"/>
    <w:rsid w:val="00B72D2F"/>
    <w:rsid w:val="00B730BD"/>
    <w:rsid w:val="00B7340B"/>
    <w:rsid w:val="00B73977"/>
    <w:rsid w:val="00B74674"/>
    <w:rsid w:val="00B74E41"/>
    <w:rsid w:val="00B75A9C"/>
    <w:rsid w:val="00B763D0"/>
    <w:rsid w:val="00B769CF"/>
    <w:rsid w:val="00B76AE3"/>
    <w:rsid w:val="00B76D7C"/>
    <w:rsid w:val="00B770AF"/>
    <w:rsid w:val="00B771D4"/>
    <w:rsid w:val="00B77213"/>
    <w:rsid w:val="00B778A4"/>
    <w:rsid w:val="00B80350"/>
    <w:rsid w:val="00B80A01"/>
    <w:rsid w:val="00B80CC3"/>
    <w:rsid w:val="00B80F3B"/>
    <w:rsid w:val="00B81C52"/>
    <w:rsid w:val="00B8255A"/>
    <w:rsid w:val="00B8264A"/>
    <w:rsid w:val="00B837AB"/>
    <w:rsid w:val="00B83AE9"/>
    <w:rsid w:val="00B83DB8"/>
    <w:rsid w:val="00B83F94"/>
    <w:rsid w:val="00B83F9B"/>
    <w:rsid w:val="00B8417E"/>
    <w:rsid w:val="00B841EC"/>
    <w:rsid w:val="00B847CA"/>
    <w:rsid w:val="00B84D05"/>
    <w:rsid w:val="00B8554B"/>
    <w:rsid w:val="00B85B37"/>
    <w:rsid w:val="00B85B87"/>
    <w:rsid w:val="00B85CE6"/>
    <w:rsid w:val="00B85D5A"/>
    <w:rsid w:val="00B86507"/>
    <w:rsid w:val="00B86523"/>
    <w:rsid w:val="00B868FE"/>
    <w:rsid w:val="00B9044C"/>
    <w:rsid w:val="00B908D9"/>
    <w:rsid w:val="00B90CA7"/>
    <w:rsid w:val="00B919C7"/>
    <w:rsid w:val="00B924CD"/>
    <w:rsid w:val="00B928C5"/>
    <w:rsid w:val="00B93349"/>
    <w:rsid w:val="00B938B3"/>
    <w:rsid w:val="00B93938"/>
    <w:rsid w:val="00B94230"/>
    <w:rsid w:val="00B95AD1"/>
    <w:rsid w:val="00B95BA6"/>
    <w:rsid w:val="00B95CB9"/>
    <w:rsid w:val="00B962B6"/>
    <w:rsid w:val="00B96594"/>
    <w:rsid w:val="00B96B2E"/>
    <w:rsid w:val="00B971AE"/>
    <w:rsid w:val="00B975CB"/>
    <w:rsid w:val="00BA03AB"/>
    <w:rsid w:val="00BA1296"/>
    <w:rsid w:val="00BA265E"/>
    <w:rsid w:val="00BA2DFA"/>
    <w:rsid w:val="00BA2FF6"/>
    <w:rsid w:val="00BA3033"/>
    <w:rsid w:val="00BA386E"/>
    <w:rsid w:val="00BA3E43"/>
    <w:rsid w:val="00BA4D1F"/>
    <w:rsid w:val="00BA4EB8"/>
    <w:rsid w:val="00BA512F"/>
    <w:rsid w:val="00BA5763"/>
    <w:rsid w:val="00BA5A0E"/>
    <w:rsid w:val="00BA603D"/>
    <w:rsid w:val="00BB014C"/>
    <w:rsid w:val="00BB0943"/>
    <w:rsid w:val="00BB0F2C"/>
    <w:rsid w:val="00BB1E1E"/>
    <w:rsid w:val="00BB274B"/>
    <w:rsid w:val="00BB2A96"/>
    <w:rsid w:val="00BB31E1"/>
    <w:rsid w:val="00BB38A8"/>
    <w:rsid w:val="00BB3E16"/>
    <w:rsid w:val="00BB41A1"/>
    <w:rsid w:val="00BB421D"/>
    <w:rsid w:val="00BB428C"/>
    <w:rsid w:val="00BB43CA"/>
    <w:rsid w:val="00BB49FD"/>
    <w:rsid w:val="00BB54C9"/>
    <w:rsid w:val="00BB5BB0"/>
    <w:rsid w:val="00BB68C7"/>
    <w:rsid w:val="00BB6E04"/>
    <w:rsid w:val="00BB6EC0"/>
    <w:rsid w:val="00BC0570"/>
    <w:rsid w:val="00BC05E1"/>
    <w:rsid w:val="00BC0704"/>
    <w:rsid w:val="00BC081D"/>
    <w:rsid w:val="00BC0F9D"/>
    <w:rsid w:val="00BC154D"/>
    <w:rsid w:val="00BC209F"/>
    <w:rsid w:val="00BC25AB"/>
    <w:rsid w:val="00BC26B3"/>
    <w:rsid w:val="00BC2A96"/>
    <w:rsid w:val="00BC2ACA"/>
    <w:rsid w:val="00BC2FB5"/>
    <w:rsid w:val="00BC35A8"/>
    <w:rsid w:val="00BC35DB"/>
    <w:rsid w:val="00BC3BDE"/>
    <w:rsid w:val="00BC3F38"/>
    <w:rsid w:val="00BC4148"/>
    <w:rsid w:val="00BC44C1"/>
    <w:rsid w:val="00BC46E2"/>
    <w:rsid w:val="00BC4BAF"/>
    <w:rsid w:val="00BC5325"/>
    <w:rsid w:val="00BC57B1"/>
    <w:rsid w:val="00BC6038"/>
    <w:rsid w:val="00BC6564"/>
    <w:rsid w:val="00BC6A6B"/>
    <w:rsid w:val="00BC6CE8"/>
    <w:rsid w:val="00BC6E4D"/>
    <w:rsid w:val="00BC6F71"/>
    <w:rsid w:val="00BC767F"/>
    <w:rsid w:val="00BC7A30"/>
    <w:rsid w:val="00BD045A"/>
    <w:rsid w:val="00BD08CE"/>
    <w:rsid w:val="00BD10B4"/>
    <w:rsid w:val="00BD178F"/>
    <w:rsid w:val="00BD318E"/>
    <w:rsid w:val="00BD35EE"/>
    <w:rsid w:val="00BD376B"/>
    <w:rsid w:val="00BD3C16"/>
    <w:rsid w:val="00BD3FB0"/>
    <w:rsid w:val="00BD4670"/>
    <w:rsid w:val="00BD49A0"/>
    <w:rsid w:val="00BD4A35"/>
    <w:rsid w:val="00BD512D"/>
    <w:rsid w:val="00BD57DE"/>
    <w:rsid w:val="00BD5978"/>
    <w:rsid w:val="00BD697F"/>
    <w:rsid w:val="00BD69F5"/>
    <w:rsid w:val="00BD6BE0"/>
    <w:rsid w:val="00BD6CEF"/>
    <w:rsid w:val="00BE0270"/>
    <w:rsid w:val="00BE06B7"/>
    <w:rsid w:val="00BE0DEC"/>
    <w:rsid w:val="00BE2FBA"/>
    <w:rsid w:val="00BE44A0"/>
    <w:rsid w:val="00BE48F8"/>
    <w:rsid w:val="00BE4EA8"/>
    <w:rsid w:val="00BE598E"/>
    <w:rsid w:val="00BE7D6E"/>
    <w:rsid w:val="00BF016A"/>
    <w:rsid w:val="00BF0F92"/>
    <w:rsid w:val="00BF11D0"/>
    <w:rsid w:val="00BF1D3C"/>
    <w:rsid w:val="00BF2DA0"/>
    <w:rsid w:val="00BF2E3E"/>
    <w:rsid w:val="00BF2EEE"/>
    <w:rsid w:val="00BF305C"/>
    <w:rsid w:val="00BF418F"/>
    <w:rsid w:val="00BF41DA"/>
    <w:rsid w:val="00BF42AE"/>
    <w:rsid w:val="00BF44CE"/>
    <w:rsid w:val="00BF46D9"/>
    <w:rsid w:val="00BF4A9D"/>
    <w:rsid w:val="00BF4D55"/>
    <w:rsid w:val="00BF4F18"/>
    <w:rsid w:val="00BF558B"/>
    <w:rsid w:val="00BF5697"/>
    <w:rsid w:val="00BF5D82"/>
    <w:rsid w:val="00BF5DE5"/>
    <w:rsid w:val="00BF68A8"/>
    <w:rsid w:val="00BF736A"/>
    <w:rsid w:val="00BF74D5"/>
    <w:rsid w:val="00BF7997"/>
    <w:rsid w:val="00BF7A27"/>
    <w:rsid w:val="00BF7FE8"/>
    <w:rsid w:val="00C00483"/>
    <w:rsid w:val="00C00592"/>
    <w:rsid w:val="00C00763"/>
    <w:rsid w:val="00C00DE4"/>
    <w:rsid w:val="00C02307"/>
    <w:rsid w:val="00C024A1"/>
    <w:rsid w:val="00C02CCA"/>
    <w:rsid w:val="00C02F27"/>
    <w:rsid w:val="00C02F4B"/>
    <w:rsid w:val="00C03BB1"/>
    <w:rsid w:val="00C04971"/>
    <w:rsid w:val="00C051DC"/>
    <w:rsid w:val="00C05A43"/>
    <w:rsid w:val="00C05E4B"/>
    <w:rsid w:val="00C0643B"/>
    <w:rsid w:val="00C07D91"/>
    <w:rsid w:val="00C1020F"/>
    <w:rsid w:val="00C10359"/>
    <w:rsid w:val="00C1036A"/>
    <w:rsid w:val="00C10BF2"/>
    <w:rsid w:val="00C10E02"/>
    <w:rsid w:val="00C10FE8"/>
    <w:rsid w:val="00C1313C"/>
    <w:rsid w:val="00C13529"/>
    <w:rsid w:val="00C13F0A"/>
    <w:rsid w:val="00C1420C"/>
    <w:rsid w:val="00C142EF"/>
    <w:rsid w:val="00C14A98"/>
    <w:rsid w:val="00C167EC"/>
    <w:rsid w:val="00C170D1"/>
    <w:rsid w:val="00C17BD2"/>
    <w:rsid w:val="00C17F21"/>
    <w:rsid w:val="00C17F3C"/>
    <w:rsid w:val="00C20AD1"/>
    <w:rsid w:val="00C210E8"/>
    <w:rsid w:val="00C21597"/>
    <w:rsid w:val="00C2184E"/>
    <w:rsid w:val="00C21B37"/>
    <w:rsid w:val="00C22A83"/>
    <w:rsid w:val="00C230FD"/>
    <w:rsid w:val="00C237C0"/>
    <w:rsid w:val="00C23F10"/>
    <w:rsid w:val="00C2433F"/>
    <w:rsid w:val="00C248C0"/>
    <w:rsid w:val="00C25125"/>
    <w:rsid w:val="00C25726"/>
    <w:rsid w:val="00C2609B"/>
    <w:rsid w:val="00C278DA"/>
    <w:rsid w:val="00C27D1E"/>
    <w:rsid w:val="00C27E47"/>
    <w:rsid w:val="00C30106"/>
    <w:rsid w:val="00C3078D"/>
    <w:rsid w:val="00C30926"/>
    <w:rsid w:val="00C30A99"/>
    <w:rsid w:val="00C30CAB"/>
    <w:rsid w:val="00C315E3"/>
    <w:rsid w:val="00C31905"/>
    <w:rsid w:val="00C324B0"/>
    <w:rsid w:val="00C327CB"/>
    <w:rsid w:val="00C32976"/>
    <w:rsid w:val="00C32E6C"/>
    <w:rsid w:val="00C33026"/>
    <w:rsid w:val="00C331D2"/>
    <w:rsid w:val="00C334AD"/>
    <w:rsid w:val="00C34226"/>
    <w:rsid w:val="00C34B23"/>
    <w:rsid w:val="00C34C01"/>
    <w:rsid w:val="00C35C5D"/>
    <w:rsid w:val="00C35FAC"/>
    <w:rsid w:val="00C4047A"/>
    <w:rsid w:val="00C4155C"/>
    <w:rsid w:val="00C41AD3"/>
    <w:rsid w:val="00C41ADF"/>
    <w:rsid w:val="00C41AFF"/>
    <w:rsid w:val="00C424AF"/>
    <w:rsid w:val="00C42695"/>
    <w:rsid w:val="00C42A59"/>
    <w:rsid w:val="00C42ECC"/>
    <w:rsid w:val="00C43428"/>
    <w:rsid w:val="00C43CE3"/>
    <w:rsid w:val="00C43E8E"/>
    <w:rsid w:val="00C44391"/>
    <w:rsid w:val="00C44479"/>
    <w:rsid w:val="00C4449A"/>
    <w:rsid w:val="00C448C6"/>
    <w:rsid w:val="00C44D33"/>
    <w:rsid w:val="00C44E8F"/>
    <w:rsid w:val="00C45114"/>
    <w:rsid w:val="00C45297"/>
    <w:rsid w:val="00C45BB0"/>
    <w:rsid w:val="00C45CBC"/>
    <w:rsid w:val="00C45F9A"/>
    <w:rsid w:val="00C4649C"/>
    <w:rsid w:val="00C465D8"/>
    <w:rsid w:val="00C467DB"/>
    <w:rsid w:val="00C4689B"/>
    <w:rsid w:val="00C472C4"/>
    <w:rsid w:val="00C47423"/>
    <w:rsid w:val="00C47829"/>
    <w:rsid w:val="00C47FA3"/>
    <w:rsid w:val="00C5023A"/>
    <w:rsid w:val="00C50BCD"/>
    <w:rsid w:val="00C50C93"/>
    <w:rsid w:val="00C513BA"/>
    <w:rsid w:val="00C513C4"/>
    <w:rsid w:val="00C5140B"/>
    <w:rsid w:val="00C514C8"/>
    <w:rsid w:val="00C51526"/>
    <w:rsid w:val="00C51537"/>
    <w:rsid w:val="00C51659"/>
    <w:rsid w:val="00C517AF"/>
    <w:rsid w:val="00C52582"/>
    <w:rsid w:val="00C5315F"/>
    <w:rsid w:val="00C53173"/>
    <w:rsid w:val="00C5504B"/>
    <w:rsid w:val="00C550F5"/>
    <w:rsid w:val="00C561E0"/>
    <w:rsid w:val="00C5645D"/>
    <w:rsid w:val="00C56A05"/>
    <w:rsid w:val="00C56C1A"/>
    <w:rsid w:val="00C60BE1"/>
    <w:rsid w:val="00C60EE4"/>
    <w:rsid w:val="00C60FD5"/>
    <w:rsid w:val="00C61111"/>
    <w:rsid w:val="00C6189A"/>
    <w:rsid w:val="00C62079"/>
    <w:rsid w:val="00C62742"/>
    <w:rsid w:val="00C63589"/>
    <w:rsid w:val="00C63F81"/>
    <w:rsid w:val="00C63FD4"/>
    <w:rsid w:val="00C640DA"/>
    <w:rsid w:val="00C644DA"/>
    <w:rsid w:val="00C64584"/>
    <w:rsid w:val="00C64BBF"/>
    <w:rsid w:val="00C6506A"/>
    <w:rsid w:val="00C65699"/>
    <w:rsid w:val="00C666C7"/>
    <w:rsid w:val="00C670AE"/>
    <w:rsid w:val="00C67219"/>
    <w:rsid w:val="00C705CC"/>
    <w:rsid w:val="00C70671"/>
    <w:rsid w:val="00C70B24"/>
    <w:rsid w:val="00C70BCA"/>
    <w:rsid w:val="00C70C9E"/>
    <w:rsid w:val="00C7104B"/>
    <w:rsid w:val="00C719D8"/>
    <w:rsid w:val="00C720BC"/>
    <w:rsid w:val="00C72F35"/>
    <w:rsid w:val="00C738A4"/>
    <w:rsid w:val="00C74816"/>
    <w:rsid w:val="00C74863"/>
    <w:rsid w:val="00C74E55"/>
    <w:rsid w:val="00C74FB1"/>
    <w:rsid w:val="00C757D5"/>
    <w:rsid w:val="00C75AC3"/>
    <w:rsid w:val="00C75E6B"/>
    <w:rsid w:val="00C768AF"/>
    <w:rsid w:val="00C76B11"/>
    <w:rsid w:val="00C76C97"/>
    <w:rsid w:val="00C76D79"/>
    <w:rsid w:val="00C7702A"/>
    <w:rsid w:val="00C77346"/>
    <w:rsid w:val="00C801EB"/>
    <w:rsid w:val="00C80530"/>
    <w:rsid w:val="00C809D1"/>
    <w:rsid w:val="00C80C0E"/>
    <w:rsid w:val="00C80E4D"/>
    <w:rsid w:val="00C811E7"/>
    <w:rsid w:val="00C81825"/>
    <w:rsid w:val="00C81882"/>
    <w:rsid w:val="00C81977"/>
    <w:rsid w:val="00C81A2F"/>
    <w:rsid w:val="00C82203"/>
    <w:rsid w:val="00C823E5"/>
    <w:rsid w:val="00C82574"/>
    <w:rsid w:val="00C82C95"/>
    <w:rsid w:val="00C82E0D"/>
    <w:rsid w:val="00C83919"/>
    <w:rsid w:val="00C83B59"/>
    <w:rsid w:val="00C83C3E"/>
    <w:rsid w:val="00C83D8D"/>
    <w:rsid w:val="00C84AE6"/>
    <w:rsid w:val="00C858D7"/>
    <w:rsid w:val="00C85F26"/>
    <w:rsid w:val="00C86552"/>
    <w:rsid w:val="00C86E76"/>
    <w:rsid w:val="00C86F96"/>
    <w:rsid w:val="00C86FC0"/>
    <w:rsid w:val="00C872DC"/>
    <w:rsid w:val="00C87768"/>
    <w:rsid w:val="00C8776C"/>
    <w:rsid w:val="00C879F6"/>
    <w:rsid w:val="00C9025E"/>
    <w:rsid w:val="00C903A1"/>
    <w:rsid w:val="00C90807"/>
    <w:rsid w:val="00C90E37"/>
    <w:rsid w:val="00C91372"/>
    <w:rsid w:val="00C9166D"/>
    <w:rsid w:val="00C91761"/>
    <w:rsid w:val="00C91C48"/>
    <w:rsid w:val="00C91E51"/>
    <w:rsid w:val="00C920C7"/>
    <w:rsid w:val="00C92526"/>
    <w:rsid w:val="00C92796"/>
    <w:rsid w:val="00C9291A"/>
    <w:rsid w:val="00C929E2"/>
    <w:rsid w:val="00C92F81"/>
    <w:rsid w:val="00C937C9"/>
    <w:rsid w:val="00C93DFC"/>
    <w:rsid w:val="00C93EC6"/>
    <w:rsid w:val="00C949F2"/>
    <w:rsid w:val="00C94B6F"/>
    <w:rsid w:val="00C94ECF"/>
    <w:rsid w:val="00C950E2"/>
    <w:rsid w:val="00C969AE"/>
    <w:rsid w:val="00C9794B"/>
    <w:rsid w:val="00C97D2A"/>
    <w:rsid w:val="00C97E29"/>
    <w:rsid w:val="00C97ECC"/>
    <w:rsid w:val="00C97FB1"/>
    <w:rsid w:val="00C97FDE"/>
    <w:rsid w:val="00CA0C0B"/>
    <w:rsid w:val="00CA19A4"/>
    <w:rsid w:val="00CA22B1"/>
    <w:rsid w:val="00CA25C9"/>
    <w:rsid w:val="00CA2B7A"/>
    <w:rsid w:val="00CA3163"/>
    <w:rsid w:val="00CA33FF"/>
    <w:rsid w:val="00CA38C2"/>
    <w:rsid w:val="00CA4B45"/>
    <w:rsid w:val="00CA5761"/>
    <w:rsid w:val="00CA5960"/>
    <w:rsid w:val="00CA6334"/>
    <w:rsid w:val="00CA6DA1"/>
    <w:rsid w:val="00CB0318"/>
    <w:rsid w:val="00CB0D5C"/>
    <w:rsid w:val="00CB1688"/>
    <w:rsid w:val="00CB1F16"/>
    <w:rsid w:val="00CB22EE"/>
    <w:rsid w:val="00CB258C"/>
    <w:rsid w:val="00CB2BAF"/>
    <w:rsid w:val="00CB48B6"/>
    <w:rsid w:val="00CB59C3"/>
    <w:rsid w:val="00CB5CA2"/>
    <w:rsid w:val="00CB5E44"/>
    <w:rsid w:val="00CB6093"/>
    <w:rsid w:val="00CB61D0"/>
    <w:rsid w:val="00CB69CA"/>
    <w:rsid w:val="00CB70E6"/>
    <w:rsid w:val="00CB7DE7"/>
    <w:rsid w:val="00CC061A"/>
    <w:rsid w:val="00CC1512"/>
    <w:rsid w:val="00CC1961"/>
    <w:rsid w:val="00CC196A"/>
    <w:rsid w:val="00CC2A1B"/>
    <w:rsid w:val="00CC360A"/>
    <w:rsid w:val="00CC380A"/>
    <w:rsid w:val="00CC3AE5"/>
    <w:rsid w:val="00CC3AE9"/>
    <w:rsid w:val="00CC3F55"/>
    <w:rsid w:val="00CC417D"/>
    <w:rsid w:val="00CC433C"/>
    <w:rsid w:val="00CC5845"/>
    <w:rsid w:val="00CC5AF2"/>
    <w:rsid w:val="00CC6191"/>
    <w:rsid w:val="00CC6346"/>
    <w:rsid w:val="00CC6374"/>
    <w:rsid w:val="00CC7863"/>
    <w:rsid w:val="00CD0649"/>
    <w:rsid w:val="00CD09BD"/>
    <w:rsid w:val="00CD0C34"/>
    <w:rsid w:val="00CD1CA7"/>
    <w:rsid w:val="00CD2026"/>
    <w:rsid w:val="00CD27D0"/>
    <w:rsid w:val="00CD2D36"/>
    <w:rsid w:val="00CD2F42"/>
    <w:rsid w:val="00CD341F"/>
    <w:rsid w:val="00CD391E"/>
    <w:rsid w:val="00CD3BBC"/>
    <w:rsid w:val="00CD3E8D"/>
    <w:rsid w:val="00CD470D"/>
    <w:rsid w:val="00CD50BF"/>
    <w:rsid w:val="00CD51E1"/>
    <w:rsid w:val="00CD590E"/>
    <w:rsid w:val="00CD6385"/>
    <w:rsid w:val="00CD6904"/>
    <w:rsid w:val="00CD730D"/>
    <w:rsid w:val="00CD7973"/>
    <w:rsid w:val="00CE09DE"/>
    <w:rsid w:val="00CE1679"/>
    <w:rsid w:val="00CE1C4E"/>
    <w:rsid w:val="00CE239C"/>
    <w:rsid w:val="00CE4240"/>
    <w:rsid w:val="00CE4653"/>
    <w:rsid w:val="00CE49A8"/>
    <w:rsid w:val="00CE574B"/>
    <w:rsid w:val="00CE5F1A"/>
    <w:rsid w:val="00CE6133"/>
    <w:rsid w:val="00CE682A"/>
    <w:rsid w:val="00CE6DB3"/>
    <w:rsid w:val="00CE7058"/>
    <w:rsid w:val="00CE709F"/>
    <w:rsid w:val="00CE73A5"/>
    <w:rsid w:val="00CE744A"/>
    <w:rsid w:val="00CE77AA"/>
    <w:rsid w:val="00CE7D33"/>
    <w:rsid w:val="00CF0385"/>
    <w:rsid w:val="00CF03E9"/>
    <w:rsid w:val="00CF0D06"/>
    <w:rsid w:val="00CF156A"/>
    <w:rsid w:val="00CF1A07"/>
    <w:rsid w:val="00CF1F28"/>
    <w:rsid w:val="00CF1F92"/>
    <w:rsid w:val="00CF2456"/>
    <w:rsid w:val="00CF265A"/>
    <w:rsid w:val="00CF2A26"/>
    <w:rsid w:val="00CF34FA"/>
    <w:rsid w:val="00CF3952"/>
    <w:rsid w:val="00CF422B"/>
    <w:rsid w:val="00CF475E"/>
    <w:rsid w:val="00CF4D3D"/>
    <w:rsid w:val="00CF503C"/>
    <w:rsid w:val="00CF5255"/>
    <w:rsid w:val="00CF69E0"/>
    <w:rsid w:val="00CF7387"/>
    <w:rsid w:val="00CF76D5"/>
    <w:rsid w:val="00CF7869"/>
    <w:rsid w:val="00CF7E30"/>
    <w:rsid w:val="00D019E1"/>
    <w:rsid w:val="00D02FA6"/>
    <w:rsid w:val="00D03A38"/>
    <w:rsid w:val="00D03B73"/>
    <w:rsid w:val="00D04A07"/>
    <w:rsid w:val="00D04EE9"/>
    <w:rsid w:val="00D054A9"/>
    <w:rsid w:val="00D0588F"/>
    <w:rsid w:val="00D0657C"/>
    <w:rsid w:val="00D06E2B"/>
    <w:rsid w:val="00D07075"/>
    <w:rsid w:val="00D077A6"/>
    <w:rsid w:val="00D126F4"/>
    <w:rsid w:val="00D131E6"/>
    <w:rsid w:val="00D13240"/>
    <w:rsid w:val="00D1339D"/>
    <w:rsid w:val="00D1349A"/>
    <w:rsid w:val="00D134E0"/>
    <w:rsid w:val="00D138FE"/>
    <w:rsid w:val="00D13F49"/>
    <w:rsid w:val="00D143CD"/>
    <w:rsid w:val="00D1457B"/>
    <w:rsid w:val="00D1493C"/>
    <w:rsid w:val="00D15CFE"/>
    <w:rsid w:val="00D1740D"/>
    <w:rsid w:val="00D17A17"/>
    <w:rsid w:val="00D20910"/>
    <w:rsid w:val="00D21D4C"/>
    <w:rsid w:val="00D2208E"/>
    <w:rsid w:val="00D2220D"/>
    <w:rsid w:val="00D2289D"/>
    <w:rsid w:val="00D23AF5"/>
    <w:rsid w:val="00D23E85"/>
    <w:rsid w:val="00D242B1"/>
    <w:rsid w:val="00D242FD"/>
    <w:rsid w:val="00D2497B"/>
    <w:rsid w:val="00D24D86"/>
    <w:rsid w:val="00D24F9E"/>
    <w:rsid w:val="00D25336"/>
    <w:rsid w:val="00D255FE"/>
    <w:rsid w:val="00D25ACC"/>
    <w:rsid w:val="00D26266"/>
    <w:rsid w:val="00D266B1"/>
    <w:rsid w:val="00D271A0"/>
    <w:rsid w:val="00D277AD"/>
    <w:rsid w:val="00D2791B"/>
    <w:rsid w:val="00D27A2E"/>
    <w:rsid w:val="00D27E2D"/>
    <w:rsid w:val="00D30286"/>
    <w:rsid w:val="00D30D6D"/>
    <w:rsid w:val="00D3141E"/>
    <w:rsid w:val="00D31FC7"/>
    <w:rsid w:val="00D320DB"/>
    <w:rsid w:val="00D326E4"/>
    <w:rsid w:val="00D327CB"/>
    <w:rsid w:val="00D33826"/>
    <w:rsid w:val="00D33E37"/>
    <w:rsid w:val="00D33FDD"/>
    <w:rsid w:val="00D346F6"/>
    <w:rsid w:val="00D34C2A"/>
    <w:rsid w:val="00D35302"/>
    <w:rsid w:val="00D35A38"/>
    <w:rsid w:val="00D362E2"/>
    <w:rsid w:val="00D36686"/>
    <w:rsid w:val="00D36B05"/>
    <w:rsid w:val="00D36FB3"/>
    <w:rsid w:val="00D37339"/>
    <w:rsid w:val="00D37417"/>
    <w:rsid w:val="00D37DBD"/>
    <w:rsid w:val="00D37DEA"/>
    <w:rsid w:val="00D40582"/>
    <w:rsid w:val="00D406A8"/>
    <w:rsid w:val="00D41834"/>
    <w:rsid w:val="00D42B14"/>
    <w:rsid w:val="00D4413B"/>
    <w:rsid w:val="00D44798"/>
    <w:rsid w:val="00D45035"/>
    <w:rsid w:val="00D4516B"/>
    <w:rsid w:val="00D45981"/>
    <w:rsid w:val="00D45B6B"/>
    <w:rsid w:val="00D45B6C"/>
    <w:rsid w:val="00D45E42"/>
    <w:rsid w:val="00D46099"/>
    <w:rsid w:val="00D46145"/>
    <w:rsid w:val="00D4654E"/>
    <w:rsid w:val="00D467E7"/>
    <w:rsid w:val="00D46F9C"/>
    <w:rsid w:val="00D50EDC"/>
    <w:rsid w:val="00D51376"/>
    <w:rsid w:val="00D51C9C"/>
    <w:rsid w:val="00D51E96"/>
    <w:rsid w:val="00D51F85"/>
    <w:rsid w:val="00D5209D"/>
    <w:rsid w:val="00D52CAC"/>
    <w:rsid w:val="00D52E17"/>
    <w:rsid w:val="00D530B7"/>
    <w:rsid w:val="00D53CCB"/>
    <w:rsid w:val="00D53FB3"/>
    <w:rsid w:val="00D54480"/>
    <w:rsid w:val="00D549A0"/>
    <w:rsid w:val="00D54F6A"/>
    <w:rsid w:val="00D55613"/>
    <w:rsid w:val="00D55944"/>
    <w:rsid w:val="00D55AEB"/>
    <w:rsid w:val="00D562D6"/>
    <w:rsid w:val="00D56E22"/>
    <w:rsid w:val="00D5755A"/>
    <w:rsid w:val="00D60485"/>
    <w:rsid w:val="00D6081D"/>
    <w:rsid w:val="00D60FF7"/>
    <w:rsid w:val="00D61262"/>
    <w:rsid w:val="00D61AA8"/>
    <w:rsid w:val="00D61D04"/>
    <w:rsid w:val="00D61FA2"/>
    <w:rsid w:val="00D6287C"/>
    <w:rsid w:val="00D62986"/>
    <w:rsid w:val="00D62E79"/>
    <w:rsid w:val="00D62F02"/>
    <w:rsid w:val="00D632A5"/>
    <w:rsid w:val="00D63393"/>
    <w:rsid w:val="00D6391D"/>
    <w:rsid w:val="00D63BC4"/>
    <w:rsid w:val="00D63C39"/>
    <w:rsid w:val="00D6456E"/>
    <w:rsid w:val="00D64AD3"/>
    <w:rsid w:val="00D64E64"/>
    <w:rsid w:val="00D64FDB"/>
    <w:rsid w:val="00D655DE"/>
    <w:rsid w:val="00D6611B"/>
    <w:rsid w:val="00D66267"/>
    <w:rsid w:val="00D6649F"/>
    <w:rsid w:val="00D66FF0"/>
    <w:rsid w:val="00D679FF"/>
    <w:rsid w:val="00D706E0"/>
    <w:rsid w:val="00D7180A"/>
    <w:rsid w:val="00D71938"/>
    <w:rsid w:val="00D71CC1"/>
    <w:rsid w:val="00D7208A"/>
    <w:rsid w:val="00D729C6"/>
    <w:rsid w:val="00D72B8F"/>
    <w:rsid w:val="00D72C94"/>
    <w:rsid w:val="00D72EB4"/>
    <w:rsid w:val="00D7302A"/>
    <w:rsid w:val="00D7337A"/>
    <w:rsid w:val="00D7348D"/>
    <w:rsid w:val="00D735BF"/>
    <w:rsid w:val="00D73A91"/>
    <w:rsid w:val="00D73D41"/>
    <w:rsid w:val="00D73EDC"/>
    <w:rsid w:val="00D75235"/>
    <w:rsid w:val="00D7531B"/>
    <w:rsid w:val="00D75B70"/>
    <w:rsid w:val="00D76248"/>
    <w:rsid w:val="00D764D4"/>
    <w:rsid w:val="00D76DA5"/>
    <w:rsid w:val="00D777AE"/>
    <w:rsid w:val="00D77AB9"/>
    <w:rsid w:val="00D80C88"/>
    <w:rsid w:val="00D80D0B"/>
    <w:rsid w:val="00D80E3E"/>
    <w:rsid w:val="00D80F14"/>
    <w:rsid w:val="00D811E5"/>
    <w:rsid w:val="00D812B6"/>
    <w:rsid w:val="00D818EC"/>
    <w:rsid w:val="00D81D37"/>
    <w:rsid w:val="00D81F4C"/>
    <w:rsid w:val="00D84307"/>
    <w:rsid w:val="00D86895"/>
    <w:rsid w:val="00D86E87"/>
    <w:rsid w:val="00D86EF5"/>
    <w:rsid w:val="00D90521"/>
    <w:rsid w:val="00D90A9D"/>
    <w:rsid w:val="00D91A79"/>
    <w:rsid w:val="00D91DB7"/>
    <w:rsid w:val="00D9227E"/>
    <w:rsid w:val="00D92453"/>
    <w:rsid w:val="00D92D3E"/>
    <w:rsid w:val="00D93D57"/>
    <w:rsid w:val="00D93E86"/>
    <w:rsid w:val="00D949A5"/>
    <w:rsid w:val="00D95725"/>
    <w:rsid w:val="00D966A2"/>
    <w:rsid w:val="00D96F39"/>
    <w:rsid w:val="00D97557"/>
    <w:rsid w:val="00D97783"/>
    <w:rsid w:val="00D97902"/>
    <w:rsid w:val="00D97AB9"/>
    <w:rsid w:val="00DA0017"/>
    <w:rsid w:val="00DA0064"/>
    <w:rsid w:val="00DA0085"/>
    <w:rsid w:val="00DA06A2"/>
    <w:rsid w:val="00DA13F1"/>
    <w:rsid w:val="00DA1424"/>
    <w:rsid w:val="00DA1CC0"/>
    <w:rsid w:val="00DA2318"/>
    <w:rsid w:val="00DA259F"/>
    <w:rsid w:val="00DA2AB4"/>
    <w:rsid w:val="00DA2CFE"/>
    <w:rsid w:val="00DA2DD6"/>
    <w:rsid w:val="00DA3C59"/>
    <w:rsid w:val="00DA5176"/>
    <w:rsid w:val="00DA56D3"/>
    <w:rsid w:val="00DA62BA"/>
    <w:rsid w:val="00DA65B6"/>
    <w:rsid w:val="00DA665C"/>
    <w:rsid w:val="00DA668A"/>
    <w:rsid w:val="00DA6EDC"/>
    <w:rsid w:val="00DA6F55"/>
    <w:rsid w:val="00DA76F0"/>
    <w:rsid w:val="00DA7BEA"/>
    <w:rsid w:val="00DB0452"/>
    <w:rsid w:val="00DB05A4"/>
    <w:rsid w:val="00DB0673"/>
    <w:rsid w:val="00DB0D94"/>
    <w:rsid w:val="00DB0DE0"/>
    <w:rsid w:val="00DB157D"/>
    <w:rsid w:val="00DB1BA5"/>
    <w:rsid w:val="00DB25EF"/>
    <w:rsid w:val="00DB2B1F"/>
    <w:rsid w:val="00DB2E4E"/>
    <w:rsid w:val="00DB3350"/>
    <w:rsid w:val="00DB366A"/>
    <w:rsid w:val="00DB38B2"/>
    <w:rsid w:val="00DB4419"/>
    <w:rsid w:val="00DB4452"/>
    <w:rsid w:val="00DB4AD9"/>
    <w:rsid w:val="00DB51A1"/>
    <w:rsid w:val="00DB678B"/>
    <w:rsid w:val="00DB68B3"/>
    <w:rsid w:val="00DB6A0E"/>
    <w:rsid w:val="00DB6E2C"/>
    <w:rsid w:val="00DB750D"/>
    <w:rsid w:val="00DB76EF"/>
    <w:rsid w:val="00DB7B4A"/>
    <w:rsid w:val="00DB7CBA"/>
    <w:rsid w:val="00DC0373"/>
    <w:rsid w:val="00DC041F"/>
    <w:rsid w:val="00DC153D"/>
    <w:rsid w:val="00DC1DB2"/>
    <w:rsid w:val="00DC3C14"/>
    <w:rsid w:val="00DC3F29"/>
    <w:rsid w:val="00DC44CE"/>
    <w:rsid w:val="00DC4927"/>
    <w:rsid w:val="00DC492A"/>
    <w:rsid w:val="00DC4A1C"/>
    <w:rsid w:val="00DC5649"/>
    <w:rsid w:val="00DC5846"/>
    <w:rsid w:val="00DC59A4"/>
    <w:rsid w:val="00DC5DF0"/>
    <w:rsid w:val="00DC5EBA"/>
    <w:rsid w:val="00DC6199"/>
    <w:rsid w:val="00DC6812"/>
    <w:rsid w:val="00DC72ED"/>
    <w:rsid w:val="00DC736F"/>
    <w:rsid w:val="00DC7949"/>
    <w:rsid w:val="00DD010B"/>
    <w:rsid w:val="00DD0BE9"/>
    <w:rsid w:val="00DD131F"/>
    <w:rsid w:val="00DD1A95"/>
    <w:rsid w:val="00DD1B46"/>
    <w:rsid w:val="00DD1B79"/>
    <w:rsid w:val="00DD1D25"/>
    <w:rsid w:val="00DD21ED"/>
    <w:rsid w:val="00DD4C1F"/>
    <w:rsid w:val="00DD4F3F"/>
    <w:rsid w:val="00DD52CB"/>
    <w:rsid w:val="00DD5797"/>
    <w:rsid w:val="00DD5FAD"/>
    <w:rsid w:val="00DD694A"/>
    <w:rsid w:val="00DD7245"/>
    <w:rsid w:val="00DD73DB"/>
    <w:rsid w:val="00DE0005"/>
    <w:rsid w:val="00DE0031"/>
    <w:rsid w:val="00DE0AED"/>
    <w:rsid w:val="00DE1657"/>
    <w:rsid w:val="00DE1B44"/>
    <w:rsid w:val="00DE1BCE"/>
    <w:rsid w:val="00DE204F"/>
    <w:rsid w:val="00DE219D"/>
    <w:rsid w:val="00DE2BA1"/>
    <w:rsid w:val="00DE2BB4"/>
    <w:rsid w:val="00DE313F"/>
    <w:rsid w:val="00DE322F"/>
    <w:rsid w:val="00DE37B2"/>
    <w:rsid w:val="00DE3944"/>
    <w:rsid w:val="00DE4349"/>
    <w:rsid w:val="00DE4743"/>
    <w:rsid w:val="00DE5204"/>
    <w:rsid w:val="00DE5689"/>
    <w:rsid w:val="00DE5972"/>
    <w:rsid w:val="00DE5A38"/>
    <w:rsid w:val="00DE5CE1"/>
    <w:rsid w:val="00DE6737"/>
    <w:rsid w:val="00DE6CB4"/>
    <w:rsid w:val="00DE6DBE"/>
    <w:rsid w:val="00DF04F9"/>
    <w:rsid w:val="00DF060E"/>
    <w:rsid w:val="00DF1005"/>
    <w:rsid w:val="00DF123E"/>
    <w:rsid w:val="00DF13EF"/>
    <w:rsid w:val="00DF2254"/>
    <w:rsid w:val="00DF2435"/>
    <w:rsid w:val="00DF2AD6"/>
    <w:rsid w:val="00DF2AF9"/>
    <w:rsid w:val="00DF37EC"/>
    <w:rsid w:val="00DF3D10"/>
    <w:rsid w:val="00DF4667"/>
    <w:rsid w:val="00DF487A"/>
    <w:rsid w:val="00DF4AC9"/>
    <w:rsid w:val="00DF553B"/>
    <w:rsid w:val="00DF5BEC"/>
    <w:rsid w:val="00DF5E52"/>
    <w:rsid w:val="00DF5F8C"/>
    <w:rsid w:val="00DF5F99"/>
    <w:rsid w:val="00DF675D"/>
    <w:rsid w:val="00DF73C8"/>
    <w:rsid w:val="00DF7941"/>
    <w:rsid w:val="00DF7A5A"/>
    <w:rsid w:val="00DF7F1E"/>
    <w:rsid w:val="00E00920"/>
    <w:rsid w:val="00E00967"/>
    <w:rsid w:val="00E0142F"/>
    <w:rsid w:val="00E01FF1"/>
    <w:rsid w:val="00E023EC"/>
    <w:rsid w:val="00E03139"/>
    <w:rsid w:val="00E0338F"/>
    <w:rsid w:val="00E038EC"/>
    <w:rsid w:val="00E04818"/>
    <w:rsid w:val="00E05274"/>
    <w:rsid w:val="00E05F21"/>
    <w:rsid w:val="00E06D44"/>
    <w:rsid w:val="00E0725B"/>
    <w:rsid w:val="00E075A3"/>
    <w:rsid w:val="00E101E3"/>
    <w:rsid w:val="00E10709"/>
    <w:rsid w:val="00E1113B"/>
    <w:rsid w:val="00E11CD2"/>
    <w:rsid w:val="00E120C8"/>
    <w:rsid w:val="00E122A5"/>
    <w:rsid w:val="00E1281F"/>
    <w:rsid w:val="00E12E38"/>
    <w:rsid w:val="00E1358F"/>
    <w:rsid w:val="00E14AAF"/>
    <w:rsid w:val="00E14CF4"/>
    <w:rsid w:val="00E15314"/>
    <w:rsid w:val="00E153DF"/>
    <w:rsid w:val="00E155AE"/>
    <w:rsid w:val="00E155FC"/>
    <w:rsid w:val="00E15B2E"/>
    <w:rsid w:val="00E15BDF"/>
    <w:rsid w:val="00E1637A"/>
    <w:rsid w:val="00E16580"/>
    <w:rsid w:val="00E1694E"/>
    <w:rsid w:val="00E17F63"/>
    <w:rsid w:val="00E201DE"/>
    <w:rsid w:val="00E20E1D"/>
    <w:rsid w:val="00E20FCE"/>
    <w:rsid w:val="00E212DB"/>
    <w:rsid w:val="00E228CE"/>
    <w:rsid w:val="00E22C06"/>
    <w:rsid w:val="00E2360E"/>
    <w:rsid w:val="00E2386B"/>
    <w:rsid w:val="00E23F6F"/>
    <w:rsid w:val="00E2434C"/>
    <w:rsid w:val="00E244C8"/>
    <w:rsid w:val="00E2462A"/>
    <w:rsid w:val="00E24AF0"/>
    <w:rsid w:val="00E25486"/>
    <w:rsid w:val="00E25BC0"/>
    <w:rsid w:val="00E25DAB"/>
    <w:rsid w:val="00E263DA"/>
    <w:rsid w:val="00E269D8"/>
    <w:rsid w:val="00E27447"/>
    <w:rsid w:val="00E279B7"/>
    <w:rsid w:val="00E30FC9"/>
    <w:rsid w:val="00E3201F"/>
    <w:rsid w:val="00E3236A"/>
    <w:rsid w:val="00E337A6"/>
    <w:rsid w:val="00E343FC"/>
    <w:rsid w:val="00E34815"/>
    <w:rsid w:val="00E34AF3"/>
    <w:rsid w:val="00E34C07"/>
    <w:rsid w:val="00E350A1"/>
    <w:rsid w:val="00E35267"/>
    <w:rsid w:val="00E3537D"/>
    <w:rsid w:val="00E354B8"/>
    <w:rsid w:val="00E357E2"/>
    <w:rsid w:val="00E35F64"/>
    <w:rsid w:val="00E36501"/>
    <w:rsid w:val="00E368CA"/>
    <w:rsid w:val="00E36A96"/>
    <w:rsid w:val="00E36C58"/>
    <w:rsid w:val="00E36ECC"/>
    <w:rsid w:val="00E36F4A"/>
    <w:rsid w:val="00E374A2"/>
    <w:rsid w:val="00E375F4"/>
    <w:rsid w:val="00E40418"/>
    <w:rsid w:val="00E40555"/>
    <w:rsid w:val="00E40E3C"/>
    <w:rsid w:val="00E41154"/>
    <w:rsid w:val="00E4186D"/>
    <w:rsid w:val="00E421D2"/>
    <w:rsid w:val="00E425CD"/>
    <w:rsid w:val="00E42C8D"/>
    <w:rsid w:val="00E42CB2"/>
    <w:rsid w:val="00E42EB6"/>
    <w:rsid w:val="00E437EE"/>
    <w:rsid w:val="00E43A50"/>
    <w:rsid w:val="00E4422A"/>
    <w:rsid w:val="00E44421"/>
    <w:rsid w:val="00E44775"/>
    <w:rsid w:val="00E447F1"/>
    <w:rsid w:val="00E464F9"/>
    <w:rsid w:val="00E467E9"/>
    <w:rsid w:val="00E46E8E"/>
    <w:rsid w:val="00E508E7"/>
    <w:rsid w:val="00E51F1F"/>
    <w:rsid w:val="00E52A30"/>
    <w:rsid w:val="00E53054"/>
    <w:rsid w:val="00E53819"/>
    <w:rsid w:val="00E53AC0"/>
    <w:rsid w:val="00E53CA9"/>
    <w:rsid w:val="00E54559"/>
    <w:rsid w:val="00E548A2"/>
    <w:rsid w:val="00E54935"/>
    <w:rsid w:val="00E5497A"/>
    <w:rsid w:val="00E5569C"/>
    <w:rsid w:val="00E55C48"/>
    <w:rsid w:val="00E5650A"/>
    <w:rsid w:val="00E5652F"/>
    <w:rsid w:val="00E57828"/>
    <w:rsid w:val="00E57D72"/>
    <w:rsid w:val="00E60563"/>
    <w:rsid w:val="00E60FB7"/>
    <w:rsid w:val="00E6129D"/>
    <w:rsid w:val="00E6148D"/>
    <w:rsid w:val="00E6164D"/>
    <w:rsid w:val="00E61995"/>
    <w:rsid w:val="00E62281"/>
    <w:rsid w:val="00E6235F"/>
    <w:rsid w:val="00E62A78"/>
    <w:rsid w:val="00E63431"/>
    <w:rsid w:val="00E63788"/>
    <w:rsid w:val="00E637A1"/>
    <w:rsid w:val="00E641AC"/>
    <w:rsid w:val="00E64A43"/>
    <w:rsid w:val="00E64B8D"/>
    <w:rsid w:val="00E65387"/>
    <w:rsid w:val="00E653C0"/>
    <w:rsid w:val="00E65693"/>
    <w:rsid w:val="00E66AB3"/>
    <w:rsid w:val="00E67380"/>
    <w:rsid w:val="00E67672"/>
    <w:rsid w:val="00E67D57"/>
    <w:rsid w:val="00E67DBF"/>
    <w:rsid w:val="00E70244"/>
    <w:rsid w:val="00E70559"/>
    <w:rsid w:val="00E70637"/>
    <w:rsid w:val="00E70910"/>
    <w:rsid w:val="00E7114D"/>
    <w:rsid w:val="00E71C81"/>
    <w:rsid w:val="00E71CE4"/>
    <w:rsid w:val="00E71D0F"/>
    <w:rsid w:val="00E72285"/>
    <w:rsid w:val="00E726FF"/>
    <w:rsid w:val="00E72933"/>
    <w:rsid w:val="00E72D34"/>
    <w:rsid w:val="00E7361A"/>
    <w:rsid w:val="00E7372C"/>
    <w:rsid w:val="00E73E96"/>
    <w:rsid w:val="00E7411D"/>
    <w:rsid w:val="00E7431F"/>
    <w:rsid w:val="00E74483"/>
    <w:rsid w:val="00E744BE"/>
    <w:rsid w:val="00E744E2"/>
    <w:rsid w:val="00E74D3A"/>
    <w:rsid w:val="00E74DB0"/>
    <w:rsid w:val="00E753D2"/>
    <w:rsid w:val="00E75551"/>
    <w:rsid w:val="00E75688"/>
    <w:rsid w:val="00E75884"/>
    <w:rsid w:val="00E75F1D"/>
    <w:rsid w:val="00E76134"/>
    <w:rsid w:val="00E762FA"/>
    <w:rsid w:val="00E80025"/>
    <w:rsid w:val="00E80274"/>
    <w:rsid w:val="00E80B3A"/>
    <w:rsid w:val="00E81461"/>
    <w:rsid w:val="00E817E9"/>
    <w:rsid w:val="00E82F94"/>
    <w:rsid w:val="00E83B0A"/>
    <w:rsid w:val="00E83D43"/>
    <w:rsid w:val="00E83DF3"/>
    <w:rsid w:val="00E84271"/>
    <w:rsid w:val="00E843E3"/>
    <w:rsid w:val="00E84E9E"/>
    <w:rsid w:val="00E84EB7"/>
    <w:rsid w:val="00E85368"/>
    <w:rsid w:val="00E85E33"/>
    <w:rsid w:val="00E869DF"/>
    <w:rsid w:val="00E86E20"/>
    <w:rsid w:val="00E86FD0"/>
    <w:rsid w:val="00E872C5"/>
    <w:rsid w:val="00E8767A"/>
    <w:rsid w:val="00E8794B"/>
    <w:rsid w:val="00E87991"/>
    <w:rsid w:val="00E87C40"/>
    <w:rsid w:val="00E87DA3"/>
    <w:rsid w:val="00E90125"/>
    <w:rsid w:val="00E901E3"/>
    <w:rsid w:val="00E90497"/>
    <w:rsid w:val="00E905E5"/>
    <w:rsid w:val="00E90621"/>
    <w:rsid w:val="00E9090C"/>
    <w:rsid w:val="00E90CF6"/>
    <w:rsid w:val="00E91032"/>
    <w:rsid w:val="00E9190C"/>
    <w:rsid w:val="00E91ABC"/>
    <w:rsid w:val="00E91C0D"/>
    <w:rsid w:val="00E91E9F"/>
    <w:rsid w:val="00E926BC"/>
    <w:rsid w:val="00E9272D"/>
    <w:rsid w:val="00E92D3E"/>
    <w:rsid w:val="00E932C7"/>
    <w:rsid w:val="00E93527"/>
    <w:rsid w:val="00E93A5C"/>
    <w:rsid w:val="00E93C08"/>
    <w:rsid w:val="00E93DF6"/>
    <w:rsid w:val="00E940AE"/>
    <w:rsid w:val="00E943E9"/>
    <w:rsid w:val="00E94863"/>
    <w:rsid w:val="00E94AF4"/>
    <w:rsid w:val="00E94C71"/>
    <w:rsid w:val="00E94CCA"/>
    <w:rsid w:val="00E953C1"/>
    <w:rsid w:val="00E95A98"/>
    <w:rsid w:val="00E95C12"/>
    <w:rsid w:val="00E95FF4"/>
    <w:rsid w:val="00E96820"/>
    <w:rsid w:val="00E96AA3"/>
    <w:rsid w:val="00E96CCA"/>
    <w:rsid w:val="00E9756D"/>
    <w:rsid w:val="00E97AEE"/>
    <w:rsid w:val="00EA0291"/>
    <w:rsid w:val="00EA0C24"/>
    <w:rsid w:val="00EA0F24"/>
    <w:rsid w:val="00EA0F9A"/>
    <w:rsid w:val="00EA1358"/>
    <w:rsid w:val="00EA1BA3"/>
    <w:rsid w:val="00EA1D5C"/>
    <w:rsid w:val="00EA1D8E"/>
    <w:rsid w:val="00EA2028"/>
    <w:rsid w:val="00EA202D"/>
    <w:rsid w:val="00EA30F3"/>
    <w:rsid w:val="00EA3170"/>
    <w:rsid w:val="00EA3EA3"/>
    <w:rsid w:val="00EA3FA6"/>
    <w:rsid w:val="00EA44CC"/>
    <w:rsid w:val="00EA62ED"/>
    <w:rsid w:val="00EA6EA4"/>
    <w:rsid w:val="00EA7224"/>
    <w:rsid w:val="00EA795F"/>
    <w:rsid w:val="00EA7B71"/>
    <w:rsid w:val="00EB070B"/>
    <w:rsid w:val="00EB0B98"/>
    <w:rsid w:val="00EB1285"/>
    <w:rsid w:val="00EB16E2"/>
    <w:rsid w:val="00EB1741"/>
    <w:rsid w:val="00EB19D1"/>
    <w:rsid w:val="00EB1B6B"/>
    <w:rsid w:val="00EB1E53"/>
    <w:rsid w:val="00EB2370"/>
    <w:rsid w:val="00EB2828"/>
    <w:rsid w:val="00EB2AAB"/>
    <w:rsid w:val="00EB2CBB"/>
    <w:rsid w:val="00EB30AC"/>
    <w:rsid w:val="00EB3763"/>
    <w:rsid w:val="00EB41C8"/>
    <w:rsid w:val="00EB4848"/>
    <w:rsid w:val="00EB48B6"/>
    <w:rsid w:val="00EB4ABF"/>
    <w:rsid w:val="00EB4DE6"/>
    <w:rsid w:val="00EB5340"/>
    <w:rsid w:val="00EB56C8"/>
    <w:rsid w:val="00EB60FA"/>
    <w:rsid w:val="00EB6577"/>
    <w:rsid w:val="00EB6725"/>
    <w:rsid w:val="00EB6CDC"/>
    <w:rsid w:val="00EB6D90"/>
    <w:rsid w:val="00EB6FFC"/>
    <w:rsid w:val="00EB7148"/>
    <w:rsid w:val="00EB7A54"/>
    <w:rsid w:val="00EB7B78"/>
    <w:rsid w:val="00EB7F0C"/>
    <w:rsid w:val="00EC02E5"/>
    <w:rsid w:val="00EC0AC5"/>
    <w:rsid w:val="00EC0C1B"/>
    <w:rsid w:val="00EC1915"/>
    <w:rsid w:val="00EC1FF7"/>
    <w:rsid w:val="00EC2650"/>
    <w:rsid w:val="00EC2A3A"/>
    <w:rsid w:val="00EC2BDC"/>
    <w:rsid w:val="00EC2DB4"/>
    <w:rsid w:val="00EC30A1"/>
    <w:rsid w:val="00EC3410"/>
    <w:rsid w:val="00EC3466"/>
    <w:rsid w:val="00EC3A7A"/>
    <w:rsid w:val="00EC3BA5"/>
    <w:rsid w:val="00EC40A9"/>
    <w:rsid w:val="00EC439A"/>
    <w:rsid w:val="00EC4DC1"/>
    <w:rsid w:val="00EC4ECD"/>
    <w:rsid w:val="00EC530B"/>
    <w:rsid w:val="00EC532E"/>
    <w:rsid w:val="00EC564F"/>
    <w:rsid w:val="00EC5680"/>
    <w:rsid w:val="00EC5CC1"/>
    <w:rsid w:val="00EC5D8D"/>
    <w:rsid w:val="00EC682D"/>
    <w:rsid w:val="00EC7045"/>
    <w:rsid w:val="00EC70AF"/>
    <w:rsid w:val="00EC7257"/>
    <w:rsid w:val="00EC728C"/>
    <w:rsid w:val="00EC7438"/>
    <w:rsid w:val="00EC7D7B"/>
    <w:rsid w:val="00ED026E"/>
    <w:rsid w:val="00ED0403"/>
    <w:rsid w:val="00ED0F4C"/>
    <w:rsid w:val="00ED130B"/>
    <w:rsid w:val="00ED1729"/>
    <w:rsid w:val="00ED1C37"/>
    <w:rsid w:val="00ED281B"/>
    <w:rsid w:val="00ED28E5"/>
    <w:rsid w:val="00ED2C90"/>
    <w:rsid w:val="00ED3689"/>
    <w:rsid w:val="00ED3992"/>
    <w:rsid w:val="00ED5334"/>
    <w:rsid w:val="00ED5940"/>
    <w:rsid w:val="00ED6394"/>
    <w:rsid w:val="00ED6A1C"/>
    <w:rsid w:val="00ED6D6A"/>
    <w:rsid w:val="00ED7454"/>
    <w:rsid w:val="00ED7C44"/>
    <w:rsid w:val="00ED7C90"/>
    <w:rsid w:val="00EE0127"/>
    <w:rsid w:val="00EE043F"/>
    <w:rsid w:val="00EE0C9E"/>
    <w:rsid w:val="00EE0F6E"/>
    <w:rsid w:val="00EE104D"/>
    <w:rsid w:val="00EE1D08"/>
    <w:rsid w:val="00EE1FCD"/>
    <w:rsid w:val="00EE2377"/>
    <w:rsid w:val="00EE2CB9"/>
    <w:rsid w:val="00EE2DC9"/>
    <w:rsid w:val="00EE2FF7"/>
    <w:rsid w:val="00EE3133"/>
    <w:rsid w:val="00EE3566"/>
    <w:rsid w:val="00EE3684"/>
    <w:rsid w:val="00EE3AB7"/>
    <w:rsid w:val="00EE40A4"/>
    <w:rsid w:val="00EE4123"/>
    <w:rsid w:val="00EE42DB"/>
    <w:rsid w:val="00EE442A"/>
    <w:rsid w:val="00EE49E1"/>
    <w:rsid w:val="00EE504B"/>
    <w:rsid w:val="00EE5746"/>
    <w:rsid w:val="00EE5EDE"/>
    <w:rsid w:val="00EE64CB"/>
    <w:rsid w:val="00EE68DB"/>
    <w:rsid w:val="00EE7007"/>
    <w:rsid w:val="00EE76CE"/>
    <w:rsid w:val="00EF07C3"/>
    <w:rsid w:val="00EF0ED0"/>
    <w:rsid w:val="00EF11C5"/>
    <w:rsid w:val="00EF133E"/>
    <w:rsid w:val="00EF167F"/>
    <w:rsid w:val="00EF16CD"/>
    <w:rsid w:val="00EF20BF"/>
    <w:rsid w:val="00EF2251"/>
    <w:rsid w:val="00EF2B80"/>
    <w:rsid w:val="00EF394C"/>
    <w:rsid w:val="00EF4476"/>
    <w:rsid w:val="00EF5BB0"/>
    <w:rsid w:val="00EF6712"/>
    <w:rsid w:val="00EF710A"/>
    <w:rsid w:val="00EF7402"/>
    <w:rsid w:val="00EF76DC"/>
    <w:rsid w:val="00EF794C"/>
    <w:rsid w:val="00EF7AF0"/>
    <w:rsid w:val="00F0026F"/>
    <w:rsid w:val="00F0030F"/>
    <w:rsid w:val="00F00879"/>
    <w:rsid w:val="00F00BF4"/>
    <w:rsid w:val="00F01248"/>
    <w:rsid w:val="00F017C5"/>
    <w:rsid w:val="00F0210D"/>
    <w:rsid w:val="00F024D1"/>
    <w:rsid w:val="00F02B95"/>
    <w:rsid w:val="00F02F47"/>
    <w:rsid w:val="00F02F60"/>
    <w:rsid w:val="00F03071"/>
    <w:rsid w:val="00F03E57"/>
    <w:rsid w:val="00F04450"/>
    <w:rsid w:val="00F04522"/>
    <w:rsid w:val="00F04699"/>
    <w:rsid w:val="00F053F5"/>
    <w:rsid w:val="00F058D1"/>
    <w:rsid w:val="00F06419"/>
    <w:rsid w:val="00F06DD3"/>
    <w:rsid w:val="00F077FE"/>
    <w:rsid w:val="00F07992"/>
    <w:rsid w:val="00F102C7"/>
    <w:rsid w:val="00F106CA"/>
    <w:rsid w:val="00F109A1"/>
    <w:rsid w:val="00F10C1C"/>
    <w:rsid w:val="00F11638"/>
    <w:rsid w:val="00F11981"/>
    <w:rsid w:val="00F11CFA"/>
    <w:rsid w:val="00F11EA0"/>
    <w:rsid w:val="00F1217A"/>
    <w:rsid w:val="00F122BD"/>
    <w:rsid w:val="00F126DF"/>
    <w:rsid w:val="00F12B08"/>
    <w:rsid w:val="00F12DA9"/>
    <w:rsid w:val="00F13313"/>
    <w:rsid w:val="00F13AB6"/>
    <w:rsid w:val="00F142B9"/>
    <w:rsid w:val="00F14C6B"/>
    <w:rsid w:val="00F15902"/>
    <w:rsid w:val="00F16C1C"/>
    <w:rsid w:val="00F16F8B"/>
    <w:rsid w:val="00F17F8F"/>
    <w:rsid w:val="00F201A0"/>
    <w:rsid w:val="00F208DA"/>
    <w:rsid w:val="00F20A70"/>
    <w:rsid w:val="00F21137"/>
    <w:rsid w:val="00F2295F"/>
    <w:rsid w:val="00F23065"/>
    <w:rsid w:val="00F23471"/>
    <w:rsid w:val="00F23F49"/>
    <w:rsid w:val="00F23FC7"/>
    <w:rsid w:val="00F249F1"/>
    <w:rsid w:val="00F24F98"/>
    <w:rsid w:val="00F26AC0"/>
    <w:rsid w:val="00F26B21"/>
    <w:rsid w:val="00F26F68"/>
    <w:rsid w:val="00F27102"/>
    <w:rsid w:val="00F27654"/>
    <w:rsid w:val="00F27914"/>
    <w:rsid w:val="00F27DF6"/>
    <w:rsid w:val="00F30110"/>
    <w:rsid w:val="00F30175"/>
    <w:rsid w:val="00F304D1"/>
    <w:rsid w:val="00F30607"/>
    <w:rsid w:val="00F306B4"/>
    <w:rsid w:val="00F308BD"/>
    <w:rsid w:val="00F30D61"/>
    <w:rsid w:val="00F310C6"/>
    <w:rsid w:val="00F3115B"/>
    <w:rsid w:val="00F315E6"/>
    <w:rsid w:val="00F318BA"/>
    <w:rsid w:val="00F31D15"/>
    <w:rsid w:val="00F31D44"/>
    <w:rsid w:val="00F31EFE"/>
    <w:rsid w:val="00F32119"/>
    <w:rsid w:val="00F324D4"/>
    <w:rsid w:val="00F3297C"/>
    <w:rsid w:val="00F331F4"/>
    <w:rsid w:val="00F3365E"/>
    <w:rsid w:val="00F3366D"/>
    <w:rsid w:val="00F33698"/>
    <w:rsid w:val="00F33FB6"/>
    <w:rsid w:val="00F348F1"/>
    <w:rsid w:val="00F34C50"/>
    <w:rsid w:val="00F34E95"/>
    <w:rsid w:val="00F34EAC"/>
    <w:rsid w:val="00F36F2A"/>
    <w:rsid w:val="00F374DD"/>
    <w:rsid w:val="00F374F1"/>
    <w:rsid w:val="00F37AC3"/>
    <w:rsid w:val="00F37F95"/>
    <w:rsid w:val="00F37FDD"/>
    <w:rsid w:val="00F41479"/>
    <w:rsid w:val="00F41554"/>
    <w:rsid w:val="00F41823"/>
    <w:rsid w:val="00F41AC0"/>
    <w:rsid w:val="00F41F0C"/>
    <w:rsid w:val="00F42268"/>
    <w:rsid w:val="00F424E8"/>
    <w:rsid w:val="00F42620"/>
    <w:rsid w:val="00F4272C"/>
    <w:rsid w:val="00F42EBB"/>
    <w:rsid w:val="00F43615"/>
    <w:rsid w:val="00F4364B"/>
    <w:rsid w:val="00F43DED"/>
    <w:rsid w:val="00F43EAE"/>
    <w:rsid w:val="00F4415D"/>
    <w:rsid w:val="00F4417B"/>
    <w:rsid w:val="00F44534"/>
    <w:rsid w:val="00F4460B"/>
    <w:rsid w:val="00F46419"/>
    <w:rsid w:val="00F46936"/>
    <w:rsid w:val="00F470E2"/>
    <w:rsid w:val="00F476EE"/>
    <w:rsid w:val="00F47763"/>
    <w:rsid w:val="00F47CA1"/>
    <w:rsid w:val="00F47D88"/>
    <w:rsid w:val="00F506A5"/>
    <w:rsid w:val="00F50EAD"/>
    <w:rsid w:val="00F51107"/>
    <w:rsid w:val="00F51955"/>
    <w:rsid w:val="00F51AE8"/>
    <w:rsid w:val="00F523BC"/>
    <w:rsid w:val="00F5251B"/>
    <w:rsid w:val="00F52BE6"/>
    <w:rsid w:val="00F52F37"/>
    <w:rsid w:val="00F5300F"/>
    <w:rsid w:val="00F532D5"/>
    <w:rsid w:val="00F534DD"/>
    <w:rsid w:val="00F53974"/>
    <w:rsid w:val="00F53FC0"/>
    <w:rsid w:val="00F54171"/>
    <w:rsid w:val="00F54ECC"/>
    <w:rsid w:val="00F55573"/>
    <w:rsid w:val="00F558C7"/>
    <w:rsid w:val="00F55996"/>
    <w:rsid w:val="00F561F5"/>
    <w:rsid w:val="00F5633E"/>
    <w:rsid w:val="00F56392"/>
    <w:rsid w:val="00F566AC"/>
    <w:rsid w:val="00F56E69"/>
    <w:rsid w:val="00F57062"/>
    <w:rsid w:val="00F57DB9"/>
    <w:rsid w:val="00F60016"/>
    <w:rsid w:val="00F60646"/>
    <w:rsid w:val="00F61644"/>
    <w:rsid w:val="00F6164A"/>
    <w:rsid w:val="00F6168B"/>
    <w:rsid w:val="00F617B3"/>
    <w:rsid w:val="00F61809"/>
    <w:rsid w:val="00F61821"/>
    <w:rsid w:val="00F6226E"/>
    <w:rsid w:val="00F624E3"/>
    <w:rsid w:val="00F6274A"/>
    <w:rsid w:val="00F62865"/>
    <w:rsid w:val="00F62929"/>
    <w:rsid w:val="00F62B00"/>
    <w:rsid w:val="00F62B61"/>
    <w:rsid w:val="00F62BAF"/>
    <w:rsid w:val="00F6336F"/>
    <w:rsid w:val="00F63AA1"/>
    <w:rsid w:val="00F64BD0"/>
    <w:rsid w:val="00F64CB6"/>
    <w:rsid w:val="00F64CCC"/>
    <w:rsid w:val="00F64DB9"/>
    <w:rsid w:val="00F655C4"/>
    <w:rsid w:val="00F65B74"/>
    <w:rsid w:val="00F65E20"/>
    <w:rsid w:val="00F65F8A"/>
    <w:rsid w:val="00F675F0"/>
    <w:rsid w:val="00F677C4"/>
    <w:rsid w:val="00F702A2"/>
    <w:rsid w:val="00F70457"/>
    <w:rsid w:val="00F70F9B"/>
    <w:rsid w:val="00F71055"/>
    <w:rsid w:val="00F711E4"/>
    <w:rsid w:val="00F712D6"/>
    <w:rsid w:val="00F71A3F"/>
    <w:rsid w:val="00F71C2D"/>
    <w:rsid w:val="00F71D90"/>
    <w:rsid w:val="00F734CA"/>
    <w:rsid w:val="00F73B4D"/>
    <w:rsid w:val="00F73CDD"/>
    <w:rsid w:val="00F73EF0"/>
    <w:rsid w:val="00F74281"/>
    <w:rsid w:val="00F74C29"/>
    <w:rsid w:val="00F7510B"/>
    <w:rsid w:val="00F751B4"/>
    <w:rsid w:val="00F753D6"/>
    <w:rsid w:val="00F76264"/>
    <w:rsid w:val="00F76EAF"/>
    <w:rsid w:val="00F774BD"/>
    <w:rsid w:val="00F77588"/>
    <w:rsid w:val="00F775BA"/>
    <w:rsid w:val="00F77651"/>
    <w:rsid w:val="00F77959"/>
    <w:rsid w:val="00F77E68"/>
    <w:rsid w:val="00F77FEC"/>
    <w:rsid w:val="00F80181"/>
    <w:rsid w:val="00F814E9"/>
    <w:rsid w:val="00F81528"/>
    <w:rsid w:val="00F81C72"/>
    <w:rsid w:val="00F826DE"/>
    <w:rsid w:val="00F827D2"/>
    <w:rsid w:val="00F829F0"/>
    <w:rsid w:val="00F8307D"/>
    <w:rsid w:val="00F8329A"/>
    <w:rsid w:val="00F83718"/>
    <w:rsid w:val="00F83CE6"/>
    <w:rsid w:val="00F83E0B"/>
    <w:rsid w:val="00F842F5"/>
    <w:rsid w:val="00F843EE"/>
    <w:rsid w:val="00F848FE"/>
    <w:rsid w:val="00F85303"/>
    <w:rsid w:val="00F85557"/>
    <w:rsid w:val="00F8609E"/>
    <w:rsid w:val="00F868D7"/>
    <w:rsid w:val="00F86D42"/>
    <w:rsid w:val="00F874F2"/>
    <w:rsid w:val="00F8766E"/>
    <w:rsid w:val="00F90BC7"/>
    <w:rsid w:val="00F9153D"/>
    <w:rsid w:val="00F91879"/>
    <w:rsid w:val="00F91C1F"/>
    <w:rsid w:val="00F92497"/>
    <w:rsid w:val="00F931E5"/>
    <w:rsid w:val="00F93597"/>
    <w:rsid w:val="00F93A70"/>
    <w:rsid w:val="00F93CEC"/>
    <w:rsid w:val="00F940C0"/>
    <w:rsid w:val="00F94498"/>
    <w:rsid w:val="00F947EA"/>
    <w:rsid w:val="00F94ABF"/>
    <w:rsid w:val="00F9547D"/>
    <w:rsid w:val="00F9582F"/>
    <w:rsid w:val="00F959CC"/>
    <w:rsid w:val="00F95BC9"/>
    <w:rsid w:val="00F96000"/>
    <w:rsid w:val="00F96202"/>
    <w:rsid w:val="00F9683E"/>
    <w:rsid w:val="00F96DD0"/>
    <w:rsid w:val="00F97111"/>
    <w:rsid w:val="00F97172"/>
    <w:rsid w:val="00F9749E"/>
    <w:rsid w:val="00F974A2"/>
    <w:rsid w:val="00F97985"/>
    <w:rsid w:val="00F97A8B"/>
    <w:rsid w:val="00F97C2D"/>
    <w:rsid w:val="00F97CDA"/>
    <w:rsid w:val="00F97FF2"/>
    <w:rsid w:val="00FA19D3"/>
    <w:rsid w:val="00FA2544"/>
    <w:rsid w:val="00FA29FD"/>
    <w:rsid w:val="00FA2C80"/>
    <w:rsid w:val="00FA2D09"/>
    <w:rsid w:val="00FA302C"/>
    <w:rsid w:val="00FA3925"/>
    <w:rsid w:val="00FA4E7E"/>
    <w:rsid w:val="00FA5182"/>
    <w:rsid w:val="00FA53CD"/>
    <w:rsid w:val="00FA6371"/>
    <w:rsid w:val="00FA657B"/>
    <w:rsid w:val="00FA6BAD"/>
    <w:rsid w:val="00FA6F06"/>
    <w:rsid w:val="00FA7268"/>
    <w:rsid w:val="00FA73A2"/>
    <w:rsid w:val="00FB0C20"/>
    <w:rsid w:val="00FB191D"/>
    <w:rsid w:val="00FB2490"/>
    <w:rsid w:val="00FB295D"/>
    <w:rsid w:val="00FB2B66"/>
    <w:rsid w:val="00FB2B9F"/>
    <w:rsid w:val="00FB2BFD"/>
    <w:rsid w:val="00FB2E04"/>
    <w:rsid w:val="00FB2E36"/>
    <w:rsid w:val="00FB3308"/>
    <w:rsid w:val="00FB3403"/>
    <w:rsid w:val="00FB3BB1"/>
    <w:rsid w:val="00FB4198"/>
    <w:rsid w:val="00FB4560"/>
    <w:rsid w:val="00FB466F"/>
    <w:rsid w:val="00FB46BD"/>
    <w:rsid w:val="00FB509A"/>
    <w:rsid w:val="00FB513C"/>
    <w:rsid w:val="00FB5998"/>
    <w:rsid w:val="00FB60E5"/>
    <w:rsid w:val="00FB6114"/>
    <w:rsid w:val="00FB6394"/>
    <w:rsid w:val="00FB65CC"/>
    <w:rsid w:val="00FB699A"/>
    <w:rsid w:val="00FB6CDA"/>
    <w:rsid w:val="00FB75FF"/>
    <w:rsid w:val="00FB7B66"/>
    <w:rsid w:val="00FB7C2D"/>
    <w:rsid w:val="00FB7CB8"/>
    <w:rsid w:val="00FC0529"/>
    <w:rsid w:val="00FC08FD"/>
    <w:rsid w:val="00FC0A1D"/>
    <w:rsid w:val="00FC0EEC"/>
    <w:rsid w:val="00FC1177"/>
    <w:rsid w:val="00FC11F8"/>
    <w:rsid w:val="00FC14CC"/>
    <w:rsid w:val="00FC1BDE"/>
    <w:rsid w:val="00FC248E"/>
    <w:rsid w:val="00FC2EB4"/>
    <w:rsid w:val="00FC339D"/>
    <w:rsid w:val="00FC3A91"/>
    <w:rsid w:val="00FC3C25"/>
    <w:rsid w:val="00FC49F4"/>
    <w:rsid w:val="00FC5356"/>
    <w:rsid w:val="00FC59B8"/>
    <w:rsid w:val="00FC5ABC"/>
    <w:rsid w:val="00FC5EF2"/>
    <w:rsid w:val="00FC6883"/>
    <w:rsid w:val="00FC6E1B"/>
    <w:rsid w:val="00FC6EC7"/>
    <w:rsid w:val="00FC70E5"/>
    <w:rsid w:val="00FC71DE"/>
    <w:rsid w:val="00FC7579"/>
    <w:rsid w:val="00FD02D6"/>
    <w:rsid w:val="00FD08BD"/>
    <w:rsid w:val="00FD0C80"/>
    <w:rsid w:val="00FD127E"/>
    <w:rsid w:val="00FD131D"/>
    <w:rsid w:val="00FD1320"/>
    <w:rsid w:val="00FD1488"/>
    <w:rsid w:val="00FD1C9C"/>
    <w:rsid w:val="00FD1F35"/>
    <w:rsid w:val="00FD2F4D"/>
    <w:rsid w:val="00FD4295"/>
    <w:rsid w:val="00FD4807"/>
    <w:rsid w:val="00FD58C3"/>
    <w:rsid w:val="00FD61F3"/>
    <w:rsid w:val="00FD67F9"/>
    <w:rsid w:val="00FD68D9"/>
    <w:rsid w:val="00FD6B49"/>
    <w:rsid w:val="00FD70EE"/>
    <w:rsid w:val="00FD72EA"/>
    <w:rsid w:val="00FD7860"/>
    <w:rsid w:val="00FD7F0C"/>
    <w:rsid w:val="00FE09AB"/>
    <w:rsid w:val="00FE0E7F"/>
    <w:rsid w:val="00FE1A6C"/>
    <w:rsid w:val="00FE1F5F"/>
    <w:rsid w:val="00FE1FE4"/>
    <w:rsid w:val="00FE2268"/>
    <w:rsid w:val="00FE2325"/>
    <w:rsid w:val="00FE233F"/>
    <w:rsid w:val="00FE234B"/>
    <w:rsid w:val="00FE2969"/>
    <w:rsid w:val="00FE29B5"/>
    <w:rsid w:val="00FE29D5"/>
    <w:rsid w:val="00FE2BBD"/>
    <w:rsid w:val="00FE320B"/>
    <w:rsid w:val="00FE3456"/>
    <w:rsid w:val="00FE3980"/>
    <w:rsid w:val="00FE3C92"/>
    <w:rsid w:val="00FE4013"/>
    <w:rsid w:val="00FE4F11"/>
    <w:rsid w:val="00FE511E"/>
    <w:rsid w:val="00FE5406"/>
    <w:rsid w:val="00FE5C9B"/>
    <w:rsid w:val="00FE5E2E"/>
    <w:rsid w:val="00FE6233"/>
    <w:rsid w:val="00FE6382"/>
    <w:rsid w:val="00FE71FD"/>
    <w:rsid w:val="00FE7D63"/>
    <w:rsid w:val="00FF074C"/>
    <w:rsid w:val="00FF157E"/>
    <w:rsid w:val="00FF183B"/>
    <w:rsid w:val="00FF2262"/>
    <w:rsid w:val="00FF2295"/>
    <w:rsid w:val="00FF2A0D"/>
    <w:rsid w:val="00FF2F65"/>
    <w:rsid w:val="00FF2FF2"/>
    <w:rsid w:val="00FF414E"/>
    <w:rsid w:val="00FF4265"/>
    <w:rsid w:val="00FF44C5"/>
    <w:rsid w:val="00FF54F6"/>
    <w:rsid w:val="00FF581F"/>
    <w:rsid w:val="00FF5A97"/>
    <w:rsid w:val="00FF6E9F"/>
    <w:rsid w:val="00FF6F57"/>
    <w:rsid w:val="00FF746D"/>
    <w:rsid w:val="00FF753F"/>
    <w:rsid w:val="00FF7941"/>
    <w:rsid w:val="00FF7A97"/>
    <w:rsid w:val="00FF7E3D"/>
    <w:rsid w:val="019A79FB"/>
    <w:rsid w:val="05D05251"/>
    <w:rsid w:val="063E4BFE"/>
    <w:rsid w:val="081E0000"/>
    <w:rsid w:val="0E8F1BAC"/>
    <w:rsid w:val="132D3D7D"/>
    <w:rsid w:val="199F1674"/>
    <w:rsid w:val="1F9A2E32"/>
    <w:rsid w:val="21EE5BF8"/>
    <w:rsid w:val="2C391165"/>
    <w:rsid w:val="2F0564E8"/>
    <w:rsid w:val="331C6809"/>
    <w:rsid w:val="342B3B11"/>
    <w:rsid w:val="35661444"/>
    <w:rsid w:val="39240E0C"/>
    <w:rsid w:val="3C5C4454"/>
    <w:rsid w:val="413D7CFE"/>
    <w:rsid w:val="43A72AB4"/>
    <w:rsid w:val="46184CB0"/>
    <w:rsid w:val="48E7288D"/>
    <w:rsid w:val="4F534414"/>
    <w:rsid w:val="532D43B2"/>
    <w:rsid w:val="550600D9"/>
    <w:rsid w:val="5C7153EF"/>
    <w:rsid w:val="5EA1375A"/>
    <w:rsid w:val="68625571"/>
    <w:rsid w:val="6E630819"/>
    <w:rsid w:val="78ED0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4925A802"/>
  <w15:docId w15:val="{603EA410-7855-4F97-9D44-CC9E7B9F1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iPriority="0" w:unhideWhenUsed="1" w:qFormat="1"/>
    <w:lsdException w:name="envelope return" w:semiHidden="1" w:uiPriority="0" w:unhideWhenUsed="1" w:qFormat="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qFormat="1"/>
    <w:lsdException w:name="List Continue 2" w:uiPriority="0" w:qFormat="1"/>
    <w:lsdException w:name="List Continue 3" w:uiPriority="0" w:qFormat="1"/>
    <w:lsdException w:name="List Continue 4" w:uiPriority="0" w:qFormat="1"/>
    <w:lsdException w:name="List Continue 5" w:uiPriority="0" w:qFormat="1"/>
    <w:lsdException w:name="Message Header" w:semiHidden="1" w:uiPriority="0" w:unhideWhenUsed="1" w:qFormat="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iPriority="0"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iPriority="0"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spacing w:beforeLines="50" w:before="50" w:line="360" w:lineRule="auto"/>
      <w:ind w:firstLineChars="200" w:firstLine="200"/>
      <w:jc w:val="both"/>
    </w:pPr>
    <w:rPr>
      <w:rFonts w:ascii="宋体" w:hAnsi="宋体" w:cs="宋体"/>
      <w:sz w:val="24"/>
      <w:szCs w:val="24"/>
    </w:rPr>
  </w:style>
  <w:style w:type="paragraph" w:styleId="1">
    <w:name w:val="heading 1"/>
    <w:basedOn w:val="a1"/>
    <w:next w:val="a1"/>
    <w:link w:val="11"/>
    <w:uiPriority w:val="9"/>
    <w:qFormat/>
    <w:pPr>
      <w:keepNext/>
      <w:keepLines/>
      <w:spacing w:before="340" w:after="330" w:line="578" w:lineRule="auto"/>
      <w:outlineLvl w:val="0"/>
    </w:pPr>
    <w:rPr>
      <w:rFonts w:cs="Times New Roman"/>
      <w:b/>
      <w:bCs/>
      <w:kern w:val="44"/>
      <w:sz w:val="44"/>
      <w:szCs w:val="44"/>
    </w:rPr>
  </w:style>
  <w:style w:type="paragraph" w:styleId="2">
    <w:name w:val="heading 2"/>
    <w:basedOn w:val="a1"/>
    <w:next w:val="a1"/>
    <w:link w:val="21"/>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1"/>
    <w:next w:val="a1"/>
    <w:link w:val="31"/>
    <w:qFormat/>
    <w:pPr>
      <w:keepNext/>
      <w:keepLines/>
      <w:spacing w:before="260" w:after="260" w:line="416" w:lineRule="auto"/>
      <w:outlineLvl w:val="2"/>
    </w:pPr>
    <w:rPr>
      <w:rFonts w:cs="Times New Roman"/>
      <w:b/>
      <w:bCs/>
      <w:sz w:val="32"/>
      <w:szCs w:val="32"/>
    </w:rPr>
  </w:style>
  <w:style w:type="paragraph" w:styleId="4">
    <w:name w:val="heading 4"/>
    <w:basedOn w:val="a1"/>
    <w:next w:val="a1"/>
    <w:link w:val="41"/>
    <w:qFormat/>
    <w:pPr>
      <w:keepNext/>
      <w:keepLines/>
      <w:adjustRightInd w:val="0"/>
      <w:spacing w:before="280" w:after="290" w:line="376" w:lineRule="atLeast"/>
      <w:textAlignment w:val="baseline"/>
      <w:outlineLvl w:val="3"/>
    </w:pPr>
    <w:rPr>
      <w:rFonts w:ascii="Arial" w:eastAsia="黑体" w:hAnsi="Arial" w:cs="Times New Roman"/>
      <w:b/>
      <w:sz w:val="28"/>
    </w:rPr>
  </w:style>
  <w:style w:type="paragraph" w:styleId="5">
    <w:name w:val="heading 5"/>
    <w:basedOn w:val="a1"/>
    <w:next w:val="a2"/>
    <w:link w:val="51"/>
    <w:qFormat/>
    <w:pPr>
      <w:keepNext/>
      <w:keepLines/>
      <w:numPr>
        <w:ilvl w:val="4"/>
        <w:numId w:val="1"/>
      </w:numPr>
      <w:spacing w:before="280" w:after="290" w:line="376" w:lineRule="auto"/>
      <w:outlineLvl w:val="4"/>
    </w:pPr>
    <w:rPr>
      <w:rFonts w:cs="Times New Roman"/>
      <w:b/>
      <w:bCs/>
      <w:sz w:val="28"/>
      <w:szCs w:val="28"/>
    </w:rPr>
  </w:style>
  <w:style w:type="paragraph" w:styleId="6">
    <w:name w:val="heading 6"/>
    <w:basedOn w:val="a1"/>
    <w:next w:val="a1"/>
    <w:link w:val="61"/>
    <w:qFormat/>
    <w:pPr>
      <w:keepNext/>
      <w:keepLines/>
      <w:adjustRightInd w:val="0"/>
      <w:spacing w:before="240" w:after="64" w:line="320" w:lineRule="atLeast"/>
      <w:textAlignment w:val="baseline"/>
      <w:outlineLvl w:val="5"/>
    </w:pPr>
    <w:rPr>
      <w:rFonts w:ascii="Arial" w:eastAsia="黑体" w:hAnsi="Arial" w:cs="Times New Roman"/>
      <w:b/>
    </w:rPr>
  </w:style>
  <w:style w:type="paragraph" w:styleId="7">
    <w:name w:val="heading 7"/>
    <w:basedOn w:val="a1"/>
    <w:next w:val="a2"/>
    <w:link w:val="71"/>
    <w:qFormat/>
    <w:pPr>
      <w:keepNext/>
      <w:keepLines/>
      <w:numPr>
        <w:ilvl w:val="6"/>
        <w:numId w:val="1"/>
      </w:numPr>
      <w:spacing w:before="240" w:after="64" w:line="320" w:lineRule="auto"/>
      <w:outlineLvl w:val="6"/>
    </w:pPr>
    <w:rPr>
      <w:rFonts w:cs="Times New Roman"/>
      <w:b/>
      <w:bCs/>
    </w:rPr>
  </w:style>
  <w:style w:type="paragraph" w:styleId="8">
    <w:name w:val="heading 8"/>
    <w:basedOn w:val="a1"/>
    <w:next w:val="a2"/>
    <w:link w:val="81"/>
    <w:qFormat/>
    <w:pPr>
      <w:keepNext/>
      <w:keepLines/>
      <w:numPr>
        <w:ilvl w:val="7"/>
        <w:numId w:val="1"/>
      </w:numPr>
      <w:spacing w:before="240" w:after="64" w:line="320" w:lineRule="auto"/>
      <w:outlineLvl w:val="7"/>
    </w:pPr>
    <w:rPr>
      <w:rFonts w:ascii="Arial" w:eastAsia="黑体" w:hAnsi="Arial" w:cs="Times New Roman"/>
    </w:rPr>
  </w:style>
  <w:style w:type="paragraph" w:styleId="9">
    <w:name w:val="heading 9"/>
    <w:basedOn w:val="a1"/>
    <w:next w:val="a2"/>
    <w:link w:val="91"/>
    <w:qFormat/>
    <w:pPr>
      <w:keepNext/>
      <w:keepLines/>
      <w:numPr>
        <w:ilvl w:val="8"/>
        <w:numId w:val="1"/>
      </w:numPr>
      <w:spacing w:before="240" w:after="64" w:line="320" w:lineRule="auto"/>
      <w:outlineLvl w:val="8"/>
    </w:pPr>
    <w:rPr>
      <w:rFonts w:ascii="Arial" w:eastAsia="黑体" w:hAnsi="Arial" w:cs="Times New Roman"/>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link w:val="a6"/>
    <w:qFormat/>
    <w:pPr>
      <w:ind w:firstLine="420"/>
    </w:pPr>
    <w:rPr>
      <w:rFonts w:cs="Times New Roman"/>
      <w:kern w:val="2"/>
      <w:sz w:val="21"/>
      <w:szCs w:val="21"/>
    </w:rPr>
  </w:style>
  <w:style w:type="paragraph" w:styleId="30">
    <w:name w:val="List 3"/>
    <w:basedOn w:val="a1"/>
    <w:qFormat/>
    <w:pPr>
      <w:spacing w:before="240" w:after="240"/>
      <w:ind w:left="1080" w:hanging="360"/>
    </w:pPr>
    <w:rPr>
      <w:lang w:eastAsia="en-US"/>
    </w:rPr>
  </w:style>
  <w:style w:type="paragraph" w:styleId="TOC7">
    <w:name w:val="toc 7"/>
    <w:basedOn w:val="a1"/>
    <w:next w:val="a1"/>
    <w:uiPriority w:val="39"/>
    <w:qFormat/>
    <w:pPr>
      <w:ind w:left="1260"/>
    </w:pPr>
    <w:rPr>
      <w:kern w:val="2"/>
      <w:sz w:val="18"/>
      <w:szCs w:val="18"/>
    </w:rPr>
  </w:style>
  <w:style w:type="paragraph" w:styleId="20">
    <w:name w:val="List Number 2"/>
    <w:basedOn w:val="a1"/>
    <w:qFormat/>
    <w:pPr>
      <w:tabs>
        <w:tab w:val="left" w:pos="1140"/>
      </w:tabs>
      <w:spacing w:before="240" w:after="240"/>
      <w:ind w:left="1140" w:hanging="720"/>
    </w:pPr>
    <w:rPr>
      <w:lang w:eastAsia="en-US"/>
    </w:rPr>
  </w:style>
  <w:style w:type="paragraph" w:styleId="a7">
    <w:name w:val="Note Heading"/>
    <w:basedOn w:val="a1"/>
    <w:next w:val="a1"/>
    <w:link w:val="a8"/>
    <w:qFormat/>
    <w:pPr>
      <w:jc w:val="center"/>
    </w:pPr>
    <w:rPr>
      <w:rFonts w:cs="Times New Roman"/>
      <w:szCs w:val="21"/>
    </w:rPr>
  </w:style>
  <w:style w:type="paragraph" w:styleId="40">
    <w:name w:val="List Bullet 4"/>
    <w:basedOn w:val="a1"/>
    <w:qFormat/>
    <w:pPr>
      <w:tabs>
        <w:tab w:val="left" w:pos="840"/>
      </w:tabs>
      <w:spacing w:before="240" w:after="240"/>
      <w:ind w:left="840" w:hanging="420"/>
    </w:pPr>
    <w:rPr>
      <w:lang w:eastAsia="en-US"/>
    </w:rPr>
  </w:style>
  <w:style w:type="paragraph" w:styleId="a9">
    <w:name w:val="E-mail Signature"/>
    <w:basedOn w:val="a1"/>
    <w:link w:val="aa"/>
    <w:qFormat/>
    <w:rPr>
      <w:rFonts w:ascii="Times New Roman" w:hAnsi="Times New Roman" w:cs="Times New Roman"/>
      <w:lang w:eastAsia="en-US"/>
    </w:rPr>
  </w:style>
  <w:style w:type="paragraph" w:styleId="ab">
    <w:name w:val="List Number"/>
    <w:basedOn w:val="a1"/>
    <w:qFormat/>
    <w:pPr>
      <w:tabs>
        <w:tab w:val="left" w:pos="720"/>
      </w:tabs>
      <w:spacing w:before="240" w:after="240"/>
      <w:ind w:left="720" w:hanging="720"/>
    </w:pPr>
    <w:rPr>
      <w:lang w:eastAsia="en-US"/>
    </w:rPr>
  </w:style>
  <w:style w:type="paragraph" w:styleId="ac">
    <w:name w:val="caption"/>
    <w:basedOn w:val="a1"/>
    <w:next w:val="a1"/>
    <w:link w:val="ad"/>
    <w:qFormat/>
    <w:pPr>
      <w:spacing w:line="300" w:lineRule="auto"/>
    </w:pPr>
    <w:rPr>
      <w:rFonts w:hAnsi="Arial" w:cs="Times New Roman"/>
      <w:kern w:val="2"/>
      <w:sz w:val="18"/>
      <w:szCs w:val="18"/>
    </w:rPr>
  </w:style>
  <w:style w:type="paragraph" w:styleId="ae">
    <w:name w:val="List Bullet"/>
    <w:basedOn w:val="a1"/>
    <w:qFormat/>
    <w:pPr>
      <w:tabs>
        <w:tab w:val="left" w:pos="840"/>
      </w:tabs>
      <w:spacing w:before="240" w:after="240"/>
      <w:ind w:left="840" w:hanging="420"/>
    </w:pPr>
    <w:rPr>
      <w:lang w:eastAsia="en-US"/>
    </w:rPr>
  </w:style>
  <w:style w:type="paragraph" w:styleId="af">
    <w:name w:val="envelope address"/>
    <w:basedOn w:val="a1"/>
    <w:qFormat/>
    <w:pPr>
      <w:framePr w:w="7920" w:h="1980" w:hRule="exact" w:hSpace="180" w:wrap="around" w:hAnchor="page" w:xAlign="center" w:yAlign="bottom"/>
      <w:ind w:left="2880"/>
    </w:pPr>
    <w:rPr>
      <w:rFonts w:cs="Arial"/>
      <w:lang w:eastAsia="en-US"/>
    </w:rPr>
  </w:style>
  <w:style w:type="paragraph" w:styleId="af0">
    <w:name w:val="Document Map"/>
    <w:basedOn w:val="a1"/>
    <w:link w:val="10"/>
    <w:qFormat/>
    <w:pPr>
      <w:shd w:val="clear" w:color="auto" w:fill="000080"/>
    </w:pPr>
    <w:rPr>
      <w:rFonts w:cs="Times New Roman"/>
      <w:szCs w:val="21"/>
    </w:rPr>
  </w:style>
  <w:style w:type="paragraph" w:styleId="af1">
    <w:name w:val="annotation text"/>
    <w:basedOn w:val="a1"/>
    <w:link w:val="12"/>
    <w:uiPriority w:val="99"/>
    <w:qFormat/>
    <w:rPr>
      <w:rFonts w:cs="Times New Roman"/>
      <w:szCs w:val="21"/>
    </w:rPr>
  </w:style>
  <w:style w:type="paragraph" w:styleId="af2">
    <w:name w:val="Salutation"/>
    <w:basedOn w:val="a1"/>
    <w:next w:val="a1"/>
    <w:link w:val="af3"/>
    <w:qFormat/>
    <w:rPr>
      <w:rFonts w:cs="Times New Roman"/>
      <w:lang w:eastAsia="en-US"/>
    </w:rPr>
  </w:style>
  <w:style w:type="paragraph" w:styleId="32">
    <w:name w:val="Body Text 3"/>
    <w:basedOn w:val="a1"/>
    <w:link w:val="310"/>
    <w:qFormat/>
    <w:pPr>
      <w:spacing w:before="240" w:after="240"/>
    </w:pPr>
    <w:rPr>
      <w:rFonts w:cs="Times New Roman"/>
      <w:szCs w:val="16"/>
      <w:lang w:eastAsia="en-US"/>
    </w:rPr>
  </w:style>
  <w:style w:type="paragraph" w:styleId="af4">
    <w:name w:val="Closing"/>
    <w:basedOn w:val="a1"/>
    <w:link w:val="af5"/>
    <w:qFormat/>
    <w:pPr>
      <w:keepLines/>
      <w:tabs>
        <w:tab w:val="left" w:pos="4752"/>
        <w:tab w:val="right" w:pos="8640"/>
      </w:tabs>
      <w:spacing w:before="480" w:after="480"/>
      <w:ind w:left="4320"/>
    </w:pPr>
    <w:rPr>
      <w:rFonts w:cs="Times New Roman"/>
      <w:lang w:eastAsia="en-US"/>
    </w:rPr>
  </w:style>
  <w:style w:type="paragraph" w:styleId="33">
    <w:name w:val="List Bullet 3"/>
    <w:basedOn w:val="a1"/>
    <w:qFormat/>
    <w:pPr>
      <w:tabs>
        <w:tab w:val="left" w:pos="840"/>
      </w:tabs>
      <w:spacing w:before="240" w:after="240"/>
      <w:ind w:left="840" w:hanging="420"/>
    </w:pPr>
    <w:rPr>
      <w:lang w:eastAsia="en-US"/>
    </w:rPr>
  </w:style>
  <w:style w:type="paragraph" w:styleId="af6">
    <w:name w:val="Body Text"/>
    <w:basedOn w:val="a1"/>
    <w:link w:val="13"/>
    <w:qFormat/>
    <w:pPr>
      <w:spacing w:after="120"/>
    </w:pPr>
    <w:rPr>
      <w:rFonts w:cs="Times New Roman"/>
      <w:szCs w:val="21"/>
    </w:rPr>
  </w:style>
  <w:style w:type="paragraph" w:styleId="af7">
    <w:name w:val="Body Text Indent"/>
    <w:basedOn w:val="a1"/>
    <w:link w:val="14"/>
    <w:qFormat/>
    <w:pPr>
      <w:spacing w:after="120"/>
      <w:ind w:leftChars="200" w:left="420"/>
    </w:pPr>
    <w:rPr>
      <w:rFonts w:cs="Times New Roman"/>
      <w:szCs w:val="21"/>
    </w:rPr>
  </w:style>
  <w:style w:type="paragraph" w:styleId="34">
    <w:name w:val="List Number 3"/>
    <w:basedOn w:val="a1"/>
    <w:qFormat/>
    <w:pPr>
      <w:tabs>
        <w:tab w:val="left" w:pos="2160"/>
      </w:tabs>
      <w:spacing w:before="240" w:after="240"/>
      <w:ind w:left="2160" w:hanging="720"/>
    </w:pPr>
    <w:rPr>
      <w:lang w:eastAsia="en-US"/>
    </w:rPr>
  </w:style>
  <w:style w:type="paragraph" w:styleId="22">
    <w:name w:val="List 2"/>
    <w:basedOn w:val="a1"/>
    <w:qFormat/>
    <w:pPr>
      <w:spacing w:before="240" w:after="240"/>
      <w:ind w:left="720" w:hanging="360"/>
    </w:pPr>
    <w:rPr>
      <w:lang w:eastAsia="en-US"/>
    </w:rPr>
  </w:style>
  <w:style w:type="paragraph" w:styleId="af8">
    <w:name w:val="List Continue"/>
    <w:basedOn w:val="a1"/>
    <w:qFormat/>
    <w:pPr>
      <w:spacing w:before="240" w:after="240"/>
      <w:ind w:left="360"/>
    </w:pPr>
    <w:rPr>
      <w:lang w:eastAsia="en-US"/>
    </w:rPr>
  </w:style>
  <w:style w:type="paragraph" w:styleId="af9">
    <w:name w:val="Block Text"/>
    <w:basedOn w:val="a1"/>
    <w:link w:val="afa"/>
    <w:qFormat/>
    <w:pPr>
      <w:autoSpaceDE w:val="0"/>
      <w:autoSpaceDN w:val="0"/>
      <w:adjustRightInd w:val="0"/>
      <w:spacing w:line="450" w:lineRule="exact"/>
      <w:ind w:left="120" w:right="26" w:firstLine="480"/>
    </w:pPr>
    <w:rPr>
      <w:rFonts w:cs="Times New Roman"/>
      <w:sz w:val="20"/>
    </w:rPr>
  </w:style>
  <w:style w:type="paragraph" w:styleId="23">
    <w:name w:val="List Bullet 2"/>
    <w:basedOn w:val="a1"/>
    <w:qFormat/>
    <w:pPr>
      <w:tabs>
        <w:tab w:val="left" w:pos="1260"/>
      </w:tabs>
      <w:spacing w:before="240" w:after="240"/>
    </w:pPr>
    <w:rPr>
      <w:lang w:eastAsia="en-US"/>
    </w:rPr>
  </w:style>
  <w:style w:type="paragraph" w:styleId="HTML">
    <w:name w:val="HTML Address"/>
    <w:basedOn w:val="a1"/>
    <w:link w:val="HTML0"/>
    <w:qFormat/>
    <w:rPr>
      <w:rFonts w:ascii="Times New Roman" w:hAnsi="Times New Roman" w:cs="Times New Roman"/>
      <w:i/>
      <w:iCs/>
      <w:lang w:eastAsia="en-US"/>
    </w:rPr>
  </w:style>
  <w:style w:type="paragraph" w:styleId="TOC5">
    <w:name w:val="toc 5"/>
    <w:basedOn w:val="a1"/>
    <w:next w:val="a1"/>
    <w:uiPriority w:val="39"/>
    <w:qFormat/>
    <w:pPr>
      <w:ind w:left="840"/>
    </w:pPr>
    <w:rPr>
      <w:kern w:val="2"/>
      <w:sz w:val="18"/>
      <w:szCs w:val="18"/>
    </w:rPr>
  </w:style>
  <w:style w:type="paragraph" w:styleId="TOC3">
    <w:name w:val="toc 3"/>
    <w:basedOn w:val="a1"/>
    <w:next w:val="a1"/>
    <w:uiPriority w:val="39"/>
    <w:qFormat/>
    <w:pPr>
      <w:ind w:leftChars="400" w:left="840"/>
    </w:pPr>
    <w:rPr>
      <w:kern w:val="2"/>
      <w:sz w:val="21"/>
      <w:szCs w:val="21"/>
    </w:rPr>
  </w:style>
  <w:style w:type="paragraph" w:styleId="afb">
    <w:name w:val="Plain Text"/>
    <w:basedOn w:val="a1"/>
    <w:link w:val="15"/>
    <w:qFormat/>
    <w:rPr>
      <w:rFonts w:hAnsi="Courier New" w:cs="Times New Roman"/>
      <w:szCs w:val="21"/>
    </w:rPr>
  </w:style>
  <w:style w:type="paragraph" w:styleId="50">
    <w:name w:val="List Bullet 5"/>
    <w:basedOn w:val="a1"/>
    <w:qFormat/>
    <w:pPr>
      <w:tabs>
        <w:tab w:val="left" w:pos="1140"/>
      </w:tabs>
      <w:spacing w:before="240" w:after="240"/>
      <w:ind w:left="1140" w:hanging="720"/>
    </w:pPr>
    <w:rPr>
      <w:lang w:eastAsia="en-US"/>
    </w:rPr>
  </w:style>
  <w:style w:type="paragraph" w:styleId="42">
    <w:name w:val="List Number 4"/>
    <w:basedOn w:val="a1"/>
    <w:qFormat/>
    <w:pPr>
      <w:tabs>
        <w:tab w:val="left" w:pos="2880"/>
      </w:tabs>
      <w:spacing w:before="240" w:after="240"/>
      <w:ind w:left="2880" w:hanging="720"/>
    </w:pPr>
    <w:rPr>
      <w:lang w:eastAsia="en-US"/>
    </w:rPr>
  </w:style>
  <w:style w:type="paragraph" w:styleId="TOC8">
    <w:name w:val="toc 8"/>
    <w:basedOn w:val="a1"/>
    <w:next w:val="a1"/>
    <w:uiPriority w:val="39"/>
    <w:qFormat/>
    <w:pPr>
      <w:ind w:left="1470"/>
    </w:pPr>
    <w:rPr>
      <w:kern w:val="2"/>
      <w:sz w:val="18"/>
      <w:szCs w:val="18"/>
    </w:rPr>
  </w:style>
  <w:style w:type="paragraph" w:styleId="afc">
    <w:name w:val="Date"/>
    <w:basedOn w:val="a1"/>
    <w:next w:val="a1"/>
    <w:link w:val="16"/>
    <w:qFormat/>
    <w:rPr>
      <w:rFonts w:cs="Times New Roman"/>
      <w:szCs w:val="21"/>
    </w:rPr>
  </w:style>
  <w:style w:type="paragraph" w:styleId="24">
    <w:name w:val="Body Text Indent 2"/>
    <w:basedOn w:val="a1"/>
    <w:link w:val="210"/>
    <w:qFormat/>
    <w:pPr>
      <w:spacing w:line="440" w:lineRule="exact"/>
      <w:ind w:firstLineChars="257" w:firstLine="540"/>
    </w:pPr>
    <w:rPr>
      <w:rFonts w:cs="Times New Roman"/>
      <w:color w:val="0000FF"/>
    </w:rPr>
  </w:style>
  <w:style w:type="paragraph" w:styleId="afd">
    <w:name w:val="endnote text"/>
    <w:basedOn w:val="a1"/>
    <w:link w:val="17"/>
    <w:qFormat/>
    <w:pPr>
      <w:snapToGrid w:val="0"/>
    </w:pPr>
    <w:rPr>
      <w:rFonts w:cs="Times New Roman"/>
      <w:szCs w:val="21"/>
    </w:rPr>
  </w:style>
  <w:style w:type="paragraph" w:styleId="52">
    <w:name w:val="List Continue 5"/>
    <w:basedOn w:val="a1"/>
    <w:qFormat/>
    <w:pPr>
      <w:spacing w:before="240" w:after="240"/>
      <w:ind w:left="1800"/>
    </w:pPr>
    <w:rPr>
      <w:lang w:eastAsia="en-US"/>
    </w:rPr>
  </w:style>
  <w:style w:type="paragraph" w:styleId="afe">
    <w:name w:val="Balloon Text"/>
    <w:basedOn w:val="a1"/>
    <w:link w:val="18"/>
    <w:qFormat/>
    <w:rPr>
      <w:rFonts w:cs="Times New Roman"/>
      <w:sz w:val="18"/>
      <w:szCs w:val="18"/>
    </w:rPr>
  </w:style>
  <w:style w:type="paragraph" w:styleId="aff">
    <w:name w:val="footer"/>
    <w:basedOn w:val="a1"/>
    <w:link w:val="19"/>
    <w:uiPriority w:val="99"/>
    <w:unhideWhenUsed/>
    <w:qFormat/>
    <w:pPr>
      <w:tabs>
        <w:tab w:val="center" w:pos="4153"/>
        <w:tab w:val="right" w:pos="8306"/>
      </w:tabs>
      <w:snapToGrid w:val="0"/>
    </w:pPr>
    <w:rPr>
      <w:rFonts w:ascii="Calibri" w:hAnsi="Calibri" w:cs="Times New Roman"/>
      <w:sz w:val="18"/>
      <w:szCs w:val="18"/>
    </w:rPr>
  </w:style>
  <w:style w:type="paragraph" w:styleId="aff0">
    <w:name w:val="envelope return"/>
    <w:basedOn w:val="a1"/>
    <w:qFormat/>
    <w:rPr>
      <w:rFonts w:cs="Arial"/>
      <w:lang w:eastAsia="en-US"/>
    </w:rPr>
  </w:style>
  <w:style w:type="paragraph" w:styleId="aff1">
    <w:name w:val="header"/>
    <w:basedOn w:val="a1"/>
    <w:link w:val="1a"/>
    <w:uiPriority w:val="99"/>
    <w:unhideWhenUsed/>
    <w:qFormat/>
    <w:pPr>
      <w:pBdr>
        <w:bottom w:val="single" w:sz="6" w:space="1" w:color="auto"/>
      </w:pBdr>
      <w:tabs>
        <w:tab w:val="center" w:pos="4153"/>
        <w:tab w:val="right" w:pos="8306"/>
      </w:tabs>
      <w:snapToGrid w:val="0"/>
      <w:jc w:val="center"/>
    </w:pPr>
    <w:rPr>
      <w:rFonts w:ascii="Calibri" w:hAnsi="Calibri" w:cs="Times New Roman"/>
      <w:sz w:val="18"/>
      <w:szCs w:val="18"/>
    </w:rPr>
  </w:style>
  <w:style w:type="paragraph" w:styleId="aff2">
    <w:name w:val="Signature"/>
    <w:basedOn w:val="a1"/>
    <w:link w:val="aff3"/>
    <w:qFormat/>
    <w:pPr>
      <w:keepLines/>
      <w:tabs>
        <w:tab w:val="left" w:pos="4752"/>
        <w:tab w:val="right" w:pos="8640"/>
      </w:tabs>
      <w:spacing w:before="480" w:after="480"/>
      <w:ind w:left="4320"/>
    </w:pPr>
    <w:rPr>
      <w:rFonts w:cs="Times New Roman"/>
      <w:lang w:eastAsia="en-US"/>
    </w:rPr>
  </w:style>
  <w:style w:type="paragraph" w:styleId="TOC1">
    <w:name w:val="toc 1"/>
    <w:basedOn w:val="a1"/>
    <w:next w:val="a1"/>
    <w:uiPriority w:val="39"/>
    <w:qFormat/>
    <w:pPr>
      <w:tabs>
        <w:tab w:val="right" w:leader="dot" w:pos="9016"/>
      </w:tabs>
      <w:spacing w:before="120" w:after="120"/>
    </w:pPr>
    <w:rPr>
      <w:rFonts w:ascii="Times New Roman" w:eastAsia="黑体" w:hAnsi="Times New Roman" w:cs="Times New Roman"/>
      <w:bCs/>
      <w:caps/>
      <w:kern w:val="2"/>
    </w:rPr>
  </w:style>
  <w:style w:type="paragraph" w:styleId="43">
    <w:name w:val="List Continue 4"/>
    <w:basedOn w:val="a1"/>
    <w:qFormat/>
    <w:pPr>
      <w:spacing w:before="240" w:after="240"/>
      <w:ind w:left="1440"/>
    </w:pPr>
    <w:rPr>
      <w:lang w:eastAsia="en-US"/>
    </w:rPr>
  </w:style>
  <w:style w:type="paragraph" w:styleId="TOC4">
    <w:name w:val="toc 4"/>
    <w:basedOn w:val="a1"/>
    <w:next w:val="a1"/>
    <w:uiPriority w:val="39"/>
    <w:qFormat/>
    <w:pPr>
      <w:ind w:left="630"/>
    </w:pPr>
    <w:rPr>
      <w:kern w:val="2"/>
      <w:sz w:val="18"/>
      <w:szCs w:val="18"/>
    </w:rPr>
  </w:style>
  <w:style w:type="paragraph" w:styleId="aff4">
    <w:name w:val="Subtitle"/>
    <w:basedOn w:val="a1"/>
    <w:next w:val="af6"/>
    <w:link w:val="1b"/>
    <w:qFormat/>
    <w:pPr>
      <w:keepNext/>
      <w:spacing w:before="240" w:after="240"/>
      <w:jc w:val="center"/>
    </w:pPr>
    <w:rPr>
      <w:rFonts w:cs="Times New Roman"/>
      <w:lang w:eastAsia="en-US"/>
    </w:rPr>
  </w:style>
  <w:style w:type="paragraph" w:styleId="53">
    <w:name w:val="List Number 5"/>
    <w:basedOn w:val="a1"/>
    <w:qFormat/>
    <w:pPr>
      <w:tabs>
        <w:tab w:val="left" w:pos="3600"/>
      </w:tabs>
      <w:spacing w:before="240" w:after="240"/>
      <w:ind w:left="3600" w:hanging="720"/>
    </w:pPr>
    <w:rPr>
      <w:lang w:eastAsia="en-US"/>
    </w:rPr>
  </w:style>
  <w:style w:type="paragraph" w:styleId="aff5">
    <w:name w:val="List"/>
    <w:basedOn w:val="a1"/>
    <w:qFormat/>
    <w:pPr>
      <w:spacing w:before="240" w:after="240"/>
      <w:ind w:left="360" w:hanging="360"/>
    </w:pPr>
    <w:rPr>
      <w:lang w:eastAsia="en-US"/>
    </w:rPr>
  </w:style>
  <w:style w:type="paragraph" w:styleId="aff6">
    <w:name w:val="footnote text"/>
    <w:basedOn w:val="a1"/>
    <w:link w:val="1c"/>
    <w:qFormat/>
    <w:pPr>
      <w:snapToGrid w:val="0"/>
    </w:pPr>
    <w:rPr>
      <w:rFonts w:cs="Times New Roman"/>
      <w:sz w:val="18"/>
    </w:rPr>
  </w:style>
  <w:style w:type="paragraph" w:styleId="TOC6">
    <w:name w:val="toc 6"/>
    <w:basedOn w:val="a1"/>
    <w:next w:val="a1"/>
    <w:uiPriority w:val="39"/>
    <w:qFormat/>
    <w:pPr>
      <w:ind w:left="1050"/>
    </w:pPr>
    <w:rPr>
      <w:kern w:val="2"/>
      <w:sz w:val="18"/>
      <w:szCs w:val="18"/>
    </w:rPr>
  </w:style>
  <w:style w:type="paragraph" w:styleId="54">
    <w:name w:val="List 5"/>
    <w:basedOn w:val="a1"/>
    <w:qFormat/>
    <w:pPr>
      <w:spacing w:before="240" w:after="240"/>
      <w:ind w:left="1800" w:hanging="360"/>
    </w:pPr>
    <w:rPr>
      <w:lang w:eastAsia="en-US"/>
    </w:rPr>
  </w:style>
  <w:style w:type="paragraph" w:styleId="35">
    <w:name w:val="Body Text Indent 3"/>
    <w:basedOn w:val="a1"/>
    <w:link w:val="311"/>
    <w:qFormat/>
    <w:pPr>
      <w:spacing w:line="440" w:lineRule="atLeast"/>
      <w:ind w:firstLine="480"/>
    </w:pPr>
    <w:rPr>
      <w:rFonts w:cs="Times New Roman"/>
    </w:rPr>
  </w:style>
  <w:style w:type="paragraph" w:styleId="90">
    <w:name w:val="index 9"/>
    <w:basedOn w:val="a1"/>
    <w:next w:val="a1"/>
    <w:qFormat/>
    <w:pPr>
      <w:ind w:left="3240" w:hanging="360"/>
    </w:pPr>
    <w:rPr>
      <w:lang w:eastAsia="en-US"/>
    </w:rPr>
  </w:style>
  <w:style w:type="paragraph" w:styleId="aff7">
    <w:name w:val="table of figures"/>
    <w:basedOn w:val="a1"/>
    <w:next w:val="a1"/>
    <w:uiPriority w:val="99"/>
    <w:unhideWhenUsed/>
    <w:qFormat/>
    <w:pPr>
      <w:ind w:leftChars="200" w:left="200" w:hangingChars="200" w:hanging="200"/>
    </w:pPr>
  </w:style>
  <w:style w:type="paragraph" w:styleId="TOC2">
    <w:name w:val="toc 2"/>
    <w:basedOn w:val="a1"/>
    <w:next w:val="a1"/>
    <w:uiPriority w:val="39"/>
    <w:qFormat/>
    <w:pPr>
      <w:tabs>
        <w:tab w:val="right" w:leader="dot" w:pos="9000"/>
      </w:tabs>
      <w:spacing w:beforeLines="10"/>
      <w:ind w:left="210"/>
    </w:pPr>
    <w:rPr>
      <w:rFonts w:ascii="Times New Roman" w:hAnsi="Times New Roman" w:cs="Arial"/>
      <w:kern w:val="2"/>
    </w:rPr>
  </w:style>
  <w:style w:type="paragraph" w:styleId="TOC9">
    <w:name w:val="toc 9"/>
    <w:basedOn w:val="a1"/>
    <w:next w:val="a1"/>
    <w:uiPriority w:val="39"/>
    <w:qFormat/>
    <w:pPr>
      <w:ind w:left="1680"/>
    </w:pPr>
    <w:rPr>
      <w:kern w:val="2"/>
      <w:sz w:val="18"/>
      <w:szCs w:val="18"/>
    </w:rPr>
  </w:style>
  <w:style w:type="paragraph" w:styleId="25">
    <w:name w:val="Body Text 2"/>
    <w:basedOn w:val="a1"/>
    <w:link w:val="211"/>
    <w:qFormat/>
    <w:rPr>
      <w:rFonts w:ascii="Arial" w:hAnsi="Arial" w:cs="Times New Roman"/>
      <w:b/>
    </w:rPr>
  </w:style>
  <w:style w:type="paragraph" w:styleId="44">
    <w:name w:val="List 4"/>
    <w:basedOn w:val="a1"/>
    <w:qFormat/>
    <w:pPr>
      <w:spacing w:before="240" w:after="240"/>
      <w:ind w:left="1440" w:hanging="360"/>
    </w:pPr>
    <w:rPr>
      <w:lang w:eastAsia="en-US"/>
    </w:rPr>
  </w:style>
  <w:style w:type="paragraph" w:styleId="26">
    <w:name w:val="List Continue 2"/>
    <w:basedOn w:val="a1"/>
    <w:qFormat/>
    <w:pPr>
      <w:spacing w:before="240" w:after="240"/>
      <w:ind w:left="720"/>
    </w:pPr>
    <w:rPr>
      <w:lang w:eastAsia="en-US"/>
    </w:rPr>
  </w:style>
  <w:style w:type="paragraph" w:styleId="aff8">
    <w:name w:val="Message Header"/>
    <w:basedOn w:val="a1"/>
    <w:link w:val="aff9"/>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Times New Roman"/>
      <w:lang w:eastAsia="en-US"/>
    </w:rPr>
  </w:style>
  <w:style w:type="paragraph" w:styleId="HTML1">
    <w:name w:val="HTML Preformatted"/>
    <w:basedOn w:val="a1"/>
    <w:link w:val="HTML2"/>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Times New Roman"/>
    </w:rPr>
  </w:style>
  <w:style w:type="paragraph" w:styleId="affa">
    <w:name w:val="Normal (Web)"/>
    <w:basedOn w:val="a1"/>
    <w:link w:val="affb"/>
    <w:uiPriority w:val="99"/>
    <w:qFormat/>
    <w:rPr>
      <w:rFonts w:cs="Times New Roman"/>
    </w:rPr>
  </w:style>
  <w:style w:type="paragraph" w:styleId="36">
    <w:name w:val="List Continue 3"/>
    <w:basedOn w:val="a1"/>
    <w:qFormat/>
    <w:pPr>
      <w:spacing w:before="240" w:after="240"/>
      <w:ind w:left="1080"/>
    </w:pPr>
    <w:rPr>
      <w:lang w:eastAsia="en-US"/>
    </w:rPr>
  </w:style>
  <w:style w:type="paragraph" w:styleId="affc">
    <w:name w:val="Title"/>
    <w:basedOn w:val="a1"/>
    <w:next w:val="aff4"/>
    <w:link w:val="1d"/>
    <w:qFormat/>
    <w:pPr>
      <w:keepNext/>
      <w:spacing w:after="240"/>
      <w:jc w:val="center"/>
    </w:pPr>
    <w:rPr>
      <w:rFonts w:cs="Times New Roman"/>
      <w:b/>
      <w:lang w:eastAsia="en-US"/>
    </w:rPr>
  </w:style>
  <w:style w:type="paragraph" w:styleId="affd">
    <w:name w:val="annotation subject"/>
    <w:basedOn w:val="af1"/>
    <w:next w:val="af1"/>
    <w:link w:val="1e"/>
    <w:uiPriority w:val="99"/>
    <w:qFormat/>
    <w:rPr>
      <w:b/>
      <w:bCs/>
    </w:rPr>
  </w:style>
  <w:style w:type="paragraph" w:styleId="affe">
    <w:name w:val="Body Text First Indent"/>
    <w:basedOn w:val="af6"/>
    <w:link w:val="afff"/>
    <w:qFormat/>
    <w:pPr>
      <w:spacing w:before="240" w:after="240"/>
      <w:ind w:left="720" w:firstLine="720"/>
    </w:pPr>
    <w:rPr>
      <w:szCs w:val="20"/>
      <w:lang w:eastAsia="en-US"/>
    </w:rPr>
  </w:style>
  <w:style w:type="paragraph" w:styleId="27">
    <w:name w:val="Body Text First Indent 2"/>
    <w:basedOn w:val="af6"/>
    <w:link w:val="28"/>
    <w:qFormat/>
    <w:pPr>
      <w:spacing w:before="240" w:after="0" w:line="480" w:lineRule="auto"/>
      <w:ind w:left="720" w:firstLine="720"/>
    </w:pPr>
    <w:rPr>
      <w:szCs w:val="20"/>
      <w:lang w:eastAsia="en-US"/>
    </w:rPr>
  </w:style>
  <w:style w:type="table" w:styleId="afff0">
    <w:name w:val="Table Grid"/>
    <w:basedOn w:val="a4"/>
    <w:qFormat/>
    <w:rPr>
      <w:rFonts w:ascii="Arial" w:eastAsia="楷体_GB2312"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Strong"/>
    <w:uiPriority w:val="22"/>
    <w:qFormat/>
    <w:rPr>
      <w:b/>
      <w:bCs/>
    </w:rPr>
  </w:style>
  <w:style w:type="character" w:styleId="afff2">
    <w:name w:val="endnote reference"/>
    <w:qFormat/>
    <w:rPr>
      <w:vertAlign w:val="superscript"/>
    </w:rPr>
  </w:style>
  <w:style w:type="character" w:styleId="afff3">
    <w:name w:val="page number"/>
    <w:qFormat/>
  </w:style>
  <w:style w:type="character" w:styleId="afff4">
    <w:name w:val="FollowedHyperlink"/>
    <w:qFormat/>
    <w:rPr>
      <w:color w:val="800080"/>
      <w:u w:val="single"/>
    </w:rPr>
  </w:style>
  <w:style w:type="character" w:styleId="afff5">
    <w:name w:val="Emphasis"/>
    <w:qFormat/>
    <w:rPr>
      <w:color w:val="CC0033"/>
    </w:rPr>
  </w:style>
  <w:style w:type="character" w:styleId="HTML3">
    <w:name w:val="HTML Typewriter"/>
    <w:qFormat/>
    <w:rPr>
      <w:rFonts w:ascii="华文仿宋" w:eastAsia="华文仿宋" w:hAnsi="华文仿宋" w:cs="华文仿宋"/>
      <w:sz w:val="24"/>
      <w:szCs w:val="24"/>
    </w:rPr>
  </w:style>
  <w:style w:type="character" w:styleId="afff6">
    <w:name w:val="Hyperlink"/>
    <w:uiPriority w:val="99"/>
    <w:qFormat/>
    <w:rPr>
      <w:color w:val="0000FF"/>
      <w:u w:val="single"/>
    </w:rPr>
  </w:style>
  <w:style w:type="character" w:styleId="afff7">
    <w:name w:val="annotation reference"/>
    <w:uiPriority w:val="99"/>
    <w:qFormat/>
    <w:rPr>
      <w:sz w:val="21"/>
      <w:szCs w:val="21"/>
    </w:rPr>
  </w:style>
  <w:style w:type="character" w:styleId="afff8">
    <w:name w:val="footnote reference"/>
    <w:qFormat/>
    <w:rPr>
      <w:vertAlign w:val="superscript"/>
    </w:rPr>
  </w:style>
  <w:style w:type="paragraph" w:customStyle="1" w:styleId="ParaCharCharCharCharCharCharCharCharCharChar">
    <w:name w:val="默认段落字体 Para Char Char Char Char Char Char Char Char Char Char"/>
    <w:basedOn w:val="a1"/>
    <w:qFormat/>
    <w:rPr>
      <w:rFonts w:ascii="Tahoma" w:hAnsi="Tahoma"/>
      <w:kern w:val="2"/>
    </w:rPr>
  </w:style>
  <w:style w:type="paragraph" w:customStyle="1" w:styleId="Char2">
    <w:name w:val="Char2"/>
    <w:basedOn w:val="a1"/>
    <w:qFormat/>
    <w:pPr>
      <w:spacing w:after="160" w:line="240" w:lineRule="exact"/>
    </w:pPr>
    <w:rPr>
      <w:rFonts w:ascii="Verdana" w:eastAsia="Times New Roman" w:hAnsi="Verdana"/>
      <w:lang w:eastAsia="en-US"/>
    </w:rPr>
  </w:style>
  <w:style w:type="paragraph" w:customStyle="1" w:styleId="80">
    <w:name w:val="8"/>
    <w:basedOn w:val="a1"/>
    <w:semiHidden/>
    <w:qFormat/>
    <w:pPr>
      <w:spacing w:after="160" w:line="240" w:lineRule="exact"/>
    </w:pPr>
    <w:rPr>
      <w:rFonts w:ascii="Verdana" w:eastAsia="Times New Roman" w:hAnsi="Verdana"/>
      <w:lang w:eastAsia="en-US"/>
    </w:rPr>
  </w:style>
  <w:style w:type="paragraph" w:customStyle="1" w:styleId="1f">
    <w:name w:val="1."/>
    <w:basedOn w:val="a1"/>
    <w:semiHidden/>
    <w:qFormat/>
    <w:rPr>
      <w:rFonts w:ascii="Arial" w:hAnsi="Arial" w:cs="Arial"/>
      <w:b/>
      <w:bCs/>
      <w:kern w:val="2"/>
    </w:rPr>
  </w:style>
  <w:style w:type="paragraph" w:customStyle="1" w:styleId="afff9">
    <w:name w:val="章"/>
    <w:basedOn w:val="1"/>
    <w:qFormat/>
    <w:pPr>
      <w:adjustRightInd w:val="0"/>
      <w:snapToGrid w:val="0"/>
      <w:spacing w:before="120" w:after="120" w:line="360" w:lineRule="auto"/>
      <w:jc w:val="center"/>
    </w:pPr>
    <w:rPr>
      <w:rFonts w:eastAsia="黑体"/>
      <w:b w:val="0"/>
      <w:bCs w:val="0"/>
      <w:kern w:val="2"/>
      <w:sz w:val="36"/>
      <w:szCs w:val="36"/>
    </w:rPr>
  </w:style>
  <w:style w:type="paragraph" w:customStyle="1" w:styleId="afffa">
    <w:name w:val="招股书正文"/>
    <w:link w:val="Char3"/>
    <w:qFormat/>
    <w:pPr>
      <w:widowControl w:val="0"/>
      <w:overflowPunct w:val="0"/>
      <w:autoSpaceDE w:val="0"/>
      <w:autoSpaceDN w:val="0"/>
      <w:adjustRightInd w:val="0"/>
      <w:snapToGrid w:val="0"/>
      <w:spacing w:before="120" w:line="360" w:lineRule="auto"/>
      <w:ind w:firstLineChars="200" w:firstLine="480"/>
    </w:pPr>
    <w:rPr>
      <w:rFonts w:ascii="Arial" w:hAnsi="Arial"/>
      <w:sz w:val="24"/>
      <w:szCs w:val="24"/>
    </w:rPr>
  </w:style>
  <w:style w:type="paragraph" w:customStyle="1" w:styleId="afffb">
    <w:name w:val="第三层 一、"/>
    <w:basedOn w:val="af7"/>
    <w:qFormat/>
    <w:pPr>
      <w:keepNext/>
      <w:overflowPunct w:val="0"/>
      <w:autoSpaceDE w:val="0"/>
      <w:autoSpaceDN w:val="0"/>
      <w:adjustRightInd w:val="0"/>
      <w:spacing w:after="0"/>
      <w:ind w:leftChars="0" w:left="0"/>
      <w:textAlignment w:val="baseline"/>
      <w:outlineLvl w:val="2"/>
    </w:pPr>
    <w:rPr>
      <w:rFonts w:eastAsia="黑体" w:cs="黑体"/>
      <w:sz w:val="30"/>
      <w:szCs w:val="18"/>
    </w:rPr>
  </w:style>
  <w:style w:type="paragraph" w:customStyle="1" w:styleId="afffc">
    <w:name w:val="第四层 （一）"/>
    <w:qFormat/>
    <w:pPr>
      <w:keepNext/>
      <w:spacing w:before="120" w:line="360" w:lineRule="auto"/>
    </w:pPr>
    <w:rPr>
      <w:rFonts w:ascii="Arial" w:hAnsi="Arial"/>
      <w:b/>
      <w:bCs/>
      <w:kern w:val="2"/>
      <w:sz w:val="24"/>
      <w:szCs w:val="24"/>
    </w:rPr>
  </w:style>
  <w:style w:type="paragraph" w:customStyle="1" w:styleId="Default">
    <w:name w:val="Default"/>
    <w:link w:val="DefaultChar"/>
    <w:qFormat/>
    <w:pPr>
      <w:widowControl w:val="0"/>
      <w:autoSpaceDE w:val="0"/>
      <w:autoSpaceDN w:val="0"/>
      <w:adjustRightInd w:val="0"/>
    </w:pPr>
    <w:rPr>
      <w:rFonts w:ascii="宋体"/>
      <w:color w:val="000000"/>
      <w:sz w:val="24"/>
      <w:szCs w:val="24"/>
    </w:rPr>
  </w:style>
  <w:style w:type="paragraph" w:customStyle="1" w:styleId="diary">
    <w:name w:val="diary"/>
    <w:basedOn w:val="a1"/>
    <w:qFormat/>
    <w:rPr>
      <w:rFonts w:eastAsia="Times New Roman"/>
      <w:kern w:val="2"/>
      <w:szCs w:val="21"/>
    </w:rPr>
  </w:style>
  <w:style w:type="paragraph" w:customStyle="1" w:styleId="Char">
    <w:name w:val="第二级 Char"/>
    <w:basedOn w:val="a1"/>
    <w:qFormat/>
    <w:pPr>
      <w:tabs>
        <w:tab w:val="left" w:pos="360"/>
      </w:tabs>
      <w:spacing w:before="120" w:afterLines="50"/>
      <w:ind w:left="360" w:hanging="360"/>
    </w:pPr>
    <w:rPr>
      <w:b/>
      <w:kern w:val="2"/>
    </w:rPr>
  </w:style>
  <w:style w:type="paragraph" w:customStyle="1" w:styleId="CharCharCharCharCharCharCharCharCharCharChar1CharCharChar">
    <w:name w:val="Char Char Char Char Char Char Char Char Char Char Char1 Char Char Char"/>
    <w:basedOn w:val="a1"/>
    <w:qFormat/>
    <w:pPr>
      <w:spacing w:after="160" w:line="240" w:lineRule="exact"/>
    </w:pPr>
    <w:rPr>
      <w:rFonts w:cs="Arial"/>
      <w:sz w:val="22"/>
      <w:lang w:eastAsia="en-US"/>
    </w:rPr>
  </w:style>
  <w:style w:type="paragraph" w:customStyle="1" w:styleId="Char0">
    <w:name w:val="表头 Char"/>
    <w:qFormat/>
    <w:pPr>
      <w:widowControl w:val="0"/>
      <w:overflowPunct w:val="0"/>
      <w:autoSpaceDE w:val="0"/>
      <w:autoSpaceDN w:val="0"/>
      <w:adjustRightInd w:val="0"/>
      <w:snapToGrid w:val="0"/>
      <w:spacing w:line="360" w:lineRule="auto"/>
      <w:jc w:val="center"/>
    </w:pPr>
    <w:rPr>
      <w:sz w:val="24"/>
      <w:szCs w:val="24"/>
    </w:rPr>
  </w:style>
  <w:style w:type="paragraph" w:customStyle="1" w:styleId="afffd">
    <w:name w:val="招股书－正文"/>
    <w:basedOn w:val="a1"/>
    <w:qFormat/>
    <w:pPr>
      <w:tabs>
        <w:tab w:val="left" w:pos="0"/>
      </w:tabs>
      <w:ind w:firstLine="482"/>
    </w:pPr>
    <w:rPr>
      <w:rFonts w:ascii="Arial" w:hAnsi="Arial" w:cs="Arial"/>
      <w:b/>
      <w:kern w:val="2"/>
      <w:lang w:val="zh-CN"/>
    </w:rPr>
  </w:style>
  <w:style w:type="paragraph" w:customStyle="1" w:styleId="afffe">
    <w:name w:val="节"/>
    <w:basedOn w:val="2"/>
    <w:qFormat/>
    <w:pPr>
      <w:adjustRightInd w:val="0"/>
      <w:snapToGrid w:val="0"/>
      <w:spacing w:before="120" w:after="120" w:line="360" w:lineRule="auto"/>
      <w:jc w:val="center"/>
    </w:pPr>
    <w:rPr>
      <w:rFonts w:ascii="Times New Roman" w:hAnsi="Times New Roman"/>
      <w:b w:val="0"/>
      <w:bCs w:val="0"/>
    </w:rPr>
  </w:style>
  <w:style w:type="paragraph" w:customStyle="1" w:styleId="CharChar1Char">
    <w:name w:val="招股书正文 Char Char1 Char"/>
    <w:semiHidden/>
    <w:qFormat/>
    <w:pPr>
      <w:widowControl w:val="0"/>
      <w:overflowPunct w:val="0"/>
      <w:autoSpaceDE w:val="0"/>
      <w:autoSpaceDN w:val="0"/>
      <w:adjustRightInd w:val="0"/>
      <w:snapToGrid w:val="0"/>
      <w:spacing w:before="120" w:line="360" w:lineRule="auto"/>
      <w:ind w:firstLineChars="200" w:firstLine="480"/>
    </w:pPr>
    <w:rPr>
      <w:kern w:val="2"/>
      <w:sz w:val="24"/>
      <w:szCs w:val="24"/>
    </w:rPr>
  </w:style>
  <w:style w:type="paragraph" w:customStyle="1" w:styleId="CharChar">
    <w:name w:val="第四层 （一） Char Char"/>
    <w:qFormat/>
    <w:pPr>
      <w:spacing w:before="120" w:line="360" w:lineRule="auto"/>
    </w:pPr>
    <w:rPr>
      <w:b/>
      <w:bCs/>
      <w:sz w:val="24"/>
      <w:szCs w:val="24"/>
    </w:rPr>
  </w:style>
  <w:style w:type="paragraph" w:customStyle="1" w:styleId="CharCharChar">
    <w:name w:val="表头 Char Char Char"/>
    <w:semiHidden/>
    <w:qFormat/>
    <w:pPr>
      <w:keepNext/>
      <w:widowControl w:val="0"/>
      <w:jc w:val="center"/>
    </w:pPr>
    <w:rPr>
      <w:b/>
      <w:bCs/>
      <w:kern w:val="2"/>
      <w:sz w:val="21"/>
      <w:szCs w:val="21"/>
    </w:rPr>
  </w:style>
  <w:style w:type="paragraph" w:customStyle="1" w:styleId="CharChar1">
    <w:name w:val="招股书修改 Char Char1"/>
    <w:basedOn w:val="CharChar1Char"/>
    <w:semiHidden/>
    <w:qFormat/>
    <w:pPr>
      <w:ind w:firstLine="200"/>
      <w:jc w:val="both"/>
    </w:pPr>
    <w:rPr>
      <w:rFonts w:ascii="楷体_GB2312" w:eastAsia="楷体_GB2312" w:cs="楷体_GB2312"/>
      <w:b/>
      <w:bCs/>
    </w:rPr>
  </w:style>
  <w:style w:type="paragraph" w:customStyle="1" w:styleId="affff">
    <w:name w:val="图"/>
    <w:qFormat/>
    <w:pPr>
      <w:snapToGrid w:val="0"/>
      <w:spacing w:after="120" w:line="360" w:lineRule="auto"/>
      <w:jc w:val="center"/>
    </w:pPr>
    <w:rPr>
      <w:kern w:val="2"/>
      <w:sz w:val="21"/>
      <w:szCs w:val="21"/>
    </w:rPr>
  </w:style>
  <w:style w:type="paragraph" w:customStyle="1" w:styleId="affff0">
    <w:name w:val="单位"/>
    <w:basedOn w:val="a1"/>
    <w:qFormat/>
    <w:pPr>
      <w:keepNext/>
      <w:spacing w:after="120"/>
      <w:jc w:val="right"/>
    </w:pPr>
    <w:rPr>
      <w:kern w:val="2"/>
      <w:sz w:val="21"/>
      <w:szCs w:val="21"/>
    </w:rPr>
  </w:style>
  <w:style w:type="paragraph" w:customStyle="1" w:styleId="affff1">
    <w:name w:val="表后行"/>
    <w:basedOn w:val="CharChar1Char"/>
    <w:qFormat/>
    <w:pPr>
      <w:spacing w:beforeLines="50" w:line="240" w:lineRule="auto"/>
      <w:ind w:firstLineChars="0" w:firstLine="0"/>
    </w:pPr>
    <w:rPr>
      <w:rFonts w:ascii="Arial" w:eastAsia="楷体_GB2312" w:hAnsi="Arial" w:cs="Arial"/>
      <w:b/>
      <w:bCs/>
      <w:sz w:val="21"/>
      <w:szCs w:val="21"/>
    </w:rPr>
  </w:style>
  <w:style w:type="paragraph" w:customStyle="1" w:styleId="1f0">
    <w:name w:val="1"/>
    <w:basedOn w:val="a1"/>
    <w:next w:val="af7"/>
    <w:qFormat/>
    <w:pPr>
      <w:wordWrap w:val="0"/>
      <w:overflowPunct w:val="0"/>
      <w:autoSpaceDE w:val="0"/>
      <w:autoSpaceDN w:val="0"/>
      <w:adjustRightInd w:val="0"/>
      <w:ind w:firstLine="600"/>
      <w:textAlignment w:val="baseline"/>
    </w:pPr>
    <w:rPr>
      <w:rFonts w:hAnsi="Arial"/>
      <w:sz w:val="28"/>
      <w:szCs w:val="28"/>
    </w:rPr>
  </w:style>
  <w:style w:type="paragraph" w:customStyle="1" w:styleId="Char1Char">
    <w:name w:val="招股书正文 Char1 Char"/>
    <w:semiHidden/>
    <w:qFormat/>
    <w:pPr>
      <w:widowControl w:val="0"/>
      <w:overflowPunct w:val="0"/>
      <w:autoSpaceDE w:val="0"/>
      <w:autoSpaceDN w:val="0"/>
      <w:adjustRightInd w:val="0"/>
      <w:snapToGrid w:val="0"/>
      <w:spacing w:before="120" w:line="360" w:lineRule="auto"/>
      <w:ind w:firstLineChars="200" w:firstLine="480"/>
    </w:pPr>
    <w:rPr>
      <w:kern w:val="2"/>
      <w:sz w:val="24"/>
      <w:szCs w:val="24"/>
    </w:rPr>
  </w:style>
  <w:style w:type="paragraph" w:customStyle="1" w:styleId="CharChar10">
    <w:name w:val="第四层 （一） Char Char1"/>
    <w:semiHidden/>
    <w:qFormat/>
    <w:pPr>
      <w:keepNext/>
      <w:spacing w:before="120" w:line="360" w:lineRule="auto"/>
    </w:pPr>
    <w:rPr>
      <w:b/>
      <w:bCs/>
      <w:kern w:val="2"/>
      <w:sz w:val="24"/>
      <w:szCs w:val="24"/>
    </w:rPr>
  </w:style>
  <w:style w:type="paragraph" w:customStyle="1" w:styleId="CharChar0">
    <w:name w:val="招股书修改－表 Char Char"/>
    <w:basedOn w:val="a1"/>
    <w:semiHidden/>
    <w:qFormat/>
    <w:pPr>
      <w:spacing w:beforeLines="30" w:afterLines="30"/>
      <w:jc w:val="center"/>
    </w:pPr>
    <w:rPr>
      <w:rFonts w:ascii="楷体_GB2312" w:cs="楷体_GB2312"/>
      <w:b/>
      <w:bCs/>
      <w:kern w:val="2"/>
      <w:sz w:val="21"/>
      <w:szCs w:val="21"/>
    </w:rPr>
  </w:style>
  <w:style w:type="paragraph" w:customStyle="1" w:styleId="CharCharChar1CharChar">
    <w:name w:val="招股书正文 Char Char Char1 Char Char"/>
    <w:semiHidden/>
    <w:qFormat/>
    <w:pPr>
      <w:widowControl w:val="0"/>
      <w:overflowPunct w:val="0"/>
      <w:autoSpaceDE w:val="0"/>
      <w:autoSpaceDN w:val="0"/>
      <w:adjustRightInd w:val="0"/>
      <w:snapToGrid w:val="0"/>
      <w:spacing w:before="120" w:line="360" w:lineRule="auto"/>
      <w:ind w:firstLineChars="200" w:firstLine="480"/>
    </w:pPr>
    <w:rPr>
      <w:kern w:val="2"/>
      <w:sz w:val="24"/>
      <w:szCs w:val="24"/>
    </w:rPr>
  </w:style>
  <w:style w:type="paragraph" w:customStyle="1" w:styleId="CM14">
    <w:name w:val="CM14"/>
    <w:basedOn w:val="a1"/>
    <w:next w:val="a1"/>
    <w:semiHidden/>
    <w:qFormat/>
    <w:pPr>
      <w:autoSpaceDE w:val="0"/>
      <w:autoSpaceDN w:val="0"/>
      <w:adjustRightInd w:val="0"/>
      <w:spacing w:after="353"/>
    </w:pPr>
  </w:style>
  <w:style w:type="paragraph" w:customStyle="1" w:styleId="CM17">
    <w:name w:val="CM17"/>
    <w:basedOn w:val="a1"/>
    <w:next w:val="a1"/>
    <w:semiHidden/>
    <w:qFormat/>
    <w:pPr>
      <w:autoSpaceDE w:val="0"/>
      <w:autoSpaceDN w:val="0"/>
      <w:adjustRightInd w:val="0"/>
      <w:spacing w:after="180"/>
    </w:pPr>
  </w:style>
  <w:style w:type="paragraph" w:customStyle="1" w:styleId="CharChar2">
    <w:name w:val="表格修改 Char Char"/>
    <w:basedOn w:val="a1"/>
    <w:semiHidden/>
    <w:qFormat/>
    <w:pPr>
      <w:jc w:val="center"/>
    </w:pPr>
    <w:rPr>
      <w:rFonts w:ascii="楷体_GB2312" w:cs="楷体_GB2312"/>
      <w:b/>
      <w:bCs/>
      <w:kern w:val="2"/>
    </w:rPr>
  </w:style>
  <w:style w:type="paragraph" w:customStyle="1" w:styleId="CharCharCharChar">
    <w:name w:val="招股书修改 Char Char Char Char"/>
    <w:semiHidden/>
    <w:qFormat/>
    <w:pPr>
      <w:spacing w:before="120" w:line="360" w:lineRule="auto"/>
      <w:ind w:firstLineChars="200" w:firstLine="200"/>
    </w:pPr>
    <w:rPr>
      <w:rFonts w:ascii="楷体_GB2312" w:eastAsia="楷体_GB2312" w:cs="楷体_GB2312"/>
      <w:b/>
      <w:bCs/>
      <w:kern w:val="2"/>
      <w:sz w:val="30"/>
      <w:szCs w:val="30"/>
    </w:rPr>
  </w:style>
  <w:style w:type="paragraph" w:customStyle="1" w:styleId="CharChar11">
    <w:name w:val="回答问题 Char Char1"/>
    <w:semiHidden/>
    <w:qFormat/>
    <w:pPr>
      <w:widowControl w:val="0"/>
      <w:overflowPunct w:val="0"/>
      <w:autoSpaceDE w:val="0"/>
      <w:autoSpaceDN w:val="0"/>
      <w:adjustRightInd w:val="0"/>
      <w:snapToGrid w:val="0"/>
      <w:spacing w:before="120" w:line="360" w:lineRule="auto"/>
      <w:ind w:firstLineChars="200" w:firstLine="200"/>
      <w:jc w:val="both"/>
    </w:pPr>
    <w:rPr>
      <w:kern w:val="2"/>
      <w:sz w:val="24"/>
      <w:szCs w:val="24"/>
    </w:rPr>
  </w:style>
  <w:style w:type="paragraph" w:customStyle="1" w:styleId="CharChar3">
    <w:name w:val="第二轮 Char Char"/>
    <w:basedOn w:val="CharChar1Char"/>
    <w:semiHidden/>
    <w:qFormat/>
    <w:rPr>
      <w:rFonts w:ascii="楷体_GB2312" w:eastAsia="楷体_GB2312" w:cs="楷体_GB2312"/>
      <w:b/>
      <w:bCs/>
      <w:u w:val="single"/>
    </w:rPr>
  </w:style>
  <w:style w:type="paragraph" w:customStyle="1" w:styleId="Char1">
    <w:name w:val="招股书正文 Char"/>
    <w:semiHidden/>
    <w:qFormat/>
    <w:pPr>
      <w:widowControl w:val="0"/>
      <w:overflowPunct w:val="0"/>
      <w:autoSpaceDE w:val="0"/>
      <w:autoSpaceDN w:val="0"/>
      <w:adjustRightInd w:val="0"/>
      <w:snapToGrid w:val="0"/>
      <w:spacing w:before="120" w:line="360" w:lineRule="auto"/>
      <w:ind w:firstLineChars="200" w:firstLine="480"/>
    </w:pPr>
    <w:rPr>
      <w:kern w:val="2"/>
      <w:sz w:val="24"/>
      <w:szCs w:val="24"/>
    </w:rPr>
  </w:style>
  <w:style w:type="paragraph" w:customStyle="1" w:styleId="Char20">
    <w:name w:val="招股书修改 Char2"/>
    <w:basedOn w:val="Char1"/>
    <w:semiHidden/>
    <w:qFormat/>
    <w:pPr>
      <w:ind w:firstLine="200"/>
      <w:jc w:val="both"/>
    </w:pPr>
    <w:rPr>
      <w:rFonts w:ascii="楷体_GB2312" w:eastAsia="楷体_GB2312" w:cs="楷体_GB2312"/>
      <w:b/>
      <w:bCs/>
    </w:rPr>
  </w:style>
  <w:style w:type="paragraph" w:customStyle="1" w:styleId="CharCharChar1">
    <w:name w:val="招股书正文 Char Char Char1"/>
    <w:semiHidden/>
    <w:qFormat/>
    <w:pPr>
      <w:widowControl w:val="0"/>
      <w:overflowPunct w:val="0"/>
      <w:autoSpaceDE w:val="0"/>
      <w:autoSpaceDN w:val="0"/>
      <w:adjustRightInd w:val="0"/>
      <w:snapToGrid w:val="0"/>
      <w:spacing w:before="120" w:line="360" w:lineRule="auto"/>
      <w:ind w:firstLineChars="200" w:firstLine="480"/>
    </w:pPr>
    <w:rPr>
      <w:kern w:val="2"/>
      <w:sz w:val="24"/>
      <w:szCs w:val="24"/>
    </w:rPr>
  </w:style>
  <w:style w:type="paragraph" w:customStyle="1" w:styleId="affff2">
    <w:name w:val="第二轮"/>
    <w:basedOn w:val="Char1"/>
    <w:semiHidden/>
    <w:qFormat/>
    <w:rPr>
      <w:rFonts w:ascii="楷体_GB2312" w:eastAsia="楷体_GB2312" w:cs="楷体_GB2312"/>
      <w:b/>
      <w:bCs/>
      <w:u w:val="single"/>
    </w:rPr>
  </w:style>
  <w:style w:type="paragraph" w:customStyle="1" w:styleId="affff3">
    <w:name w:val="招股书修改－表"/>
    <w:basedOn w:val="a1"/>
    <w:semiHidden/>
    <w:qFormat/>
    <w:pPr>
      <w:spacing w:beforeLines="30" w:afterLines="30"/>
      <w:jc w:val="center"/>
    </w:pPr>
    <w:rPr>
      <w:rFonts w:ascii="楷体_GB2312" w:cs="楷体_GB2312"/>
      <w:b/>
      <w:bCs/>
      <w:kern w:val="2"/>
      <w:sz w:val="21"/>
      <w:szCs w:val="21"/>
    </w:rPr>
  </w:style>
  <w:style w:type="paragraph" w:customStyle="1" w:styleId="29">
    <w:name w:val="2"/>
    <w:basedOn w:val="a1"/>
    <w:next w:val="af7"/>
    <w:qFormat/>
    <w:pPr>
      <w:wordWrap w:val="0"/>
      <w:overflowPunct w:val="0"/>
      <w:autoSpaceDE w:val="0"/>
      <w:autoSpaceDN w:val="0"/>
      <w:adjustRightInd w:val="0"/>
      <w:ind w:firstLine="600"/>
      <w:textAlignment w:val="baseline"/>
    </w:pPr>
    <w:rPr>
      <w:rFonts w:hAnsi="Arial"/>
      <w:sz w:val="28"/>
      <w:szCs w:val="28"/>
    </w:rPr>
  </w:style>
  <w:style w:type="paragraph" w:customStyle="1" w:styleId="affff4">
    <w:name w:val="表格修改"/>
    <w:basedOn w:val="a1"/>
    <w:semiHidden/>
    <w:qFormat/>
    <w:pPr>
      <w:jc w:val="center"/>
    </w:pPr>
    <w:rPr>
      <w:rFonts w:ascii="楷体_GB2312" w:cs="楷体_GB2312"/>
      <w:b/>
      <w:bCs/>
      <w:kern w:val="2"/>
      <w:sz w:val="21"/>
      <w:szCs w:val="21"/>
    </w:rPr>
  </w:style>
  <w:style w:type="paragraph" w:customStyle="1" w:styleId="CharChar4">
    <w:name w:val="招股书修改 Char Char"/>
    <w:semiHidden/>
    <w:qFormat/>
    <w:pPr>
      <w:spacing w:before="120" w:line="360" w:lineRule="auto"/>
      <w:ind w:firstLineChars="200" w:firstLine="200"/>
    </w:pPr>
    <w:rPr>
      <w:rFonts w:ascii="楷体_GB2312" w:eastAsia="楷体_GB2312" w:cs="楷体_GB2312"/>
      <w:b/>
      <w:bCs/>
      <w:kern w:val="2"/>
      <w:sz w:val="24"/>
      <w:szCs w:val="24"/>
    </w:rPr>
  </w:style>
  <w:style w:type="paragraph" w:customStyle="1" w:styleId="affff5">
    <w:name w:val="回答问题"/>
    <w:semiHidden/>
    <w:qFormat/>
    <w:pPr>
      <w:widowControl w:val="0"/>
      <w:overflowPunct w:val="0"/>
      <w:autoSpaceDE w:val="0"/>
      <w:autoSpaceDN w:val="0"/>
      <w:adjustRightInd w:val="0"/>
      <w:snapToGrid w:val="0"/>
      <w:spacing w:before="120" w:line="360" w:lineRule="auto"/>
      <w:ind w:firstLineChars="200" w:firstLine="200"/>
      <w:jc w:val="both"/>
    </w:pPr>
    <w:rPr>
      <w:kern w:val="2"/>
      <w:sz w:val="24"/>
      <w:szCs w:val="24"/>
    </w:rPr>
  </w:style>
  <w:style w:type="paragraph" w:customStyle="1" w:styleId="Char10">
    <w:name w:val="招股书正文 Char1"/>
    <w:semiHidden/>
    <w:qFormat/>
    <w:pPr>
      <w:widowControl w:val="0"/>
      <w:overflowPunct w:val="0"/>
      <w:autoSpaceDE w:val="0"/>
      <w:autoSpaceDN w:val="0"/>
      <w:adjustRightInd w:val="0"/>
      <w:snapToGrid w:val="0"/>
      <w:spacing w:before="120" w:line="360" w:lineRule="auto"/>
      <w:ind w:firstLineChars="200" w:firstLine="480"/>
    </w:pPr>
    <w:rPr>
      <w:kern w:val="2"/>
      <w:sz w:val="24"/>
      <w:szCs w:val="24"/>
    </w:rPr>
  </w:style>
  <w:style w:type="paragraph" w:customStyle="1" w:styleId="CharCharChar1Char">
    <w:name w:val="招股书正文 Char Char Char1 Char"/>
    <w:semiHidden/>
    <w:qFormat/>
    <w:pPr>
      <w:widowControl w:val="0"/>
      <w:overflowPunct w:val="0"/>
      <w:autoSpaceDE w:val="0"/>
      <w:autoSpaceDN w:val="0"/>
      <w:adjustRightInd w:val="0"/>
      <w:snapToGrid w:val="0"/>
      <w:spacing w:before="120" w:line="360" w:lineRule="auto"/>
      <w:ind w:firstLineChars="200" w:firstLine="480"/>
    </w:pPr>
    <w:rPr>
      <w:kern w:val="2"/>
      <w:sz w:val="24"/>
      <w:szCs w:val="24"/>
    </w:rPr>
  </w:style>
  <w:style w:type="paragraph" w:customStyle="1" w:styleId="CharChar12">
    <w:name w:val="招股书正文 Char Char1"/>
    <w:semiHidden/>
    <w:qFormat/>
    <w:pPr>
      <w:widowControl w:val="0"/>
      <w:overflowPunct w:val="0"/>
      <w:autoSpaceDE w:val="0"/>
      <w:autoSpaceDN w:val="0"/>
      <w:adjustRightInd w:val="0"/>
      <w:snapToGrid w:val="0"/>
      <w:spacing w:before="120" w:line="360" w:lineRule="auto"/>
      <w:ind w:firstLineChars="200" w:firstLine="480"/>
    </w:pPr>
    <w:rPr>
      <w:kern w:val="2"/>
      <w:sz w:val="24"/>
      <w:szCs w:val="24"/>
    </w:rPr>
  </w:style>
  <w:style w:type="paragraph" w:customStyle="1" w:styleId="CharChar5">
    <w:name w:val="表头 Char Char"/>
    <w:semiHidden/>
    <w:qFormat/>
    <w:pPr>
      <w:keepNext/>
      <w:widowControl w:val="0"/>
      <w:overflowPunct w:val="0"/>
      <w:autoSpaceDE w:val="0"/>
      <w:autoSpaceDN w:val="0"/>
      <w:adjustRightInd w:val="0"/>
      <w:snapToGrid w:val="0"/>
      <w:spacing w:before="120" w:line="360" w:lineRule="auto"/>
      <w:jc w:val="center"/>
    </w:pPr>
    <w:rPr>
      <w:bCs/>
      <w:kern w:val="2"/>
      <w:sz w:val="21"/>
      <w:szCs w:val="21"/>
    </w:rPr>
  </w:style>
  <w:style w:type="paragraph" w:customStyle="1" w:styleId="Char4">
    <w:name w:val="招股书修改 Char"/>
    <w:basedOn w:val="CharChar12"/>
    <w:semiHidden/>
    <w:qFormat/>
    <w:pPr>
      <w:ind w:firstLine="200"/>
      <w:jc w:val="both"/>
    </w:pPr>
    <w:rPr>
      <w:rFonts w:ascii="楷体_GB2312" w:eastAsia="楷体_GB2312" w:cs="楷体_GB2312"/>
      <w:b/>
      <w:bCs/>
    </w:rPr>
  </w:style>
  <w:style w:type="paragraph" w:customStyle="1" w:styleId="Char5">
    <w:name w:val="第四层 （一） Char"/>
    <w:semiHidden/>
    <w:qFormat/>
    <w:pPr>
      <w:keepNext/>
      <w:spacing w:before="120" w:line="360" w:lineRule="auto"/>
    </w:pPr>
    <w:rPr>
      <w:b/>
      <w:bCs/>
      <w:kern w:val="2"/>
      <w:sz w:val="24"/>
      <w:szCs w:val="24"/>
    </w:rPr>
  </w:style>
  <w:style w:type="paragraph" w:customStyle="1" w:styleId="Char6">
    <w:name w:val="招股书修改－表 Char"/>
    <w:basedOn w:val="a1"/>
    <w:semiHidden/>
    <w:qFormat/>
    <w:pPr>
      <w:spacing w:beforeLines="30" w:afterLines="30"/>
      <w:jc w:val="center"/>
    </w:pPr>
    <w:rPr>
      <w:rFonts w:ascii="楷体_GB2312" w:cs="楷体_GB2312"/>
      <w:b/>
      <w:bCs/>
      <w:kern w:val="2"/>
      <w:sz w:val="21"/>
      <w:szCs w:val="21"/>
    </w:rPr>
  </w:style>
  <w:style w:type="paragraph" w:customStyle="1" w:styleId="Char7">
    <w:name w:val="表格修改 Char"/>
    <w:basedOn w:val="a1"/>
    <w:semiHidden/>
    <w:qFormat/>
    <w:pPr>
      <w:jc w:val="center"/>
    </w:pPr>
    <w:rPr>
      <w:rFonts w:ascii="楷体_GB2312" w:cs="楷体_GB2312"/>
      <w:b/>
      <w:bCs/>
      <w:kern w:val="2"/>
    </w:rPr>
  </w:style>
  <w:style w:type="paragraph" w:customStyle="1" w:styleId="CharCharChar0">
    <w:name w:val="招股书修改 Char Char Char"/>
    <w:semiHidden/>
    <w:qFormat/>
    <w:pPr>
      <w:spacing w:before="120" w:line="360" w:lineRule="auto"/>
      <w:ind w:firstLineChars="200" w:firstLine="200"/>
    </w:pPr>
    <w:rPr>
      <w:rFonts w:ascii="楷体_GB2312" w:eastAsia="楷体_GB2312" w:cs="楷体_GB2312"/>
      <w:b/>
      <w:bCs/>
      <w:kern w:val="2"/>
      <w:sz w:val="30"/>
      <w:szCs w:val="30"/>
    </w:rPr>
  </w:style>
  <w:style w:type="paragraph" w:customStyle="1" w:styleId="Char8">
    <w:name w:val="回答问题 Char"/>
    <w:semiHidden/>
    <w:qFormat/>
    <w:pPr>
      <w:widowControl w:val="0"/>
      <w:overflowPunct w:val="0"/>
      <w:autoSpaceDE w:val="0"/>
      <w:autoSpaceDN w:val="0"/>
      <w:adjustRightInd w:val="0"/>
      <w:snapToGrid w:val="0"/>
      <w:spacing w:before="120" w:line="360" w:lineRule="auto"/>
      <w:ind w:firstLineChars="200" w:firstLine="200"/>
      <w:jc w:val="both"/>
    </w:pPr>
    <w:rPr>
      <w:kern w:val="2"/>
      <w:sz w:val="24"/>
      <w:szCs w:val="24"/>
    </w:rPr>
  </w:style>
  <w:style w:type="paragraph" w:customStyle="1" w:styleId="Char9">
    <w:name w:val="第二轮 Char"/>
    <w:basedOn w:val="CharChar12"/>
    <w:semiHidden/>
    <w:qFormat/>
    <w:rPr>
      <w:rFonts w:ascii="楷体_GB2312" w:eastAsia="楷体_GB2312" w:cs="楷体_GB2312"/>
      <w:b/>
      <w:bCs/>
      <w:u w:val="single"/>
    </w:rPr>
  </w:style>
  <w:style w:type="paragraph" w:customStyle="1" w:styleId="CharChar115">
    <w:name w:val="样式 招股书修改 Char Char1 + 下划线 图案: 15% (自动设置 前景 白色 背景)"/>
    <w:basedOn w:val="CharChar1"/>
    <w:semiHidden/>
    <w:qFormat/>
    <w:pPr>
      <w:shd w:val="clear" w:color="auto" w:fill="B3B3B3"/>
    </w:pPr>
    <w:rPr>
      <w:u w:val="single"/>
      <w:shd w:val="pct10" w:color="auto" w:fill="FFFFFF"/>
    </w:rPr>
  </w:style>
  <w:style w:type="paragraph" w:customStyle="1" w:styleId="affff6">
    <w:name w:val="第三次反馈修改"/>
    <w:basedOn w:val="CharChar1"/>
    <w:semiHidden/>
    <w:qFormat/>
    <w:pPr>
      <w:ind w:firstLine="482"/>
    </w:pPr>
  </w:style>
  <w:style w:type="paragraph" w:customStyle="1" w:styleId="BodySingle">
    <w:name w:val="Body Single"/>
    <w:basedOn w:val="af6"/>
    <w:semiHidden/>
    <w:qFormat/>
    <w:pPr>
      <w:spacing w:after="0" w:line="290" w:lineRule="atLeast"/>
    </w:pPr>
    <w:rPr>
      <w:szCs w:val="24"/>
      <w:lang w:val="en-GB" w:eastAsia="en-US"/>
    </w:rPr>
  </w:style>
  <w:style w:type="paragraph" w:customStyle="1" w:styleId="affff7">
    <w:name w:val="招股书修改"/>
    <w:basedOn w:val="a1"/>
    <w:semiHidden/>
    <w:qFormat/>
    <w:pPr>
      <w:overflowPunct w:val="0"/>
      <w:autoSpaceDE w:val="0"/>
      <w:autoSpaceDN w:val="0"/>
      <w:adjustRightInd w:val="0"/>
      <w:snapToGrid w:val="0"/>
      <w:spacing w:before="120"/>
    </w:pPr>
    <w:rPr>
      <w:rFonts w:ascii="楷体_GB2312" w:cs="楷体_GB2312"/>
      <w:b/>
      <w:bCs/>
      <w:kern w:val="2"/>
    </w:rPr>
  </w:style>
  <w:style w:type="paragraph" w:customStyle="1" w:styleId="2a">
    <w:name w:val="样式 招股书修改 + 首行缩进:  2 字符"/>
    <w:basedOn w:val="affff7"/>
    <w:semiHidden/>
    <w:qFormat/>
    <w:pPr>
      <w:ind w:firstLine="482"/>
    </w:pPr>
    <w:rPr>
      <w:rFonts w:cs="宋体"/>
    </w:rPr>
  </w:style>
  <w:style w:type="paragraph" w:customStyle="1" w:styleId="CM18">
    <w:name w:val="CM18"/>
    <w:basedOn w:val="Default"/>
    <w:next w:val="Default"/>
    <w:semiHidden/>
    <w:qFormat/>
    <w:pPr>
      <w:spacing w:after="293"/>
    </w:pPr>
    <w:rPr>
      <w:color w:val="auto"/>
    </w:rPr>
  </w:style>
  <w:style w:type="paragraph" w:customStyle="1" w:styleId="affff8">
    <w:name w:val="文字内容"/>
    <w:basedOn w:val="a1"/>
    <w:semiHidden/>
    <w:qFormat/>
    <w:rPr>
      <w:kern w:val="2"/>
    </w:rPr>
  </w:style>
  <w:style w:type="paragraph" w:customStyle="1" w:styleId="37">
    <w:name w:val="标题3"/>
    <w:basedOn w:val="a1"/>
    <w:next w:val="a2"/>
    <w:qFormat/>
    <w:pPr>
      <w:spacing w:afterLines="50"/>
      <w:ind w:firstLine="480"/>
    </w:pPr>
    <w:rPr>
      <w:rFonts w:ascii="华文仿宋" w:eastAsia="华文仿宋" w:hAnsi="华文仿宋"/>
      <w:color w:val="000000"/>
      <w:kern w:val="2"/>
    </w:rPr>
  </w:style>
  <w:style w:type="paragraph" w:customStyle="1" w:styleId="affff9">
    <w:name w:val="表格文字"/>
    <w:basedOn w:val="a1"/>
    <w:semiHidden/>
    <w:qFormat/>
    <w:pPr>
      <w:tabs>
        <w:tab w:val="left" w:pos="0"/>
        <w:tab w:val="decimal" w:pos="1005"/>
      </w:tabs>
      <w:ind w:rightChars="39" w:right="82"/>
      <w:jc w:val="center"/>
    </w:pPr>
    <w:rPr>
      <w:b/>
      <w:bCs/>
      <w:caps/>
      <w:kern w:val="2"/>
      <w:sz w:val="18"/>
      <w:szCs w:val="18"/>
    </w:rPr>
  </w:style>
  <w:style w:type="paragraph" w:customStyle="1" w:styleId="xl24">
    <w:name w:val="xl24"/>
    <w:basedOn w:val="a1"/>
    <w:qFormat/>
    <w:pPr>
      <w:spacing w:before="100" w:beforeAutospacing="1" w:after="100" w:afterAutospacing="1"/>
      <w:jc w:val="right"/>
    </w:pPr>
    <w:rPr>
      <w:sz w:val="18"/>
      <w:szCs w:val="18"/>
    </w:rPr>
  </w:style>
  <w:style w:type="paragraph" w:customStyle="1" w:styleId="affffa">
    <w:name w:val="标准"/>
    <w:basedOn w:val="a1"/>
    <w:semiHidden/>
    <w:qFormat/>
    <w:pPr>
      <w:adjustRightInd w:val="0"/>
      <w:spacing w:line="312" w:lineRule="atLeast"/>
      <w:jc w:val="center"/>
      <w:textAlignment w:val="baseline"/>
    </w:pPr>
    <w:rPr>
      <w:sz w:val="21"/>
      <w:szCs w:val="21"/>
    </w:rPr>
  </w:style>
  <w:style w:type="paragraph" w:customStyle="1" w:styleId="xl43">
    <w:name w:val="xl43"/>
    <w:basedOn w:val="a1"/>
    <w:qFormat/>
    <w:pPr>
      <w:pBdr>
        <w:bottom w:val="single" w:sz="4" w:space="0" w:color="auto"/>
      </w:pBdr>
      <w:spacing w:before="100" w:beforeAutospacing="1" w:after="100" w:afterAutospacing="1"/>
    </w:pPr>
  </w:style>
  <w:style w:type="paragraph" w:customStyle="1" w:styleId="font9">
    <w:name w:val="font9"/>
    <w:basedOn w:val="a1"/>
    <w:qFormat/>
    <w:pPr>
      <w:spacing w:before="100" w:beforeAutospacing="1" w:after="100" w:afterAutospacing="1"/>
    </w:pPr>
    <w:rPr>
      <w:rFonts w:hint="eastAsia"/>
    </w:rPr>
  </w:style>
  <w:style w:type="paragraph" w:customStyle="1" w:styleId="xl115">
    <w:name w:val="xl115"/>
    <w:basedOn w:val="a1"/>
    <w:qFormat/>
    <w:pPr>
      <w:spacing w:before="100" w:beforeAutospacing="1" w:after="100" w:afterAutospacing="1"/>
    </w:pPr>
    <w:rPr>
      <w:rFonts w:ascii="仿宋_GB2312" w:eastAsia="仿宋_GB2312" w:hAnsi="Arial Unicode MS" w:hint="eastAsia"/>
      <w:sz w:val="18"/>
      <w:szCs w:val="18"/>
    </w:rPr>
  </w:style>
  <w:style w:type="paragraph" w:customStyle="1" w:styleId="xl97">
    <w:name w:val="xl97"/>
    <w:basedOn w:val="a1"/>
    <w:qFormat/>
    <w:pPr>
      <w:spacing w:before="100" w:beforeAutospacing="1" w:after="100" w:afterAutospacing="1"/>
      <w:jc w:val="center"/>
    </w:pPr>
    <w:rPr>
      <w:rFonts w:eastAsia="Arial Unicode MS"/>
      <w:sz w:val="21"/>
      <w:szCs w:val="21"/>
    </w:rPr>
  </w:style>
  <w:style w:type="paragraph" w:customStyle="1" w:styleId="45">
    <w:name w:val="4"/>
    <w:basedOn w:val="a1"/>
    <w:next w:val="afb"/>
    <w:qFormat/>
    <w:rPr>
      <w:rFonts w:hAnsi="Courier New"/>
      <w:kern w:val="2"/>
      <w:sz w:val="21"/>
    </w:rPr>
  </w:style>
  <w:style w:type="paragraph" w:customStyle="1" w:styleId="font0">
    <w:name w:val="font0"/>
    <w:basedOn w:val="a1"/>
    <w:link w:val="font0Char"/>
    <w:qFormat/>
    <w:pPr>
      <w:spacing w:before="100" w:beforeAutospacing="1" w:after="100" w:afterAutospacing="1"/>
    </w:pPr>
    <w:rPr>
      <w:rFonts w:ascii="Arial" w:eastAsia="Arial Unicode MS" w:hAnsi="Arial" w:cs="Times New Roman"/>
      <w:lang w:val="en-GB" w:eastAsia="en-US"/>
    </w:rPr>
  </w:style>
  <w:style w:type="paragraph" w:customStyle="1" w:styleId="xl36">
    <w:name w:val="xl36"/>
    <w:basedOn w:val="a1"/>
    <w:qFormat/>
    <w:pPr>
      <w:spacing w:before="100" w:beforeAutospacing="1" w:after="100" w:afterAutospacing="1"/>
      <w:textAlignment w:val="top"/>
    </w:pPr>
    <w:rPr>
      <w:rFonts w:ascii="Arial Unicode MS" w:eastAsia="Arial Unicode MS" w:hAnsi="Arial Unicode MS" w:cs="Arial Unicode MS"/>
      <w:color w:val="000000"/>
      <w:lang w:val="en-GB" w:eastAsia="en-US"/>
    </w:rPr>
  </w:style>
  <w:style w:type="paragraph" w:customStyle="1" w:styleId="xl48">
    <w:name w:val="xl48"/>
    <w:basedOn w:val="a1"/>
    <w:semiHidden/>
    <w:qFormat/>
    <w:pPr>
      <w:spacing w:before="100" w:beforeAutospacing="1" w:after="100" w:afterAutospacing="1"/>
      <w:textAlignment w:val="top"/>
    </w:pPr>
    <w:rPr>
      <w:rFonts w:ascii="黑体" w:eastAsia="黑体" w:hAnsi="Arial Unicode MS" w:cs="Arial Unicode MS" w:hint="eastAsia"/>
      <w:color w:val="000000"/>
      <w:sz w:val="22"/>
      <w:szCs w:val="22"/>
      <w:lang w:val="en-GB" w:eastAsia="en-US"/>
    </w:rPr>
  </w:style>
  <w:style w:type="paragraph" w:customStyle="1" w:styleId="bullet">
    <w:name w:val="bullet"/>
    <w:basedOn w:val="a1"/>
    <w:semiHidden/>
    <w:qFormat/>
    <w:pPr>
      <w:tabs>
        <w:tab w:val="left" w:pos="360"/>
      </w:tabs>
      <w:spacing w:before="40" w:line="200" w:lineRule="exact"/>
      <w:ind w:left="360" w:hanging="360"/>
    </w:pPr>
    <w:rPr>
      <w:rFonts w:ascii="Times" w:eastAsia="Times" w:hAnsi="Times"/>
      <w:sz w:val="17"/>
      <w:lang w:val="en-GB" w:eastAsia="en-US"/>
    </w:rPr>
  </w:style>
  <w:style w:type="paragraph" w:customStyle="1" w:styleId="38">
    <w:name w:val="3"/>
    <w:basedOn w:val="a1"/>
    <w:next w:val="af6"/>
    <w:qFormat/>
    <w:pPr>
      <w:spacing w:before="156"/>
    </w:pPr>
    <w:rPr>
      <w:b/>
      <w:kern w:val="2"/>
      <w:sz w:val="21"/>
      <w:szCs w:val="21"/>
    </w:rPr>
  </w:style>
  <w:style w:type="paragraph" w:customStyle="1" w:styleId="CM3">
    <w:name w:val="CM3"/>
    <w:basedOn w:val="a1"/>
    <w:next w:val="a1"/>
    <w:semiHidden/>
    <w:qFormat/>
    <w:pPr>
      <w:autoSpaceDE w:val="0"/>
      <w:autoSpaceDN w:val="0"/>
      <w:adjustRightInd w:val="0"/>
      <w:spacing w:line="360" w:lineRule="atLeast"/>
    </w:pPr>
  </w:style>
  <w:style w:type="paragraph" w:customStyle="1" w:styleId="1f1">
    <w:name w:val="样式1"/>
    <w:basedOn w:val="4"/>
    <w:link w:val="1Char"/>
    <w:qFormat/>
    <w:pPr>
      <w:adjustRightInd/>
      <w:spacing w:line="376" w:lineRule="auto"/>
      <w:textAlignment w:val="auto"/>
    </w:pPr>
    <w:rPr>
      <w:rFonts w:ascii="宋体" w:hAnsi="宋体"/>
      <w:bCs/>
      <w:szCs w:val="28"/>
    </w:rPr>
  </w:style>
  <w:style w:type="paragraph" w:customStyle="1" w:styleId="2b">
    <w:name w:val="样式2"/>
    <w:basedOn w:val="4"/>
    <w:next w:val="4"/>
    <w:link w:val="2Char"/>
    <w:qFormat/>
    <w:pPr>
      <w:adjustRightInd/>
      <w:spacing w:line="376" w:lineRule="auto"/>
      <w:textAlignment w:val="auto"/>
    </w:pPr>
    <w:rPr>
      <w:rFonts w:ascii="宋体" w:hAnsi="宋体"/>
      <w:bCs/>
      <w:kern w:val="2"/>
      <w:szCs w:val="28"/>
    </w:rPr>
  </w:style>
  <w:style w:type="paragraph" w:customStyle="1" w:styleId="39">
    <w:name w:val="样式3"/>
    <w:basedOn w:val="afffe"/>
    <w:link w:val="3Char"/>
    <w:qFormat/>
    <w:pPr>
      <w:adjustRightInd/>
      <w:snapToGrid/>
      <w:spacing w:before="260" w:after="260"/>
      <w:ind w:right="210"/>
      <w:outlineLvl w:val="3"/>
    </w:pPr>
    <w:rPr>
      <w:sz w:val="28"/>
      <w:szCs w:val="28"/>
    </w:rPr>
  </w:style>
  <w:style w:type="paragraph" w:customStyle="1" w:styleId="BodyTextFlush">
    <w:name w:val="Body Text Flush"/>
    <w:basedOn w:val="a1"/>
    <w:semiHidden/>
    <w:qFormat/>
    <w:pPr>
      <w:spacing w:before="240" w:after="240"/>
    </w:pPr>
    <w:rPr>
      <w:lang w:eastAsia="en-US"/>
    </w:rPr>
  </w:style>
  <w:style w:type="paragraph" w:customStyle="1" w:styleId="Center">
    <w:name w:val="Center"/>
    <w:basedOn w:val="a1"/>
    <w:semiHidden/>
    <w:qFormat/>
    <w:pPr>
      <w:spacing w:before="240" w:after="240"/>
      <w:jc w:val="center"/>
    </w:pPr>
    <w:rPr>
      <w:lang w:eastAsia="en-US"/>
    </w:rPr>
  </w:style>
  <w:style w:type="paragraph" w:customStyle="1" w:styleId="FlushRight">
    <w:name w:val="Flush Right"/>
    <w:basedOn w:val="a1"/>
    <w:semiHidden/>
    <w:qFormat/>
    <w:pPr>
      <w:spacing w:before="240" w:after="240"/>
      <w:jc w:val="right"/>
    </w:pPr>
    <w:rPr>
      <w:lang w:eastAsia="en-US"/>
    </w:rPr>
  </w:style>
  <w:style w:type="paragraph" w:customStyle="1" w:styleId="TableFinancial">
    <w:name w:val="Table Financial"/>
    <w:basedOn w:val="a1"/>
    <w:next w:val="a1"/>
    <w:semiHidden/>
    <w:qFormat/>
    <w:pPr>
      <w:tabs>
        <w:tab w:val="left" w:pos="216"/>
        <w:tab w:val="decimal" w:pos="432"/>
      </w:tabs>
    </w:pPr>
    <w:rPr>
      <w:lang w:eastAsia="en-US"/>
    </w:rPr>
  </w:style>
  <w:style w:type="paragraph" w:customStyle="1" w:styleId="DPComment">
    <w:name w:val="DP Comment"/>
    <w:basedOn w:val="af6"/>
    <w:next w:val="af6"/>
    <w:semiHidden/>
    <w:qFormat/>
    <w:pPr>
      <w:spacing w:before="240" w:after="240"/>
      <w:ind w:firstLine="720"/>
    </w:pPr>
    <w:rPr>
      <w:vanish/>
      <w:color w:val="FF0000"/>
      <w:szCs w:val="20"/>
      <w:lang w:eastAsia="en-US"/>
    </w:rPr>
  </w:style>
  <w:style w:type="paragraph" w:customStyle="1" w:styleId="BodyTextFlush2">
    <w:name w:val="Body Text Flush 2"/>
    <w:basedOn w:val="a1"/>
    <w:semiHidden/>
    <w:qFormat/>
    <w:pPr>
      <w:spacing w:line="480" w:lineRule="auto"/>
    </w:pPr>
    <w:rPr>
      <w:lang w:eastAsia="en-US"/>
    </w:rPr>
  </w:style>
  <w:style w:type="paragraph" w:customStyle="1" w:styleId="HangingIndent">
    <w:name w:val="Hanging Indent"/>
    <w:basedOn w:val="BodyTextFlush"/>
    <w:semiHidden/>
    <w:qFormat/>
    <w:pPr>
      <w:ind w:left="720" w:hanging="720"/>
    </w:pPr>
  </w:style>
  <w:style w:type="paragraph" w:customStyle="1" w:styleId="TableNoteLine">
    <w:name w:val="TableNoteLine"/>
    <w:basedOn w:val="a1"/>
    <w:next w:val="TableNote8pt"/>
    <w:semiHidden/>
    <w:qFormat/>
    <w:pPr>
      <w:pBdr>
        <w:bottom w:val="single" w:sz="4" w:space="1" w:color="auto"/>
      </w:pBdr>
      <w:spacing w:after="120"/>
      <w:ind w:right="6480"/>
    </w:pPr>
    <w:rPr>
      <w:lang w:eastAsia="en-US"/>
    </w:rPr>
  </w:style>
  <w:style w:type="paragraph" w:customStyle="1" w:styleId="TableNote8pt">
    <w:name w:val="TableNote8pt"/>
    <w:basedOn w:val="a1"/>
    <w:semiHidden/>
    <w:qFormat/>
    <w:pPr>
      <w:ind w:left="432" w:hanging="432"/>
    </w:pPr>
    <w:rPr>
      <w:sz w:val="16"/>
      <w:lang w:eastAsia="en-US"/>
    </w:rPr>
  </w:style>
  <w:style w:type="paragraph" w:customStyle="1" w:styleId="SignatureLeft">
    <w:name w:val="Signature Left"/>
    <w:basedOn w:val="a1"/>
    <w:semiHidden/>
    <w:qFormat/>
    <w:pPr>
      <w:keepLines/>
      <w:tabs>
        <w:tab w:val="left" w:pos="432"/>
        <w:tab w:val="right" w:pos="4320"/>
      </w:tabs>
      <w:spacing w:before="480" w:after="480"/>
    </w:pPr>
    <w:rPr>
      <w:lang w:eastAsia="en-US"/>
    </w:rPr>
  </w:style>
  <w:style w:type="paragraph" w:customStyle="1" w:styleId="TableNote9pt">
    <w:name w:val="TableNote9pt"/>
    <w:basedOn w:val="a1"/>
    <w:semiHidden/>
    <w:qFormat/>
    <w:pPr>
      <w:ind w:left="432" w:hanging="432"/>
    </w:pPr>
    <w:rPr>
      <w:sz w:val="18"/>
      <w:lang w:eastAsia="en-US"/>
    </w:rPr>
  </w:style>
  <w:style w:type="paragraph" w:customStyle="1" w:styleId="TableNote10pt">
    <w:name w:val="TableNote10pt"/>
    <w:basedOn w:val="a1"/>
    <w:semiHidden/>
    <w:qFormat/>
    <w:pPr>
      <w:ind w:left="432" w:hanging="432"/>
    </w:pPr>
    <w:rPr>
      <w:lang w:eastAsia="en-US"/>
    </w:rPr>
  </w:style>
  <w:style w:type="paragraph" w:customStyle="1" w:styleId="TableNote11pt">
    <w:name w:val="TableNote11pt"/>
    <w:basedOn w:val="a1"/>
    <w:semiHidden/>
    <w:qFormat/>
    <w:pPr>
      <w:ind w:left="432" w:hanging="432"/>
    </w:pPr>
    <w:rPr>
      <w:sz w:val="22"/>
      <w:lang w:eastAsia="en-US"/>
    </w:rPr>
  </w:style>
  <w:style w:type="paragraph" w:customStyle="1" w:styleId="Title16">
    <w:name w:val="Title 16"/>
    <w:basedOn w:val="affc"/>
    <w:next w:val="aff4"/>
    <w:semiHidden/>
    <w:qFormat/>
    <w:rPr>
      <w:sz w:val="32"/>
    </w:rPr>
  </w:style>
  <w:style w:type="paragraph" w:customStyle="1" w:styleId="XHeading1">
    <w:name w:val="XHeading 1"/>
    <w:basedOn w:val="a1"/>
    <w:next w:val="XHeading2"/>
    <w:semiHidden/>
    <w:qFormat/>
    <w:pPr>
      <w:keepNext/>
      <w:tabs>
        <w:tab w:val="left" w:pos="1200"/>
      </w:tabs>
      <w:spacing w:after="240"/>
      <w:ind w:left="1200" w:hanging="1200"/>
      <w:jc w:val="center"/>
      <w:outlineLvl w:val="0"/>
    </w:pPr>
    <w:rPr>
      <w:caps/>
      <w:u w:val="single"/>
      <w:lang w:eastAsia="en-US"/>
    </w:rPr>
  </w:style>
  <w:style w:type="paragraph" w:customStyle="1" w:styleId="XHeading2">
    <w:name w:val="XHeading 2"/>
    <w:basedOn w:val="a1"/>
    <w:next w:val="af6"/>
    <w:semiHidden/>
    <w:qFormat/>
    <w:pPr>
      <w:tabs>
        <w:tab w:val="left" w:pos="840"/>
      </w:tabs>
      <w:spacing w:after="240"/>
      <w:ind w:left="840" w:firstLine="720"/>
      <w:outlineLvl w:val="1"/>
    </w:pPr>
    <w:rPr>
      <w:lang w:eastAsia="en-US"/>
    </w:rPr>
  </w:style>
  <w:style w:type="paragraph" w:customStyle="1" w:styleId="XHeading3">
    <w:name w:val="XHeading 3"/>
    <w:basedOn w:val="a1"/>
    <w:next w:val="af6"/>
    <w:semiHidden/>
    <w:qFormat/>
    <w:pPr>
      <w:tabs>
        <w:tab w:val="left" w:pos="1320"/>
      </w:tabs>
      <w:spacing w:after="240"/>
      <w:ind w:left="720" w:firstLine="720"/>
      <w:outlineLvl w:val="2"/>
    </w:pPr>
    <w:rPr>
      <w:lang w:eastAsia="en-US"/>
    </w:rPr>
  </w:style>
  <w:style w:type="paragraph" w:customStyle="1" w:styleId="XHeading4">
    <w:name w:val="XHeading 4"/>
    <w:basedOn w:val="a1"/>
    <w:next w:val="af6"/>
    <w:semiHidden/>
    <w:qFormat/>
    <w:pPr>
      <w:tabs>
        <w:tab w:val="left" w:pos="1740"/>
      </w:tabs>
      <w:spacing w:after="240"/>
      <w:ind w:left="1440" w:hanging="420"/>
      <w:outlineLvl w:val="3"/>
    </w:pPr>
    <w:rPr>
      <w:lang w:eastAsia="en-US"/>
    </w:rPr>
  </w:style>
  <w:style w:type="paragraph" w:customStyle="1" w:styleId="XHeading5">
    <w:name w:val="XHeading 5"/>
    <w:basedOn w:val="a1"/>
    <w:next w:val="af6"/>
    <w:semiHidden/>
    <w:qFormat/>
    <w:pPr>
      <w:tabs>
        <w:tab w:val="left" w:pos="2160"/>
      </w:tabs>
      <w:spacing w:after="240"/>
      <w:ind w:left="2160" w:hanging="420"/>
      <w:outlineLvl w:val="4"/>
    </w:pPr>
    <w:rPr>
      <w:lang w:eastAsia="en-US"/>
    </w:rPr>
  </w:style>
  <w:style w:type="paragraph" w:customStyle="1" w:styleId="XHeading6">
    <w:name w:val="XHeading 6"/>
    <w:basedOn w:val="a1"/>
    <w:next w:val="af6"/>
    <w:semiHidden/>
    <w:qFormat/>
    <w:pPr>
      <w:tabs>
        <w:tab w:val="left" w:pos="2580"/>
      </w:tabs>
      <w:spacing w:after="240"/>
      <w:ind w:left="4320" w:hanging="720"/>
      <w:outlineLvl w:val="5"/>
    </w:pPr>
    <w:rPr>
      <w:lang w:eastAsia="en-US"/>
    </w:rPr>
  </w:style>
  <w:style w:type="paragraph" w:customStyle="1" w:styleId="XHeading7">
    <w:name w:val="XHeading 7"/>
    <w:basedOn w:val="a1"/>
    <w:next w:val="af6"/>
    <w:semiHidden/>
    <w:qFormat/>
    <w:pPr>
      <w:tabs>
        <w:tab w:val="left" w:pos="3000"/>
      </w:tabs>
      <w:spacing w:after="240"/>
      <w:ind w:left="3000" w:hanging="420"/>
      <w:outlineLvl w:val="6"/>
    </w:pPr>
    <w:rPr>
      <w:lang w:eastAsia="en-US"/>
    </w:rPr>
  </w:style>
  <w:style w:type="paragraph" w:customStyle="1" w:styleId="XHeading8">
    <w:name w:val="XHeading 8"/>
    <w:basedOn w:val="a1"/>
    <w:next w:val="af6"/>
    <w:semiHidden/>
    <w:qFormat/>
    <w:pPr>
      <w:tabs>
        <w:tab w:val="left" w:pos="3420"/>
      </w:tabs>
      <w:spacing w:after="240"/>
      <w:ind w:left="3420" w:hanging="420"/>
      <w:outlineLvl w:val="7"/>
    </w:pPr>
    <w:rPr>
      <w:lang w:eastAsia="en-US"/>
    </w:rPr>
  </w:style>
  <w:style w:type="paragraph" w:customStyle="1" w:styleId="XHeading9">
    <w:name w:val="XHeading 9"/>
    <w:basedOn w:val="a1"/>
    <w:next w:val="af6"/>
    <w:semiHidden/>
    <w:qFormat/>
    <w:pPr>
      <w:tabs>
        <w:tab w:val="left" w:pos="3840"/>
      </w:tabs>
      <w:spacing w:after="240"/>
      <w:ind w:left="3840" w:hanging="420"/>
      <w:outlineLvl w:val="8"/>
    </w:pPr>
    <w:rPr>
      <w:lang w:eastAsia="en-US"/>
    </w:rPr>
  </w:style>
  <w:style w:type="paragraph" w:customStyle="1" w:styleId="uc0">
    <w:name w:val="一uc0级"/>
    <w:basedOn w:val="a1"/>
    <w:next w:val="af6"/>
    <w:semiHidden/>
    <w:qFormat/>
    <w:pPr>
      <w:keepNext/>
      <w:keepLines/>
      <w:tabs>
        <w:tab w:val="left" w:pos="4260"/>
      </w:tabs>
      <w:autoSpaceDE w:val="0"/>
      <w:autoSpaceDN w:val="0"/>
      <w:adjustRightInd w:val="0"/>
      <w:spacing w:before="240" w:after="240"/>
      <w:jc w:val="center"/>
    </w:pPr>
    <w:rPr>
      <w:b/>
      <w:bCs/>
      <w:kern w:val="28"/>
      <w:sz w:val="22"/>
      <w:szCs w:val="22"/>
      <w:lang w:eastAsia="en-US"/>
    </w:rPr>
  </w:style>
  <w:style w:type="paragraph" w:customStyle="1" w:styleId="Supplement2">
    <w:name w:val="Supplement 2"/>
    <w:basedOn w:val="2"/>
    <w:semiHidden/>
    <w:qFormat/>
    <w:pPr>
      <w:keepLines w:val="0"/>
      <w:spacing w:before="0" w:after="240" w:line="240" w:lineRule="auto"/>
      <w:outlineLvl w:val="9"/>
    </w:pPr>
    <w:rPr>
      <w:rFonts w:ascii="Times New Roman Bold" w:eastAsia="宋体" w:hAnsi="Times New Roman Bold"/>
      <w:sz w:val="22"/>
      <w:szCs w:val="20"/>
      <w:lang w:eastAsia="en-US"/>
    </w:rPr>
  </w:style>
  <w:style w:type="paragraph" w:customStyle="1" w:styleId="Web">
    <w:name w:val="普通 (Web)"/>
    <w:basedOn w:val="a1"/>
    <w:semiHidden/>
    <w:qFormat/>
    <w:pPr>
      <w:spacing w:before="100" w:beforeAutospacing="1" w:after="100" w:afterAutospacing="1"/>
    </w:pPr>
    <w:rPr>
      <w:lang w:eastAsia="en-US"/>
    </w:rPr>
  </w:style>
  <w:style w:type="paragraph" w:customStyle="1" w:styleId="ListBullet7">
    <w:name w:val="List Bullet 7"/>
    <w:basedOn w:val="ListBullet6"/>
    <w:semiHidden/>
    <w:qFormat/>
    <w:pPr>
      <w:ind w:leftChars="0" w:left="360" w:right="100" w:hanging="360"/>
    </w:pPr>
  </w:style>
  <w:style w:type="paragraph" w:customStyle="1" w:styleId="ListBullet6">
    <w:name w:val="List Bullet 6"/>
    <w:basedOn w:val="33"/>
    <w:semiHidden/>
    <w:qFormat/>
    <w:pPr>
      <w:tabs>
        <w:tab w:val="left" w:pos="360"/>
        <w:tab w:val="left" w:pos="735"/>
      </w:tabs>
      <w:spacing w:before="0"/>
      <w:ind w:leftChars="200" w:left="735" w:rightChars="100" w:right="210" w:hanging="315"/>
    </w:pPr>
    <w:rPr>
      <w:sz w:val="22"/>
      <w:lang w:eastAsia="zh-CN"/>
    </w:rPr>
  </w:style>
  <w:style w:type="paragraph" w:customStyle="1" w:styleId="tablefootnoteline">
    <w:name w:val="table footnote line"/>
    <w:basedOn w:val="a1"/>
    <w:semiHidden/>
    <w:qFormat/>
    <w:pPr>
      <w:keepNext/>
      <w:pBdr>
        <w:bottom w:val="single" w:sz="4" w:space="1" w:color="auto"/>
      </w:pBdr>
      <w:ind w:right="7589"/>
    </w:pPr>
    <w:rPr>
      <w:sz w:val="22"/>
    </w:rPr>
  </w:style>
  <w:style w:type="paragraph" w:customStyle="1" w:styleId="Table1DataRow">
    <w:name w:val="Table1 Data Row"/>
    <w:semiHidden/>
    <w:qFormat/>
    <w:pPr>
      <w:spacing w:line="250" w:lineRule="exact"/>
    </w:pPr>
    <w:rPr>
      <w:rFonts w:ascii="Arial Narrow" w:eastAsia="MS Mincho" w:hAnsi="Arial Narrow"/>
      <w:lang w:eastAsia="en-US"/>
    </w:rPr>
  </w:style>
  <w:style w:type="paragraph" w:customStyle="1" w:styleId="H6">
    <w:name w:val="H6"/>
    <w:semiHidden/>
    <w:qFormat/>
    <w:pPr>
      <w:spacing w:line="240" w:lineRule="exact"/>
      <w:jc w:val="right"/>
    </w:pPr>
    <w:rPr>
      <w:i/>
      <w:lang w:eastAsia="en-US"/>
    </w:rPr>
  </w:style>
  <w:style w:type="paragraph" w:customStyle="1" w:styleId="P2">
    <w:name w:val="P2"/>
    <w:semiHidden/>
    <w:qFormat/>
    <w:pPr>
      <w:spacing w:line="240" w:lineRule="exact"/>
    </w:pPr>
    <w:rPr>
      <w:b/>
      <w:lang w:eastAsia="en-US"/>
    </w:rPr>
  </w:style>
  <w:style w:type="paragraph" w:customStyle="1" w:styleId="I3">
    <w:name w:val="I3"/>
    <w:semiHidden/>
    <w:qFormat/>
    <w:pPr>
      <w:spacing w:line="240" w:lineRule="exact"/>
      <w:ind w:left="720"/>
    </w:pPr>
    <w:rPr>
      <w:lang w:eastAsia="en-US"/>
    </w:rPr>
  </w:style>
  <w:style w:type="paragraph" w:customStyle="1" w:styleId="I4">
    <w:name w:val="I4"/>
    <w:semiHidden/>
    <w:qFormat/>
    <w:pPr>
      <w:spacing w:line="240" w:lineRule="exact"/>
      <w:ind w:left="960"/>
    </w:pPr>
    <w:rPr>
      <w:lang w:eastAsia="en-US"/>
    </w:rPr>
  </w:style>
  <w:style w:type="paragraph" w:customStyle="1" w:styleId="H3">
    <w:name w:val="H3"/>
    <w:semiHidden/>
    <w:qFormat/>
    <w:pPr>
      <w:spacing w:line="240" w:lineRule="exact"/>
      <w:jc w:val="right"/>
    </w:pPr>
    <w:rPr>
      <w:b/>
      <w:lang w:eastAsia="en-US"/>
    </w:rPr>
  </w:style>
  <w:style w:type="paragraph" w:customStyle="1" w:styleId="1ListNumber">
    <w:name w:val="(1) List Number"/>
    <w:basedOn w:val="ab"/>
    <w:semiHidden/>
    <w:qFormat/>
    <w:pPr>
      <w:spacing w:before="0"/>
      <w:ind w:left="50" w:hangingChars="50" w:hanging="50"/>
    </w:pPr>
    <w:rPr>
      <w:sz w:val="22"/>
    </w:rPr>
  </w:style>
  <w:style w:type="paragraph" w:customStyle="1" w:styleId="Table">
    <w:name w:val="Table"/>
    <w:basedOn w:val="a1"/>
    <w:semiHidden/>
    <w:qFormat/>
    <w:rPr>
      <w:lang w:eastAsia="en-US"/>
    </w:rPr>
  </w:style>
  <w:style w:type="paragraph" w:customStyle="1" w:styleId="Body">
    <w:name w:val="Body"/>
    <w:basedOn w:val="a1"/>
    <w:semiHidden/>
    <w:qFormat/>
    <w:pPr>
      <w:spacing w:after="200" w:line="400" w:lineRule="exact"/>
    </w:pPr>
    <w:rPr>
      <w:lang w:val="en-AU" w:eastAsia="en-US"/>
    </w:rPr>
  </w:style>
  <w:style w:type="paragraph" w:customStyle="1" w:styleId="Subhead">
    <w:name w:val="Subhead"/>
    <w:basedOn w:val="af6"/>
    <w:semiHidden/>
    <w:qFormat/>
    <w:pPr>
      <w:keepNext/>
      <w:spacing w:before="240" w:after="0"/>
      <w:ind w:firstLine="432"/>
    </w:pPr>
    <w:rPr>
      <w:rFonts w:eastAsia="MS Mincho"/>
      <w:b/>
      <w:i/>
      <w:sz w:val="22"/>
      <w:szCs w:val="20"/>
      <w:lang w:eastAsia="en-US"/>
    </w:rPr>
  </w:style>
  <w:style w:type="paragraph" w:customStyle="1" w:styleId="LP10">
    <w:name w:val="LP10"/>
    <w:semiHidden/>
    <w:qFormat/>
    <w:rPr>
      <w:rFonts w:eastAsia="Times New Roman"/>
      <w:lang w:eastAsia="en-US"/>
    </w:rPr>
  </w:style>
  <w:style w:type="paragraph" w:customStyle="1" w:styleId="LP4">
    <w:name w:val="LP4"/>
    <w:semiHidden/>
    <w:qFormat/>
    <w:rPr>
      <w:rFonts w:eastAsia="Times New Roman"/>
      <w:sz w:val="8"/>
      <w:lang w:eastAsia="en-US"/>
    </w:rPr>
  </w:style>
  <w:style w:type="paragraph" w:customStyle="1" w:styleId="font5">
    <w:name w:val="font5"/>
    <w:basedOn w:val="a1"/>
    <w:qFormat/>
    <w:pPr>
      <w:spacing w:before="100" w:beforeAutospacing="1" w:after="100" w:afterAutospacing="1"/>
    </w:pPr>
    <w:rPr>
      <w:rFonts w:ascii="Arial" w:eastAsia="Arial Unicode MS" w:hAnsi="Arial" w:cs="Arial"/>
      <w:lang w:val="en-GB" w:eastAsia="en-US"/>
    </w:rPr>
  </w:style>
  <w:style w:type="paragraph" w:customStyle="1" w:styleId="IH2">
    <w:name w:val="IH2"/>
    <w:semiHidden/>
    <w:qFormat/>
    <w:pPr>
      <w:ind w:left="400" w:hanging="400"/>
    </w:pPr>
    <w:rPr>
      <w:rFonts w:eastAsia="Times New Roman"/>
      <w:lang w:eastAsia="en-US"/>
    </w:rPr>
  </w:style>
  <w:style w:type="paragraph" w:customStyle="1" w:styleId="RCO">
    <w:name w:val="RCO"/>
    <w:semiHidden/>
    <w:qFormat/>
    <w:pPr>
      <w:pBdr>
        <w:bottom w:val="single" w:sz="4" w:space="1" w:color="auto"/>
      </w:pBdr>
      <w:spacing w:line="200" w:lineRule="exact"/>
      <w:ind w:left="2880" w:right="2880"/>
      <w:jc w:val="center"/>
    </w:pPr>
    <w:rPr>
      <w:rFonts w:eastAsia="Times New Roman"/>
      <w:lang w:eastAsia="en-US"/>
    </w:rPr>
  </w:style>
  <w:style w:type="paragraph" w:customStyle="1" w:styleId="C8H">
    <w:name w:val="C8H"/>
    <w:semiHidden/>
    <w:qFormat/>
    <w:pPr>
      <w:spacing w:line="160" w:lineRule="exact"/>
      <w:jc w:val="center"/>
    </w:pPr>
    <w:rPr>
      <w:b/>
      <w:sz w:val="16"/>
    </w:rPr>
  </w:style>
  <w:style w:type="paragraph" w:customStyle="1" w:styleId="xl106">
    <w:name w:val="xl106"/>
    <w:basedOn w:val="a1"/>
    <w:semiHidden/>
    <w:qFormat/>
    <w:pPr>
      <w:spacing w:before="100" w:after="100"/>
      <w:jc w:val="right"/>
    </w:pPr>
    <w:rPr>
      <w:rFonts w:ascii="Arial Unicode MS" w:eastAsia="Arial Unicode MS" w:hAnsi="Arial Unicode MS"/>
      <w:sz w:val="16"/>
      <w:lang w:val="en-GB"/>
    </w:rPr>
  </w:style>
  <w:style w:type="paragraph" w:customStyle="1" w:styleId="rrdColumnRuleStyle">
    <w:name w:val="rrdColumnRule_Style"/>
    <w:basedOn w:val="a1"/>
    <w:next w:val="a1"/>
    <w:semiHidden/>
    <w:qFormat/>
    <w:pPr>
      <w:pBdr>
        <w:top w:val="single" w:sz="12" w:space="1" w:color="auto"/>
      </w:pBdr>
      <w:spacing w:before="60"/>
      <w:jc w:val="center"/>
    </w:pPr>
    <w:rPr>
      <w:sz w:val="8"/>
    </w:rPr>
  </w:style>
  <w:style w:type="paragraph" w:customStyle="1" w:styleId="H1">
    <w:name w:val="H1"/>
    <w:semiHidden/>
    <w:qFormat/>
    <w:pPr>
      <w:spacing w:line="240" w:lineRule="exact"/>
      <w:jc w:val="center"/>
    </w:pPr>
    <w:rPr>
      <w:b/>
    </w:rPr>
  </w:style>
  <w:style w:type="paragraph" w:customStyle="1" w:styleId="xl25">
    <w:name w:val="xl25"/>
    <w:basedOn w:val="a1"/>
    <w:qFormat/>
    <w:pPr>
      <w:spacing w:before="100" w:after="100"/>
    </w:pPr>
    <w:rPr>
      <w:rFonts w:ascii="Arial" w:eastAsia="Arial Unicode MS" w:hAnsi="Arial"/>
      <w:sz w:val="16"/>
      <w:lang w:val="en-GB"/>
    </w:rPr>
  </w:style>
  <w:style w:type="paragraph" w:customStyle="1" w:styleId="xl40">
    <w:name w:val="xl40"/>
    <w:basedOn w:val="a1"/>
    <w:qFormat/>
    <w:pPr>
      <w:pBdr>
        <w:bottom w:val="single" w:sz="4" w:space="0" w:color="auto"/>
      </w:pBdr>
      <w:spacing w:before="100" w:after="100"/>
      <w:jc w:val="center"/>
    </w:pPr>
    <w:rPr>
      <w:sz w:val="16"/>
      <w:lang w:val="en-GB"/>
    </w:rPr>
  </w:style>
  <w:style w:type="paragraph" w:customStyle="1" w:styleId="xl53">
    <w:name w:val="xl53"/>
    <w:basedOn w:val="a1"/>
    <w:semiHidden/>
    <w:qFormat/>
    <w:pPr>
      <w:spacing w:before="100" w:after="100"/>
    </w:pPr>
    <w:rPr>
      <w:b/>
      <w:sz w:val="16"/>
      <w:u w:val="single"/>
      <w:lang w:val="en-GB"/>
    </w:rPr>
  </w:style>
  <w:style w:type="paragraph" w:customStyle="1" w:styleId="xl50">
    <w:name w:val="xl50"/>
    <w:basedOn w:val="a1"/>
    <w:semiHidden/>
    <w:qFormat/>
    <w:pPr>
      <w:spacing w:before="100" w:after="100"/>
      <w:jc w:val="center"/>
    </w:pPr>
    <w:rPr>
      <w:rFonts w:ascii="@宋体" w:eastAsia="@宋体" w:hAnsi="Arial Unicode MS"/>
      <w:lang w:val="en-GB"/>
    </w:rPr>
  </w:style>
  <w:style w:type="paragraph" w:customStyle="1" w:styleId="H2">
    <w:name w:val="H2"/>
    <w:semiHidden/>
    <w:qFormat/>
    <w:pPr>
      <w:spacing w:line="240" w:lineRule="exact"/>
    </w:pPr>
    <w:rPr>
      <w:b/>
    </w:rPr>
  </w:style>
  <w:style w:type="paragraph" w:customStyle="1" w:styleId="H4">
    <w:name w:val="H4"/>
    <w:semiHidden/>
    <w:qFormat/>
    <w:pPr>
      <w:spacing w:line="240" w:lineRule="exact"/>
      <w:jc w:val="center"/>
    </w:pPr>
    <w:rPr>
      <w:i/>
    </w:rPr>
  </w:style>
  <w:style w:type="paragraph" w:customStyle="1" w:styleId="H4X">
    <w:name w:val="H4X"/>
    <w:semiHidden/>
    <w:qFormat/>
    <w:pPr>
      <w:spacing w:line="240" w:lineRule="exact"/>
      <w:jc w:val="center"/>
    </w:pPr>
    <w:rPr>
      <w:b/>
      <w:i/>
    </w:rPr>
  </w:style>
  <w:style w:type="paragraph" w:customStyle="1" w:styleId="H5">
    <w:name w:val="H5"/>
    <w:semiHidden/>
    <w:qFormat/>
    <w:pPr>
      <w:spacing w:line="240" w:lineRule="exact"/>
    </w:pPr>
    <w:rPr>
      <w:i/>
    </w:rPr>
  </w:style>
  <w:style w:type="paragraph" w:customStyle="1" w:styleId="H5X">
    <w:name w:val="H5X"/>
    <w:semiHidden/>
    <w:qFormat/>
    <w:pPr>
      <w:spacing w:line="240" w:lineRule="exact"/>
    </w:pPr>
    <w:rPr>
      <w:b/>
      <w:i/>
    </w:rPr>
  </w:style>
  <w:style w:type="paragraph" w:customStyle="1" w:styleId="H6X">
    <w:name w:val="H6X"/>
    <w:semiHidden/>
    <w:qFormat/>
    <w:pPr>
      <w:spacing w:line="240" w:lineRule="exact"/>
      <w:jc w:val="right"/>
    </w:pPr>
    <w:rPr>
      <w:b/>
      <w:i/>
    </w:rPr>
  </w:style>
  <w:style w:type="paragraph" w:customStyle="1" w:styleId="H7">
    <w:name w:val="H7"/>
    <w:semiHidden/>
    <w:qFormat/>
    <w:pPr>
      <w:spacing w:line="240" w:lineRule="exact"/>
      <w:jc w:val="center"/>
    </w:pPr>
  </w:style>
  <w:style w:type="paragraph" w:customStyle="1" w:styleId="H8">
    <w:name w:val="H8"/>
    <w:semiHidden/>
    <w:qFormat/>
    <w:pPr>
      <w:spacing w:line="240" w:lineRule="exact"/>
    </w:pPr>
  </w:style>
  <w:style w:type="paragraph" w:customStyle="1" w:styleId="H9">
    <w:name w:val="H9"/>
    <w:semiHidden/>
    <w:qFormat/>
    <w:pPr>
      <w:spacing w:line="240" w:lineRule="exact"/>
      <w:jc w:val="right"/>
    </w:pPr>
  </w:style>
  <w:style w:type="paragraph" w:customStyle="1" w:styleId="I1">
    <w:name w:val="I1"/>
    <w:semiHidden/>
    <w:qFormat/>
    <w:pPr>
      <w:spacing w:line="240" w:lineRule="exact"/>
      <w:ind w:left="240"/>
    </w:pPr>
  </w:style>
  <w:style w:type="paragraph" w:customStyle="1" w:styleId="I2">
    <w:name w:val="I2"/>
    <w:semiHidden/>
    <w:qFormat/>
    <w:pPr>
      <w:spacing w:line="240" w:lineRule="exact"/>
      <w:ind w:left="480"/>
    </w:pPr>
  </w:style>
  <w:style w:type="paragraph" w:customStyle="1" w:styleId="IH1">
    <w:name w:val="IH1"/>
    <w:semiHidden/>
    <w:qFormat/>
    <w:pPr>
      <w:spacing w:line="240" w:lineRule="exact"/>
      <w:ind w:left="200" w:hanging="200"/>
    </w:pPr>
  </w:style>
  <w:style w:type="paragraph" w:customStyle="1" w:styleId="IH3">
    <w:name w:val="IH3"/>
    <w:semiHidden/>
    <w:qFormat/>
    <w:pPr>
      <w:tabs>
        <w:tab w:val="left" w:pos="2"/>
      </w:tabs>
      <w:spacing w:line="240" w:lineRule="exact"/>
      <w:ind w:left="500" w:hanging="500"/>
    </w:pPr>
  </w:style>
  <w:style w:type="paragraph" w:customStyle="1" w:styleId="P1">
    <w:name w:val="P1"/>
    <w:semiHidden/>
    <w:qFormat/>
    <w:pPr>
      <w:spacing w:line="240" w:lineRule="exact"/>
    </w:pPr>
  </w:style>
  <w:style w:type="paragraph" w:customStyle="1" w:styleId="P3">
    <w:name w:val="P3"/>
    <w:semiHidden/>
    <w:qFormat/>
    <w:pPr>
      <w:spacing w:line="240" w:lineRule="exact"/>
    </w:pPr>
    <w:rPr>
      <w:i/>
    </w:rPr>
  </w:style>
  <w:style w:type="paragraph" w:customStyle="1" w:styleId="P4">
    <w:name w:val="P4"/>
    <w:semiHidden/>
    <w:qFormat/>
    <w:pPr>
      <w:spacing w:line="240" w:lineRule="exact"/>
    </w:pPr>
    <w:rPr>
      <w:b/>
      <w:i/>
    </w:rPr>
  </w:style>
  <w:style w:type="paragraph" w:customStyle="1" w:styleId="LP6">
    <w:name w:val="LP6"/>
    <w:semiHidden/>
    <w:qFormat/>
    <w:pPr>
      <w:spacing w:line="120" w:lineRule="exact"/>
      <w:jc w:val="both"/>
    </w:pPr>
    <w:rPr>
      <w:sz w:val="12"/>
    </w:rPr>
  </w:style>
  <w:style w:type="paragraph" w:customStyle="1" w:styleId="LP8">
    <w:name w:val="LP8"/>
    <w:semiHidden/>
    <w:qFormat/>
    <w:rPr>
      <w:sz w:val="16"/>
    </w:rPr>
  </w:style>
  <w:style w:type="paragraph" w:customStyle="1" w:styleId="LP12">
    <w:name w:val="LP12"/>
    <w:semiHidden/>
    <w:qFormat/>
    <w:pPr>
      <w:spacing w:line="240" w:lineRule="exact"/>
      <w:jc w:val="both"/>
    </w:pPr>
    <w:rPr>
      <w:sz w:val="24"/>
    </w:rPr>
  </w:style>
  <w:style w:type="paragraph" w:customStyle="1" w:styleId="LP24">
    <w:name w:val="LP24"/>
    <w:semiHidden/>
    <w:qFormat/>
    <w:pPr>
      <w:spacing w:line="480" w:lineRule="exact"/>
      <w:jc w:val="both"/>
    </w:pPr>
    <w:rPr>
      <w:sz w:val="48"/>
    </w:rPr>
  </w:style>
  <w:style w:type="paragraph" w:customStyle="1" w:styleId="LP18">
    <w:name w:val="LP18"/>
    <w:semiHidden/>
    <w:qFormat/>
    <w:pPr>
      <w:spacing w:line="360" w:lineRule="exact"/>
      <w:jc w:val="both"/>
    </w:pPr>
    <w:rPr>
      <w:sz w:val="36"/>
    </w:rPr>
  </w:style>
  <w:style w:type="paragraph" w:customStyle="1" w:styleId="ST10">
    <w:name w:val="ST10"/>
    <w:semiHidden/>
    <w:qFormat/>
    <w:pPr>
      <w:spacing w:line="240" w:lineRule="exact"/>
    </w:pPr>
  </w:style>
  <w:style w:type="paragraph" w:customStyle="1" w:styleId="C10">
    <w:name w:val="C10"/>
    <w:semiHidden/>
    <w:qFormat/>
    <w:pPr>
      <w:spacing w:line="240" w:lineRule="exact"/>
      <w:jc w:val="right"/>
    </w:pPr>
  </w:style>
  <w:style w:type="paragraph" w:customStyle="1" w:styleId="RFN">
    <w:name w:val="RFN"/>
    <w:semiHidden/>
    <w:qFormat/>
    <w:pPr>
      <w:pBdr>
        <w:bottom w:val="single" w:sz="6" w:space="1" w:color="auto"/>
      </w:pBdr>
      <w:spacing w:line="200" w:lineRule="exact"/>
      <w:ind w:right="7200"/>
    </w:pPr>
  </w:style>
  <w:style w:type="paragraph" w:customStyle="1" w:styleId="TABLE0">
    <w:name w:val="TABLE"/>
    <w:basedOn w:val="a1"/>
    <w:semiHidden/>
    <w:qFormat/>
    <w:pPr>
      <w:spacing w:line="240" w:lineRule="exact"/>
    </w:pPr>
  </w:style>
  <w:style w:type="paragraph" w:customStyle="1" w:styleId="Style1">
    <w:name w:val="Style1"/>
    <w:basedOn w:val="a1"/>
    <w:qFormat/>
    <w:pPr>
      <w:pBdr>
        <w:top w:val="single" w:sz="6" w:space="1" w:color="auto"/>
      </w:pBdr>
      <w:jc w:val="center"/>
    </w:pPr>
    <w:rPr>
      <w:sz w:val="16"/>
    </w:rPr>
  </w:style>
  <w:style w:type="paragraph" w:customStyle="1" w:styleId="SubHead3">
    <w:name w:val="Sub Head 3"/>
    <w:basedOn w:val="a1"/>
    <w:next w:val="Body"/>
    <w:semiHidden/>
    <w:qFormat/>
    <w:pPr>
      <w:spacing w:before="180" w:after="160"/>
    </w:pPr>
    <w:rPr>
      <w:rFonts w:ascii="Arial" w:hAnsi="Arial"/>
      <w:b/>
      <w:i/>
    </w:rPr>
  </w:style>
  <w:style w:type="paragraph" w:customStyle="1" w:styleId="Table1Title">
    <w:name w:val="Table1 Title"/>
    <w:basedOn w:val="Table1Name"/>
    <w:semiHidden/>
    <w:qFormat/>
    <w:pPr>
      <w:spacing w:before="120" w:after="80" w:line="300" w:lineRule="exact"/>
    </w:pPr>
    <w:rPr>
      <w:caps w:val="0"/>
      <w:sz w:val="22"/>
    </w:rPr>
  </w:style>
  <w:style w:type="paragraph" w:customStyle="1" w:styleId="Table1Name">
    <w:name w:val="Table1 Name"/>
    <w:semiHidden/>
    <w:qFormat/>
    <w:rPr>
      <w:rFonts w:ascii="Arial" w:hAnsi="Arial"/>
      <w:b/>
      <w:caps/>
    </w:rPr>
  </w:style>
  <w:style w:type="paragraph" w:customStyle="1" w:styleId="Table1ColumnHead">
    <w:name w:val="Table1 Column Head"/>
    <w:semiHidden/>
    <w:qFormat/>
    <w:pPr>
      <w:spacing w:before="120" w:after="120" w:line="240" w:lineRule="exact"/>
    </w:pPr>
    <w:rPr>
      <w:rFonts w:ascii="Arial" w:hAnsi="Arial"/>
      <w:b/>
    </w:rPr>
  </w:style>
  <w:style w:type="paragraph" w:customStyle="1" w:styleId="affffb">
    <w:name w:val="样式 节 + 四号 加粗 两端对齐"/>
    <w:basedOn w:val="afffe"/>
    <w:semiHidden/>
    <w:qFormat/>
    <w:pPr>
      <w:adjustRightInd/>
      <w:snapToGrid/>
      <w:spacing w:before="260" w:after="260"/>
      <w:ind w:right="210"/>
      <w:jc w:val="both"/>
      <w:outlineLvl w:val="3"/>
    </w:pPr>
    <w:rPr>
      <w:b/>
      <w:bCs/>
      <w:sz w:val="28"/>
      <w:szCs w:val="20"/>
    </w:rPr>
  </w:style>
  <w:style w:type="paragraph" w:customStyle="1" w:styleId="034">
    <w:name w:val="样式 正文文本 + 小四 (西文)粗体 左侧:  0 厘米 悬挂缩进: 3.4 字符"/>
    <w:basedOn w:val="af6"/>
    <w:semiHidden/>
    <w:qFormat/>
    <w:pPr>
      <w:spacing w:before="120" w:after="0" w:line="300" w:lineRule="auto"/>
      <w:ind w:left="340" w:hanging="340"/>
    </w:pPr>
    <w:rPr>
      <w:rFonts w:cs="Arial Unicode MS"/>
      <w:b/>
      <w:szCs w:val="24"/>
      <w:lang w:bidi="th-TH"/>
    </w:rPr>
  </w:style>
  <w:style w:type="paragraph" w:customStyle="1" w:styleId="0">
    <w:name w:val="样式 正文文本 + 左侧:  0 厘米"/>
    <w:basedOn w:val="af6"/>
    <w:semiHidden/>
    <w:qFormat/>
    <w:pPr>
      <w:spacing w:before="120" w:after="0" w:line="300" w:lineRule="auto"/>
      <w:ind w:firstLineChars="183" w:firstLine="384"/>
    </w:pPr>
    <w:rPr>
      <w:rFonts w:cs="Arial Unicode MS"/>
      <w:lang w:bidi="th-TH"/>
    </w:rPr>
  </w:style>
  <w:style w:type="paragraph" w:customStyle="1" w:styleId="1CharCharCharCharChar1">
    <w:name w:val="招股书正文1 Char Char Char Char Char1"/>
    <w:basedOn w:val="a1"/>
    <w:semiHidden/>
    <w:qFormat/>
    <w:pPr>
      <w:spacing w:after="160" w:line="240" w:lineRule="exact"/>
    </w:pPr>
    <w:rPr>
      <w:rFonts w:ascii="Verdana" w:eastAsia="Times New Roman" w:hAnsi="Verdana"/>
      <w:lang w:eastAsia="en-US"/>
    </w:rPr>
  </w:style>
  <w:style w:type="paragraph" w:customStyle="1" w:styleId="font6">
    <w:name w:val="font6"/>
    <w:basedOn w:val="a1"/>
    <w:qFormat/>
    <w:pPr>
      <w:spacing w:before="100" w:beforeAutospacing="1" w:after="100" w:afterAutospacing="1"/>
    </w:pPr>
    <w:rPr>
      <w:rFonts w:cs="Arial Unicode MS" w:hint="eastAsia"/>
      <w:sz w:val="18"/>
      <w:szCs w:val="18"/>
      <w:lang w:val="en-GB" w:eastAsia="en-US"/>
    </w:rPr>
  </w:style>
  <w:style w:type="paragraph" w:customStyle="1" w:styleId="1CharCharCharCharChar1Char1CharCharChar">
    <w:name w:val="招股书正文1 Char Char Char Char Char1 Char1 Char Char Char"/>
    <w:basedOn w:val="a1"/>
    <w:semiHidden/>
    <w:qFormat/>
    <w:pPr>
      <w:spacing w:after="160" w:line="240" w:lineRule="exact"/>
    </w:pPr>
    <w:rPr>
      <w:rFonts w:ascii="Verdana" w:eastAsia="Times New Roman" w:hAnsi="Verdana"/>
      <w:lang w:eastAsia="en-US"/>
    </w:rPr>
  </w:style>
  <w:style w:type="paragraph" w:customStyle="1" w:styleId="1CharCharCharCharChar1Char">
    <w:name w:val="招股书正文1 Char Char Char Char Char1 Char"/>
    <w:basedOn w:val="a1"/>
    <w:semiHidden/>
    <w:qFormat/>
    <w:pPr>
      <w:spacing w:after="160" w:line="240" w:lineRule="exact"/>
    </w:pPr>
    <w:rPr>
      <w:rFonts w:ascii="Verdana" w:eastAsia="Times New Roman" w:hAnsi="Verdana"/>
      <w:lang w:eastAsia="en-US"/>
    </w:rPr>
  </w:style>
  <w:style w:type="paragraph" w:customStyle="1" w:styleId="1f2">
    <w:name w:val="招股书正文1"/>
    <w:basedOn w:val="a1"/>
    <w:semiHidden/>
    <w:qFormat/>
    <w:pPr>
      <w:spacing w:after="160" w:line="240" w:lineRule="exact"/>
    </w:pPr>
    <w:rPr>
      <w:rFonts w:ascii="Verdana" w:eastAsia="Times New Roman" w:hAnsi="Verdana"/>
      <w:lang w:eastAsia="en-US"/>
    </w:rPr>
  </w:style>
  <w:style w:type="paragraph" w:customStyle="1" w:styleId="IndentText">
    <w:name w:val="Indent Text 字元"/>
    <w:basedOn w:val="a1"/>
    <w:semiHidden/>
    <w:qFormat/>
    <w:pPr>
      <w:spacing w:after="240"/>
      <w:ind w:firstLine="720"/>
    </w:pPr>
    <w:rPr>
      <w:rFonts w:eastAsia="Times New Roman"/>
      <w:lang w:eastAsia="en-US"/>
    </w:rPr>
  </w:style>
  <w:style w:type="paragraph" w:customStyle="1" w:styleId="1CharChar">
    <w:name w:val="招股书正文1 Char Char"/>
    <w:basedOn w:val="a1"/>
    <w:semiHidden/>
    <w:qFormat/>
    <w:pPr>
      <w:spacing w:after="160" w:line="240" w:lineRule="exact"/>
    </w:pPr>
    <w:rPr>
      <w:rFonts w:ascii="Verdana" w:eastAsia="Times New Roman" w:hAnsi="Verdana"/>
      <w:lang w:eastAsia="en-US"/>
    </w:rPr>
  </w:style>
  <w:style w:type="paragraph" w:customStyle="1" w:styleId="Char11">
    <w:name w:val="Char1"/>
    <w:basedOn w:val="a1"/>
    <w:qFormat/>
    <w:pPr>
      <w:spacing w:after="160" w:line="240" w:lineRule="exact"/>
    </w:pPr>
    <w:rPr>
      <w:rFonts w:ascii="Verdana" w:eastAsia="Times New Roman" w:hAnsi="Verdana"/>
      <w:lang w:eastAsia="en-US"/>
    </w:rPr>
  </w:style>
  <w:style w:type="paragraph" w:customStyle="1" w:styleId="1CharCharCharCharCharCharCharChar">
    <w:name w:val="招股书正文1 Char Char Char Char Char Char Char Char"/>
    <w:basedOn w:val="a1"/>
    <w:semiHidden/>
    <w:qFormat/>
    <w:pPr>
      <w:spacing w:after="160" w:line="240" w:lineRule="exact"/>
    </w:pPr>
    <w:rPr>
      <w:rFonts w:ascii="Verdana" w:eastAsia="Times New Roman" w:hAnsi="Verdana"/>
      <w:lang w:eastAsia="en-US"/>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1"/>
    <w:qFormat/>
    <w:pPr>
      <w:spacing w:after="160" w:line="240" w:lineRule="exact"/>
    </w:pPr>
    <w:rPr>
      <w:rFonts w:ascii="Verdana" w:eastAsia="Times New Roman" w:hAnsi="Verdana" w:cs="Arial"/>
      <w:sz w:val="22"/>
      <w:lang w:eastAsia="en-US"/>
    </w:rPr>
  </w:style>
  <w:style w:type="paragraph" w:customStyle="1" w:styleId="xl26">
    <w:name w:val="xl26"/>
    <w:basedOn w:val="a1"/>
    <w:qFormat/>
    <w:pPr>
      <w:spacing w:before="100" w:beforeAutospacing="1" w:after="100" w:afterAutospacing="1"/>
      <w:jc w:val="right"/>
    </w:pPr>
    <w:rPr>
      <w:rFonts w:ascii="Arial Unicode MS" w:eastAsia="Arial Unicode MS" w:hAnsi="Arial Unicode MS" w:cs="Arial Unicode MS"/>
    </w:rPr>
  </w:style>
  <w:style w:type="paragraph" w:customStyle="1" w:styleId="xl28">
    <w:name w:val="xl28"/>
    <w:basedOn w:val="a1"/>
    <w:qFormat/>
    <w:pPr>
      <w:spacing w:before="100" w:beforeAutospacing="1" w:after="100" w:afterAutospacing="1"/>
      <w:jc w:val="right"/>
    </w:pPr>
    <w:rPr>
      <w:rFonts w:ascii="Arial" w:eastAsia="Arial Unicode MS" w:hAnsi="Arial" w:cs="Arial"/>
      <w:sz w:val="18"/>
      <w:szCs w:val="18"/>
    </w:rPr>
  </w:style>
  <w:style w:type="paragraph" w:customStyle="1" w:styleId="xl32">
    <w:name w:val="xl32"/>
    <w:basedOn w:val="a1"/>
    <w:qFormat/>
    <w:pPr>
      <w:pBdr>
        <w:bottom w:val="single" w:sz="4" w:space="0" w:color="auto"/>
      </w:pBdr>
      <w:spacing w:before="100" w:beforeAutospacing="1" w:after="100" w:afterAutospacing="1"/>
      <w:jc w:val="right"/>
    </w:pPr>
    <w:rPr>
      <w:rFonts w:ascii="Arial" w:eastAsia="Arial Unicode MS" w:hAnsi="Arial" w:cs="Arial"/>
      <w:b/>
      <w:bCs/>
      <w:sz w:val="18"/>
      <w:szCs w:val="18"/>
    </w:rPr>
  </w:style>
  <w:style w:type="paragraph" w:customStyle="1" w:styleId="TableText">
    <w:name w:val="Table Text"/>
    <w:semiHidden/>
    <w:qFormat/>
    <w:pPr>
      <w:widowControl w:val="0"/>
    </w:pPr>
    <w:rPr>
      <w:snapToGrid w:val="0"/>
      <w:color w:val="000000"/>
      <w:sz w:val="24"/>
      <w:lang w:eastAsia="en-US"/>
    </w:rPr>
  </w:style>
  <w:style w:type="paragraph" w:customStyle="1" w:styleId="xl49">
    <w:name w:val="xl49"/>
    <w:basedOn w:val="a1"/>
    <w:semiHidden/>
    <w:qFormat/>
    <w:pPr>
      <w:spacing w:before="100" w:beforeAutospacing="1" w:after="100" w:afterAutospacing="1"/>
      <w:jc w:val="center"/>
    </w:pPr>
    <w:rPr>
      <w:rFonts w:cs="Arial Unicode MS" w:hint="eastAsia"/>
      <w:sz w:val="16"/>
      <w:szCs w:val="16"/>
      <w:lang w:val="en-GB" w:eastAsia="en-US"/>
    </w:rPr>
  </w:style>
  <w:style w:type="paragraph" w:customStyle="1" w:styleId="xl63">
    <w:name w:val="xl63"/>
    <w:basedOn w:val="a1"/>
    <w:semiHidden/>
    <w:qFormat/>
    <w:pPr>
      <w:spacing w:before="100" w:beforeAutospacing="1" w:after="100" w:afterAutospacing="1"/>
      <w:jc w:val="right"/>
    </w:pPr>
    <w:rPr>
      <w:rFonts w:hAnsi="Arial Unicode MS" w:cs="Arial Unicode MS" w:hint="eastAsia"/>
      <w:lang w:val="en-GB" w:eastAsia="en-US"/>
    </w:rPr>
  </w:style>
  <w:style w:type="paragraph" w:customStyle="1" w:styleId="1CharCharCharCharChar1Char1CharChar">
    <w:name w:val="招股书正文1 Char Char Char Char Char1 Char1 Char Char"/>
    <w:basedOn w:val="a1"/>
    <w:semiHidden/>
    <w:qFormat/>
    <w:pPr>
      <w:spacing w:after="160" w:line="240" w:lineRule="exact"/>
    </w:pPr>
    <w:rPr>
      <w:rFonts w:ascii="Verdana" w:eastAsia="Times New Roman" w:hAnsi="Verdana"/>
      <w:lang w:eastAsia="en-US"/>
    </w:rPr>
  </w:style>
  <w:style w:type="paragraph" w:customStyle="1" w:styleId="1CharCharCharCharCharChar">
    <w:name w:val="招股书正文1 Char Char Char Char Char Char"/>
    <w:basedOn w:val="a1"/>
    <w:semiHidden/>
    <w:qFormat/>
    <w:pPr>
      <w:spacing w:after="160" w:line="240" w:lineRule="exact"/>
    </w:pPr>
    <w:rPr>
      <w:rFonts w:ascii="Verdana" w:eastAsia="Times New Roman" w:hAnsi="Verdana"/>
      <w:lang w:eastAsia="en-US"/>
    </w:rPr>
  </w:style>
  <w:style w:type="paragraph" w:customStyle="1" w:styleId="1CharCharChar">
    <w:name w:val="招股书正文1 Char Char Char"/>
    <w:basedOn w:val="a1"/>
    <w:semiHidden/>
    <w:qFormat/>
    <w:pPr>
      <w:spacing w:after="160" w:line="240" w:lineRule="exact"/>
    </w:pPr>
    <w:rPr>
      <w:rFonts w:ascii="Verdana" w:eastAsia="Times New Roman" w:hAnsi="Verdana"/>
      <w:lang w:eastAsia="en-US"/>
    </w:rPr>
  </w:style>
  <w:style w:type="paragraph" w:customStyle="1" w:styleId="1CharCharCharCharCharCharCharChar1CharCharCharChar">
    <w:name w:val="招股书正文1 Char Char Char Char Char Char Char Char1 Char Char Char Char"/>
    <w:basedOn w:val="a1"/>
    <w:semiHidden/>
    <w:qFormat/>
    <w:pPr>
      <w:spacing w:after="160" w:line="240" w:lineRule="exact"/>
    </w:pPr>
    <w:rPr>
      <w:rFonts w:ascii="Verdana" w:eastAsia="Times New Roman" w:hAnsi="Verdana"/>
      <w:lang w:eastAsia="en-US"/>
    </w:rPr>
  </w:style>
  <w:style w:type="paragraph" w:customStyle="1" w:styleId="1CharCharCharCharCharCharCharChar1CharCharCharCharChar">
    <w:name w:val="招股书正文1 Char Char Char Char Char Char Char Char1 Char Char Char Char Char"/>
    <w:basedOn w:val="a1"/>
    <w:semiHidden/>
    <w:qFormat/>
    <w:pPr>
      <w:spacing w:after="160" w:line="240" w:lineRule="exact"/>
    </w:pPr>
    <w:rPr>
      <w:rFonts w:ascii="Verdana" w:eastAsia="Times New Roman" w:hAnsi="Verdana"/>
      <w:lang w:eastAsia="en-US"/>
    </w:rPr>
  </w:style>
  <w:style w:type="paragraph" w:customStyle="1" w:styleId="affffc">
    <w:name w:val="样式"/>
    <w:basedOn w:val="a1"/>
    <w:next w:val="affa"/>
    <w:qFormat/>
    <w:pPr>
      <w:spacing w:before="100" w:beforeAutospacing="1" w:after="100" w:afterAutospacing="1" w:line="312" w:lineRule="auto"/>
    </w:pPr>
    <w:rPr>
      <w:color w:val="515151"/>
      <w:sz w:val="18"/>
      <w:szCs w:val="18"/>
    </w:rPr>
  </w:style>
  <w:style w:type="paragraph" w:customStyle="1" w:styleId="affffd">
    <w:name w:val="编号"/>
    <w:basedOn w:val="a1"/>
    <w:qFormat/>
    <w:pPr>
      <w:tabs>
        <w:tab w:val="left" w:pos="900"/>
      </w:tabs>
      <w:ind w:left="900" w:hanging="420"/>
    </w:pPr>
    <w:rPr>
      <w:kern w:val="2"/>
      <w:sz w:val="21"/>
    </w:rPr>
  </w:style>
  <w:style w:type="paragraph" w:customStyle="1" w:styleId="affffe">
    <w:name w:val="编号."/>
    <w:basedOn w:val="a1"/>
    <w:qFormat/>
    <w:pPr>
      <w:tabs>
        <w:tab w:val="left" w:pos="900"/>
      </w:tabs>
      <w:ind w:left="900" w:hanging="420"/>
    </w:pPr>
    <w:rPr>
      <w:kern w:val="2"/>
      <w:sz w:val="21"/>
    </w:rPr>
  </w:style>
  <w:style w:type="paragraph" w:customStyle="1" w:styleId="CharChar6">
    <w:name w:val="Char Char"/>
    <w:basedOn w:val="a1"/>
    <w:qFormat/>
    <w:pPr>
      <w:spacing w:after="160" w:line="240" w:lineRule="exact"/>
    </w:pPr>
    <w:rPr>
      <w:rFonts w:ascii="Verdana" w:eastAsia="Times New Roman" w:hAnsi="Verdana" w:cs="Arial"/>
      <w:sz w:val="22"/>
      <w:lang w:eastAsia="en-US"/>
    </w:rPr>
  </w:style>
  <w:style w:type="paragraph" w:customStyle="1" w:styleId="CharChar30">
    <w:name w:val="Char Char3"/>
    <w:basedOn w:val="a1"/>
    <w:uiPriority w:val="99"/>
    <w:qFormat/>
    <w:pPr>
      <w:spacing w:after="160" w:line="240" w:lineRule="exact"/>
    </w:pPr>
    <w:rPr>
      <w:rFonts w:cs="Arial"/>
      <w:sz w:val="22"/>
      <w:lang w:eastAsia="en-US"/>
    </w:rPr>
  </w:style>
  <w:style w:type="paragraph" w:customStyle="1" w:styleId="55">
    <w:name w:val="5"/>
    <w:basedOn w:val="a1"/>
    <w:qFormat/>
    <w:rPr>
      <w:rFonts w:ascii="Arial" w:hAnsi="Arial"/>
      <w:b/>
      <w:kern w:val="2"/>
      <w:sz w:val="21"/>
    </w:rPr>
  </w:style>
  <w:style w:type="paragraph" w:customStyle="1" w:styleId="CharCharCharCharCharCharCharCharCharCharChar">
    <w:name w:val="Char Char Char Char Char Char Char Char Char Char Char"/>
    <w:basedOn w:val="a1"/>
    <w:qFormat/>
    <w:pPr>
      <w:spacing w:after="160" w:line="240" w:lineRule="exact"/>
    </w:pPr>
    <w:rPr>
      <w:rFonts w:cs="Arial"/>
      <w:sz w:val="22"/>
      <w:lang w:eastAsia="en-US"/>
    </w:rPr>
  </w:style>
  <w:style w:type="paragraph" w:customStyle="1" w:styleId="CharCharCharCharCharCharCharCharCharCharCharChar1CharCharCharCharCharCharCharCharCharCharCharCharCharCharCharCharCharCharCharCharCharCharCharCharCharCharCharChar">
    <w:name w:val="Char Char Char Char Char Char Char Char Char Char Char Char1 Char Char Char Char Char Char Char Char Char Char Char Char Char Char Char Char Char Char Char Char Char Char Char Char Char Char Char Char"/>
    <w:basedOn w:val="a1"/>
    <w:qFormat/>
    <w:pPr>
      <w:spacing w:after="160" w:line="240" w:lineRule="exact"/>
    </w:pPr>
    <w:rPr>
      <w:rFonts w:ascii="Verdana" w:eastAsia="Times New Roman" w:hAnsi="Verdana" w:cs="Arial"/>
      <w:sz w:val="22"/>
      <w:lang w:eastAsia="en-US"/>
    </w:rPr>
  </w:style>
  <w:style w:type="paragraph" w:customStyle="1" w:styleId="CharCharCharCharCharCharCharCharCharCharCharChar1CharCharCharCharCharCharCharCharCharCharCharCharCharCharCharCharCharCharCharCharCharCharCharCharCharCharCharCharCharCharCharChar">
    <w:name w:val="Char Char Char Char Char Char Char Char Char Char Char Char1 Char Char Char Char Char Char Char Char Char Char Char Char Char Char Char Char Char Char Char Char Char Char Char Char Char Char Char Char Char Char Char Char"/>
    <w:basedOn w:val="a1"/>
    <w:qFormat/>
    <w:pPr>
      <w:spacing w:after="160" w:line="240" w:lineRule="exact"/>
    </w:pPr>
    <w:rPr>
      <w:rFonts w:ascii="Verdana" w:eastAsia="Times New Roman" w:hAnsi="Verdana" w:cs="Arial"/>
      <w:sz w:val="22"/>
      <w:lang w:eastAsia="en-US"/>
    </w:rPr>
  </w:style>
  <w:style w:type="paragraph" w:customStyle="1" w:styleId="DD1">
    <w:name w:val="DD1"/>
    <w:basedOn w:val="a1"/>
    <w:qFormat/>
    <w:pPr>
      <w:jc w:val="center"/>
      <w:outlineLvl w:val="0"/>
    </w:pPr>
    <w:rPr>
      <w:rFonts w:ascii="黑体" w:eastAsia="黑体"/>
      <w:kern w:val="2"/>
      <w:sz w:val="32"/>
      <w:szCs w:val="32"/>
    </w:rPr>
  </w:style>
  <w:style w:type="paragraph" w:customStyle="1" w:styleId="CharCharCharCharCharCharCharChar">
    <w:name w:val="Char Char Char Char Char Char Char Char"/>
    <w:basedOn w:val="a1"/>
    <w:qFormat/>
    <w:pPr>
      <w:spacing w:after="160" w:line="240" w:lineRule="exact"/>
    </w:pPr>
    <w:rPr>
      <w:rFonts w:cs="Arial"/>
      <w:sz w:val="22"/>
      <w:lang w:eastAsia="en-US"/>
    </w:rPr>
  </w:style>
  <w:style w:type="paragraph" w:customStyle="1" w:styleId="70">
    <w:name w:val="7"/>
    <w:basedOn w:val="a1"/>
    <w:next w:val="32"/>
    <w:qFormat/>
    <w:pPr>
      <w:jc w:val="center"/>
    </w:pPr>
    <w:rPr>
      <w:kern w:val="2"/>
      <w:sz w:val="18"/>
    </w:rPr>
  </w:style>
  <w:style w:type="paragraph" w:customStyle="1" w:styleId="afffff">
    <w:name w:val="第二级"/>
    <w:basedOn w:val="a1"/>
    <w:qFormat/>
    <w:pPr>
      <w:tabs>
        <w:tab w:val="left" w:pos="360"/>
      </w:tabs>
      <w:spacing w:before="120" w:afterLines="50"/>
      <w:ind w:left="360" w:hanging="360"/>
    </w:pPr>
    <w:rPr>
      <w:b/>
      <w:kern w:val="2"/>
    </w:rPr>
  </w:style>
  <w:style w:type="paragraph" w:customStyle="1" w:styleId="CharCharCharCharCharCharCharCharCharChar">
    <w:name w:val="Char Char Char Char Char Char Char Char Char Char"/>
    <w:basedOn w:val="a1"/>
    <w:qFormat/>
    <w:pPr>
      <w:spacing w:after="160" w:line="240" w:lineRule="exact"/>
    </w:pPr>
    <w:rPr>
      <w:rFonts w:cs="Arial"/>
      <w:sz w:val="22"/>
      <w:lang w:eastAsia="en-US"/>
    </w:rPr>
  </w:style>
  <w:style w:type="paragraph" w:customStyle="1" w:styleId="60">
    <w:name w:val="6"/>
    <w:basedOn w:val="a1"/>
    <w:next w:val="32"/>
    <w:qFormat/>
    <w:pPr>
      <w:jc w:val="center"/>
    </w:pPr>
    <w:rPr>
      <w:kern w:val="2"/>
      <w:sz w:val="18"/>
    </w:rPr>
  </w:style>
  <w:style w:type="paragraph" w:customStyle="1" w:styleId="CharCharChar2">
    <w:name w:val="Char Char Char"/>
    <w:basedOn w:val="a1"/>
    <w:qFormat/>
    <w:pPr>
      <w:spacing w:after="160" w:line="240" w:lineRule="exact"/>
    </w:pPr>
    <w:rPr>
      <w:rFonts w:cs="Arial"/>
      <w:sz w:val="22"/>
      <w:lang w:eastAsia="en-US"/>
    </w:rPr>
  </w:style>
  <w:style w:type="paragraph" w:customStyle="1" w:styleId="CharChar1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w:basedOn w:val="a1"/>
    <w:qFormat/>
    <w:pPr>
      <w:spacing w:after="160" w:line="240" w:lineRule="exact"/>
    </w:pPr>
    <w:rPr>
      <w:rFonts w:ascii="Verdana" w:eastAsia="Times New Roman" w:hAnsi="Verdana" w:cs="Arial"/>
      <w:sz w:val="22"/>
      <w:lang w:eastAsia="en-US"/>
    </w:rPr>
  </w:style>
  <w:style w:type="paragraph" w:customStyle="1" w:styleId="CharCharCharCharCharCharCharCharCharCharChar1CharCharCharCharCharCharChar">
    <w:name w:val="Char Char Char Char Char Char Char Char Char Char Char1 Char Char Char Char Char Char Char"/>
    <w:basedOn w:val="a1"/>
    <w:qFormat/>
    <w:pPr>
      <w:spacing w:after="160" w:line="240" w:lineRule="exact"/>
    </w:pPr>
    <w:rPr>
      <w:rFonts w:cs="Arial"/>
      <w:sz w:val="22"/>
      <w:lang w:eastAsia="en-US"/>
    </w:rPr>
  </w:style>
  <w:style w:type="paragraph" w:customStyle="1" w:styleId="z-1">
    <w:name w:val="z-窗体顶端1"/>
    <w:basedOn w:val="a1"/>
    <w:next w:val="a1"/>
    <w:link w:val="z-Char"/>
    <w:qFormat/>
    <w:pPr>
      <w:pBdr>
        <w:bottom w:val="single" w:sz="6" w:space="1" w:color="auto"/>
      </w:pBdr>
      <w:jc w:val="center"/>
    </w:pPr>
    <w:rPr>
      <w:rFonts w:ascii="Arial" w:hAnsi="Arial" w:cs="Times New Roman"/>
      <w:vanish/>
      <w:sz w:val="16"/>
      <w:szCs w:val="16"/>
    </w:rPr>
  </w:style>
  <w:style w:type="paragraph" w:customStyle="1" w:styleId="Normal1">
    <w:name w:val="Normal1"/>
    <w:qFormat/>
    <w:pPr>
      <w:widowControl w:val="0"/>
      <w:adjustRightInd w:val="0"/>
      <w:spacing w:line="360" w:lineRule="atLeast"/>
      <w:textAlignment w:val="baseline"/>
    </w:pPr>
    <w:rPr>
      <w:rFonts w:ascii="MingLiU" w:eastAsia="MingLiU"/>
      <w:sz w:val="24"/>
      <w:lang w:eastAsia="zh-TW"/>
    </w:rPr>
  </w:style>
  <w:style w:type="paragraph" w:customStyle="1" w:styleId="Char2CharCharCharCharCharCharCharChar">
    <w:name w:val="Char2 Char Char Char Char Char Char Char Char"/>
    <w:basedOn w:val="a1"/>
    <w:semiHidden/>
    <w:qFormat/>
    <w:pPr>
      <w:spacing w:after="160" w:line="240" w:lineRule="exact"/>
    </w:pPr>
    <w:rPr>
      <w:rFonts w:ascii="Verdana" w:eastAsia="Times New Roman" w:hAnsi="Verdana"/>
      <w:lang w:eastAsia="en-US"/>
    </w:rPr>
  </w:style>
  <w:style w:type="paragraph" w:customStyle="1" w:styleId="Char2CharCharChar">
    <w:name w:val="Char2 Char Char Char"/>
    <w:basedOn w:val="a1"/>
    <w:semiHidden/>
    <w:qFormat/>
    <w:pPr>
      <w:spacing w:after="160" w:line="240" w:lineRule="exact"/>
    </w:pPr>
    <w:rPr>
      <w:rFonts w:ascii="Verdana" w:eastAsia="Times New Roman" w:hAnsi="Verdana"/>
      <w:lang w:eastAsia="en-US"/>
    </w:rPr>
  </w:style>
  <w:style w:type="paragraph" w:customStyle="1" w:styleId="z">
    <w:name w:val="z正文"/>
    <w:basedOn w:val="a1"/>
    <w:qFormat/>
    <w:pPr>
      <w:adjustRightInd w:val="0"/>
      <w:snapToGrid w:val="0"/>
      <w:ind w:left="420"/>
      <w:jc w:val="center"/>
    </w:pPr>
    <w:rPr>
      <w:b/>
      <w:kern w:val="2"/>
      <w:sz w:val="32"/>
      <w:szCs w:val="32"/>
    </w:rPr>
  </w:style>
  <w:style w:type="paragraph" w:customStyle="1" w:styleId="1CharCharCharCharCharCharCharChar1CharCharCharChar1">
    <w:name w:val="招股书正文1 Char Char Char Char Char Char Char Char1 Char Char Char Char1"/>
    <w:basedOn w:val="a1"/>
    <w:semiHidden/>
    <w:qFormat/>
    <w:pPr>
      <w:spacing w:after="160" w:line="240" w:lineRule="exact"/>
    </w:pPr>
    <w:rPr>
      <w:rFonts w:ascii="Verdana" w:eastAsia="Times New Roman" w:hAnsi="Verdana"/>
      <w:lang w:eastAsia="en-US"/>
    </w:rPr>
  </w:style>
  <w:style w:type="paragraph" w:customStyle="1" w:styleId="CharChar1CharCharCharCharCharCharChar">
    <w:name w:val="Char Char1 Char Char Char Char Char Char Char"/>
    <w:basedOn w:val="a1"/>
    <w:qFormat/>
    <w:pPr>
      <w:spacing w:after="160" w:line="240" w:lineRule="exact"/>
    </w:pPr>
    <w:rPr>
      <w:rFonts w:ascii="Verdana" w:eastAsia="Times New Roman" w:hAnsi="Verdana"/>
      <w:lang w:eastAsia="en-US"/>
    </w:rPr>
  </w:style>
  <w:style w:type="paragraph" w:customStyle="1" w:styleId="CharCharCharCharCharCharChar">
    <w:name w:val="Char Char Char Char Char Char Char"/>
    <w:basedOn w:val="a1"/>
    <w:qFormat/>
    <w:pPr>
      <w:tabs>
        <w:tab w:val="right" w:pos="6000"/>
      </w:tabs>
      <w:spacing w:line="480" w:lineRule="auto"/>
    </w:pPr>
    <w:rPr>
      <w:rFonts w:ascii="Arial" w:hAnsi="Arial" w:cs="Arial Unicode MS"/>
      <w:lang w:bidi="th-TH"/>
    </w:rPr>
  </w:style>
  <w:style w:type="paragraph" w:customStyle="1" w:styleId="ParaCharCharChar1Char">
    <w:name w:val="默认段落字体 Para Char Char Char1 Char"/>
    <w:basedOn w:val="a1"/>
    <w:qFormat/>
    <w:pPr>
      <w:tabs>
        <w:tab w:val="left" w:pos="360"/>
      </w:tabs>
      <w:snapToGrid w:val="0"/>
    </w:pPr>
    <w:rPr>
      <w:kern w:val="2"/>
    </w:rPr>
  </w:style>
  <w:style w:type="paragraph" w:customStyle="1" w:styleId="CharChar1CharCharCharCharCharChar">
    <w:name w:val="Char Char1 Char Char Char Char Char Char"/>
    <w:basedOn w:val="a1"/>
    <w:qFormat/>
    <w:pPr>
      <w:spacing w:after="160" w:line="240" w:lineRule="exact"/>
    </w:pPr>
    <w:rPr>
      <w:rFonts w:ascii="Verdana" w:eastAsia="Times New Roman" w:hAnsi="Verdana" w:cs="Arial"/>
      <w:sz w:val="22"/>
      <w:lang w:eastAsia="en-US"/>
    </w:rPr>
  </w:style>
  <w:style w:type="paragraph" w:customStyle="1" w:styleId="1ArialGB2312">
    <w:name w:val="样式 标题 1 + (西文) Arial (中文) 楷体_GB2312 (复杂文种)"/>
    <w:basedOn w:val="1"/>
    <w:qFormat/>
    <w:rPr>
      <w:rFonts w:ascii="Arial" w:eastAsia="楷体_GB2312" w:hAnsi="Arial" w:cs="Arial"/>
      <w:sz w:val="32"/>
    </w:rPr>
  </w:style>
  <w:style w:type="paragraph" w:customStyle="1" w:styleId="1ArialGB23120">
    <w:name w:val="样式 标题 1 + (西文) Arial (中文) 楷体_GB2312 （小三）"/>
    <w:basedOn w:val="1"/>
    <w:qFormat/>
    <w:rPr>
      <w:rFonts w:ascii="Arial" w:eastAsia="楷体_GB2312" w:hAnsi="Arial" w:cs="Arial"/>
      <w:sz w:val="30"/>
    </w:rPr>
  </w:style>
  <w:style w:type="paragraph" w:customStyle="1" w:styleId="CharCharCharChar0">
    <w:name w:val="Char Char Char Char"/>
    <w:basedOn w:val="a1"/>
    <w:qFormat/>
    <w:pPr>
      <w:spacing w:after="160" w:line="240" w:lineRule="exact"/>
    </w:pPr>
    <w:rPr>
      <w:rFonts w:cs="Arial"/>
      <w:sz w:val="22"/>
      <w:lang w:eastAsia="en-US"/>
    </w:rPr>
  </w:style>
  <w:style w:type="paragraph" w:customStyle="1" w:styleId="CharChar1CharCharCharCharCharCharCharChar">
    <w:name w:val="Char Char1 Char Char Char Char Char Char Char Char"/>
    <w:basedOn w:val="a1"/>
    <w:qFormat/>
    <w:pPr>
      <w:spacing w:after="160" w:line="240" w:lineRule="exact"/>
    </w:pPr>
    <w:rPr>
      <w:rFonts w:ascii="Verdana" w:hAnsi="Verdana"/>
      <w:lang w:eastAsia="en-US"/>
    </w:rPr>
  </w:style>
  <w:style w:type="paragraph" w:customStyle="1" w:styleId="CharCharCharCharCharChar">
    <w:name w:val="Char Char Char Char Char Char"/>
    <w:basedOn w:val="a1"/>
    <w:qFormat/>
    <w:rPr>
      <w:rFonts w:ascii="Tahoma" w:hAnsi="Tahoma"/>
      <w:kern w:val="2"/>
    </w:rPr>
  </w:style>
  <w:style w:type="paragraph" w:customStyle="1" w:styleId="z-10">
    <w:name w:val="z-窗体底端1"/>
    <w:basedOn w:val="a1"/>
    <w:next w:val="a1"/>
    <w:link w:val="z-Char0"/>
    <w:qFormat/>
    <w:pPr>
      <w:pBdr>
        <w:top w:val="single" w:sz="6" w:space="1" w:color="auto"/>
      </w:pBdr>
      <w:jc w:val="center"/>
    </w:pPr>
    <w:rPr>
      <w:rFonts w:ascii="Arial" w:hAnsi="Arial" w:cs="Times New Roman"/>
      <w:vanish/>
      <w:sz w:val="16"/>
      <w:szCs w:val="16"/>
    </w:rPr>
  </w:style>
  <w:style w:type="paragraph" w:customStyle="1" w:styleId="1CharCharCharCharCharCharCharCharCharChar">
    <w:name w:val="字元 字元1 Char Char 字元 字元 Char Char 字元 字元 字元 字元 字元 字元 字元 字元 Char Char 字元 字元 字元 Char Char 字元 字元 字元 Char Char 字元 字元 字元 字元 字元 字元 字元 字元 字元 字元 字元 字元 字元 字元"/>
    <w:basedOn w:val="a1"/>
    <w:qFormat/>
    <w:pPr>
      <w:spacing w:after="160" w:line="240" w:lineRule="exact"/>
    </w:pPr>
    <w:rPr>
      <w:rFonts w:ascii="Verdana" w:hAnsi="Verdana"/>
      <w:lang w:eastAsia="en-US"/>
    </w:rPr>
  </w:style>
  <w:style w:type="paragraph" w:customStyle="1" w:styleId="afffff0">
    <w:name w:val="论文正文"/>
    <w:basedOn w:val="a1"/>
    <w:next w:val="a1"/>
    <w:qFormat/>
    <w:pPr>
      <w:spacing w:line="400" w:lineRule="exact"/>
      <w:ind w:firstLine="480"/>
    </w:pPr>
    <w:rPr>
      <w:rFonts w:cs="Arial"/>
      <w:kern w:val="44"/>
    </w:rPr>
  </w:style>
  <w:style w:type="paragraph" w:customStyle="1" w:styleId="CharChar1CharCharCharCharCharCharCharChar3">
    <w:name w:val="Char Char1 Char Char Char Char Char Char Char Char3"/>
    <w:basedOn w:val="a1"/>
    <w:qFormat/>
    <w:pPr>
      <w:spacing w:after="160" w:line="240" w:lineRule="exact"/>
    </w:pPr>
    <w:rPr>
      <w:rFonts w:ascii="Verdana" w:hAnsi="Verdana"/>
      <w:lang w:eastAsia="en-US"/>
    </w:rPr>
  </w:style>
  <w:style w:type="paragraph" w:customStyle="1" w:styleId="afffff1">
    <w:name w:val="a"/>
    <w:basedOn w:val="a1"/>
    <w:qFormat/>
    <w:pPr>
      <w:overflowPunct w:val="0"/>
      <w:autoSpaceDE w:val="0"/>
      <w:autoSpaceDN w:val="0"/>
      <w:snapToGrid w:val="0"/>
      <w:spacing w:before="120"/>
      <w:ind w:firstLine="480"/>
    </w:pPr>
    <w:rPr>
      <w:rFonts w:ascii="Arial" w:hAnsi="Arial" w:cs="Arial"/>
    </w:rPr>
  </w:style>
  <w:style w:type="paragraph" w:customStyle="1" w:styleId="1f3">
    <w:name w:val="修订1"/>
    <w:hidden/>
    <w:uiPriority w:val="99"/>
    <w:qFormat/>
    <w:rPr>
      <w:kern w:val="2"/>
      <w:sz w:val="21"/>
      <w:szCs w:val="21"/>
    </w:rPr>
  </w:style>
  <w:style w:type="paragraph" w:customStyle="1" w:styleId="CharChar1CharCharCharCharCharCharCharCharCharCharCharCharCharCharCharChar">
    <w:name w:val="Char Char1 Char Char Char Char Char Char Char Char Char Char Char Char Char Char Char Char"/>
    <w:basedOn w:val="a1"/>
    <w:qFormat/>
    <w:pPr>
      <w:spacing w:after="160" w:line="240" w:lineRule="exact"/>
    </w:pPr>
    <w:rPr>
      <w:rFonts w:ascii="Verdana" w:hAnsi="Verdana"/>
      <w:lang w:eastAsia="en-US"/>
    </w:rPr>
  </w:style>
  <w:style w:type="paragraph" w:customStyle="1" w:styleId="CharChar13">
    <w:name w:val="Char Char1"/>
    <w:basedOn w:val="a1"/>
    <w:qFormat/>
    <w:pPr>
      <w:spacing w:after="160" w:line="240" w:lineRule="exact"/>
    </w:pPr>
    <w:rPr>
      <w:rFonts w:cs="Arial"/>
      <w:sz w:val="22"/>
      <w:lang w:eastAsia="en-US"/>
    </w:rPr>
  </w:style>
  <w:style w:type="paragraph" w:customStyle="1" w:styleId="CharCharCharCharCharCharCharCharCharCharCharChar1CharCharCharCharCharCharCharCharCharCharCharCharCharCharCharCharCharCharCharCharCharCharCharCharCharCharCharChar2">
    <w:name w:val="Char Char Char Char Char Char Char Char Char Char Char Char1 Char Char Char Char Char Char Char Char Char Char Char Char Char Char Char Char Char Char Char Char Char Char Char Char Char Char Char Char2"/>
    <w:basedOn w:val="a1"/>
    <w:qFormat/>
    <w:pPr>
      <w:spacing w:after="160" w:line="240" w:lineRule="exact"/>
    </w:pPr>
    <w:rPr>
      <w:rFonts w:ascii="Verdana" w:eastAsia="Times New Roman" w:hAnsi="Verdana" w:cs="Arial"/>
      <w:sz w:val="22"/>
      <w:lang w:eastAsia="en-US"/>
    </w:rPr>
  </w:style>
  <w:style w:type="paragraph" w:customStyle="1" w:styleId="CharCharCharCharCharCharCharCharCharCharCharChar1CharCharCharCharCharCharCharCharCharCharCharCharCharCharCharCharCharCharCharCharCharCharCharCharCharCharCharCharCharCharCharChar2">
    <w:name w:val="Char Char Char Char Char Char Char Char Char Char Char Char1 Char Char Char Char Char Char Char Char Char Char Char Char Char Char Char Char Char Char Char Char Char Char Char Char Char Char Char Char Char Char Char Char2"/>
    <w:basedOn w:val="a1"/>
    <w:qFormat/>
    <w:pPr>
      <w:spacing w:after="160" w:line="240" w:lineRule="exact"/>
    </w:pPr>
    <w:rPr>
      <w:rFonts w:ascii="Verdana" w:eastAsia="Times New Roman" w:hAnsi="Verdana" w:cs="Arial"/>
      <w:sz w:val="22"/>
      <w:lang w:eastAsia="en-US"/>
    </w:rPr>
  </w:style>
  <w:style w:type="paragraph" w:customStyle="1" w:styleId="CharCharChar20">
    <w:name w:val="Char Char Char2"/>
    <w:basedOn w:val="a1"/>
    <w:qFormat/>
    <w:pPr>
      <w:spacing w:after="160" w:line="240" w:lineRule="exact"/>
    </w:pPr>
    <w:rPr>
      <w:rFonts w:cs="Arial"/>
      <w:sz w:val="22"/>
      <w:lang w:eastAsia="en-US"/>
    </w:rPr>
  </w:style>
  <w:style w:type="paragraph" w:customStyle="1" w:styleId="CharChar1CharCharCharCharCharCharCharCharCharCharCharCharCharCharCharCharCharCharCharCharCharCharCharCharCharCharCharCharCharCharCharCharCharChar2">
    <w:name w:val="Char Char1 Char Char Char Char Char Char Char Char Char Char Char Char Char Char Char Char Char Char Char Char Char Char Char Char Char Char Char Char Char Char Char Char Char Char2"/>
    <w:basedOn w:val="a1"/>
    <w:qFormat/>
    <w:pPr>
      <w:spacing w:after="160" w:line="240" w:lineRule="exact"/>
    </w:pPr>
    <w:rPr>
      <w:rFonts w:ascii="Verdana" w:eastAsia="Times New Roman" w:hAnsi="Verdana" w:cs="Arial"/>
      <w:sz w:val="22"/>
      <w:lang w:eastAsia="en-US"/>
    </w:rPr>
  </w:style>
  <w:style w:type="paragraph" w:customStyle="1" w:styleId="CharChar1CharCharCharCharCharCharChar2">
    <w:name w:val="Char Char1 Char Char Char Char Char Char Char2"/>
    <w:basedOn w:val="a1"/>
    <w:qFormat/>
    <w:pPr>
      <w:spacing w:after="160" w:line="240" w:lineRule="exact"/>
    </w:pPr>
    <w:rPr>
      <w:rFonts w:ascii="Verdana" w:eastAsia="Times New Roman" w:hAnsi="Verdana"/>
      <w:lang w:eastAsia="en-US"/>
    </w:rPr>
  </w:style>
  <w:style w:type="paragraph" w:customStyle="1" w:styleId="CharChar1CharCharCharCharCharChar2">
    <w:name w:val="Char Char1 Char Char Char Char Char Char2"/>
    <w:basedOn w:val="a1"/>
    <w:qFormat/>
    <w:pPr>
      <w:spacing w:after="160" w:line="240" w:lineRule="exact"/>
    </w:pPr>
    <w:rPr>
      <w:rFonts w:ascii="Verdana" w:eastAsia="Times New Roman" w:hAnsi="Verdana" w:cs="Arial"/>
      <w:sz w:val="22"/>
      <w:lang w:eastAsia="en-US"/>
    </w:rPr>
  </w:style>
  <w:style w:type="paragraph" w:customStyle="1" w:styleId="CharCharCharChar2">
    <w:name w:val="Char Char Char Char2"/>
    <w:basedOn w:val="a1"/>
    <w:qFormat/>
    <w:pPr>
      <w:spacing w:after="160" w:line="240" w:lineRule="exact"/>
    </w:pPr>
    <w:rPr>
      <w:rFonts w:cs="Arial"/>
      <w:sz w:val="22"/>
      <w:lang w:eastAsia="en-US"/>
    </w:rPr>
  </w:style>
  <w:style w:type="paragraph" w:customStyle="1" w:styleId="CharCharCharCharCharChar2">
    <w:name w:val="Char Char Char Char Char Char2"/>
    <w:basedOn w:val="a1"/>
    <w:qFormat/>
    <w:rPr>
      <w:rFonts w:ascii="Tahoma" w:hAnsi="Tahoma"/>
      <w:kern w:val="2"/>
    </w:rPr>
  </w:style>
  <w:style w:type="paragraph" w:customStyle="1" w:styleId="1CharCharCharCharCharCharCharCharCharChar2">
    <w:name w:val="字元 字元1 Char Char 字元 字元 Char Char 字元 字元 字元 字元 字元 字元 字元 字元 Char Char 字元 字元 字元 Char Char 字元 字元 字元 Char Char 字元 字元 字元 字元 字元 字元 字元 字元 字元 字元 字元 字元 字元 字元2"/>
    <w:basedOn w:val="a1"/>
    <w:qFormat/>
    <w:pPr>
      <w:spacing w:after="160" w:line="240" w:lineRule="exact"/>
    </w:pPr>
    <w:rPr>
      <w:rFonts w:ascii="Verdana" w:hAnsi="Verdana"/>
      <w:lang w:eastAsia="en-US"/>
    </w:rPr>
  </w:style>
  <w:style w:type="paragraph" w:customStyle="1" w:styleId="CharChar1CharCharCharCharCharCharCharChar1">
    <w:name w:val="Char Char1 Char Char Char Char Char Char Char Char1"/>
    <w:basedOn w:val="a1"/>
    <w:qFormat/>
    <w:pPr>
      <w:spacing w:after="160" w:line="240" w:lineRule="exact"/>
    </w:pPr>
    <w:rPr>
      <w:rFonts w:ascii="Verdana" w:hAnsi="Verdana"/>
      <w:lang w:eastAsia="en-US"/>
    </w:rPr>
  </w:style>
  <w:style w:type="paragraph" w:customStyle="1" w:styleId="1f4">
    <w:name w:val="列出段落1"/>
    <w:basedOn w:val="a1"/>
    <w:uiPriority w:val="34"/>
    <w:qFormat/>
    <w:pPr>
      <w:ind w:firstLine="420"/>
    </w:pPr>
    <w:rPr>
      <w:rFonts w:ascii="Arial" w:hAnsi="Arial"/>
      <w:kern w:val="2"/>
      <w:sz w:val="21"/>
    </w:rPr>
  </w:style>
  <w:style w:type="paragraph" w:customStyle="1" w:styleId="Char22">
    <w:name w:val="Char22"/>
    <w:basedOn w:val="a1"/>
    <w:semiHidden/>
    <w:qFormat/>
    <w:pPr>
      <w:spacing w:after="160" w:line="240" w:lineRule="exact"/>
    </w:pPr>
    <w:rPr>
      <w:rFonts w:ascii="Verdana" w:eastAsia="Times New Roman" w:hAnsi="Verdana"/>
      <w:lang w:eastAsia="en-US"/>
    </w:rPr>
  </w:style>
  <w:style w:type="paragraph" w:customStyle="1" w:styleId="Char12">
    <w:name w:val="Char12"/>
    <w:basedOn w:val="a1"/>
    <w:semiHidden/>
    <w:qFormat/>
    <w:pPr>
      <w:spacing w:after="160" w:line="240" w:lineRule="exact"/>
    </w:pPr>
    <w:rPr>
      <w:rFonts w:ascii="Verdana" w:eastAsia="Times New Roman" w:hAnsi="Verdana"/>
      <w:lang w:eastAsia="en-US"/>
    </w:rPr>
  </w:style>
  <w:style w:type="paragraph" w:customStyle="1" w:styleId="CharChar1CharCharCharCharCharCharCharCharCharCharCharCharCharCharCharCharCharCharCharCharCharCharCharCharCharCharCharCharCharCharCharCharCharCharCharCharCharChar2">
    <w:name w:val="Char Char1 Char Char Char Char Char Char Char Char Char Char Char Char Char Char Char Char Char Char Char Char Char Char Char Char Char Char Char Char Char Char Char Char Char Char Char Char Char Char2"/>
    <w:basedOn w:val="a1"/>
    <w:semiHidden/>
    <w:qFormat/>
    <w:pPr>
      <w:spacing w:after="160" w:line="240" w:lineRule="exact"/>
    </w:pPr>
    <w:rPr>
      <w:rFonts w:ascii="Verdana" w:eastAsia="Times New Roman" w:hAnsi="Verdana" w:cs="Arial"/>
      <w:sz w:val="22"/>
      <w:lang w:eastAsia="en-US"/>
    </w:rPr>
  </w:style>
  <w:style w:type="paragraph" w:customStyle="1" w:styleId="Char2CharCharCharCharCharCharCharChar2">
    <w:name w:val="Char2 Char Char Char Char Char Char Char Char2"/>
    <w:basedOn w:val="a1"/>
    <w:semiHidden/>
    <w:qFormat/>
    <w:pPr>
      <w:spacing w:after="160" w:line="240" w:lineRule="exact"/>
    </w:pPr>
    <w:rPr>
      <w:rFonts w:ascii="Verdana" w:eastAsia="Times New Roman" w:hAnsi="Verdana"/>
      <w:lang w:eastAsia="en-US"/>
    </w:rPr>
  </w:style>
  <w:style w:type="paragraph" w:customStyle="1" w:styleId="Char2CharCharChar2">
    <w:name w:val="Char2 Char Char Char2"/>
    <w:basedOn w:val="a1"/>
    <w:semiHidden/>
    <w:qFormat/>
    <w:pPr>
      <w:spacing w:after="160" w:line="240" w:lineRule="exact"/>
    </w:pPr>
    <w:rPr>
      <w:rFonts w:ascii="Verdana" w:eastAsia="Times New Roman" w:hAnsi="Verdana"/>
      <w:lang w:eastAsia="en-US"/>
    </w:rPr>
  </w:style>
  <w:style w:type="paragraph" w:customStyle="1" w:styleId="CharChar1CharCharCharCharCharCharCharCharCharCharCharCharCharCharCharChar2">
    <w:name w:val="Char Char1 Char Char Char Char Char Char Char Char Char Char Char Char Char Char Char Char2"/>
    <w:basedOn w:val="a1"/>
    <w:qFormat/>
    <w:pPr>
      <w:spacing w:after="160" w:line="240" w:lineRule="exact"/>
    </w:pPr>
    <w:rPr>
      <w:rFonts w:ascii="Verdana" w:hAnsi="Verdana"/>
      <w:lang w:eastAsia="en-US"/>
    </w:rPr>
  </w:style>
  <w:style w:type="paragraph" w:customStyle="1" w:styleId="Char21">
    <w:name w:val="表头 Char2"/>
    <w:qFormat/>
    <w:pPr>
      <w:widowControl w:val="0"/>
      <w:overflowPunct w:val="0"/>
      <w:autoSpaceDE w:val="0"/>
      <w:autoSpaceDN w:val="0"/>
      <w:adjustRightInd w:val="0"/>
      <w:snapToGrid w:val="0"/>
      <w:spacing w:line="360" w:lineRule="auto"/>
      <w:jc w:val="center"/>
    </w:pPr>
    <w:rPr>
      <w:sz w:val="24"/>
      <w:szCs w:val="24"/>
    </w:rPr>
  </w:style>
  <w:style w:type="paragraph" w:customStyle="1" w:styleId="CharCharChar1Char0">
    <w:name w:val="Char Char Char1 Char"/>
    <w:basedOn w:val="a1"/>
    <w:qFormat/>
    <w:pPr>
      <w:tabs>
        <w:tab w:val="left" w:pos="360"/>
      </w:tabs>
      <w:snapToGrid w:val="0"/>
    </w:pPr>
    <w:rPr>
      <w:kern w:val="2"/>
    </w:rPr>
  </w:style>
  <w:style w:type="paragraph" w:customStyle="1" w:styleId="CharChar20">
    <w:name w:val="Char Char2"/>
    <w:basedOn w:val="a1"/>
    <w:uiPriority w:val="99"/>
    <w:qFormat/>
    <w:pPr>
      <w:spacing w:after="160" w:line="240" w:lineRule="exact"/>
    </w:pPr>
    <w:rPr>
      <w:rFonts w:cs="Arial"/>
      <w:sz w:val="22"/>
      <w:lang w:eastAsia="en-US"/>
    </w:rPr>
  </w:style>
  <w:style w:type="paragraph" w:customStyle="1" w:styleId="CharChar1CharCharCharCharCharCharCharChar2">
    <w:name w:val="Char Char1 Char Char Char Char Char Char Char Char2"/>
    <w:basedOn w:val="a1"/>
    <w:qFormat/>
    <w:pPr>
      <w:spacing w:after="160" w:line="240" w:lineRule="exact"/>
    </w:pPr>
    <w:rPr>
      <w:rFonts w:ascii="Verdana" w:hAnsi="Verdana"/>
      <w:lang w:eastAsia="en-US"/>
    </w:rPr>
  </w:style>
  <w:style w:type="paragraph" w:customStyle="1" w:styleId="CharCharCharCharCharCharCharCharCharCharCharChar1CharCharCharCharCharCharCharCharCharCharCharCharCharCharCharCharCharCharCharCharCharCharCharCharCharCharCharChar1">
    <w:name w:val="Char Char Char Char Char Char Char Char Char Char Char Char1 Char Char Char Char Char Char Char Char Char Char Char Char Char Char Char Char Char Char Char Char Char Char Char Char Char Char Char Char1"/>
    <w:basedOn w:val="a1"/>
    <w:qFormat/>
    <w:pPr>
      <w:spacing w:after="160" w:line="240" w:lineRule="exact"/>
    </w:pPr>
    <w:rPr>
      <w:rFonts w:ascii="Verdana" w:eastAsia="Times New Roman" w:hAnsi="Verdana" w:cs="Arial"/>
      <w:sz w:val="22"/>
      <w:lang w:eastAsia="en-US"/>
    </w:rPr>
  </w:style>
  <w:style w:type="paragraph" w:customStyle="1" w:styleId="CharCharCharCharCharCharCharCharCharCharCharChar1CharCharCharCharCharCharCharCharCharCharCharCharCharCharCharCharCharCharCharCharCharCharCharCharCharCharCharCharCharCharCharChar1">
    <w:name w:val="Char Char Char Char Char Char Char Char Char Char Char Char1 Char Char Char Char Char Char Char Char Char Char Char Char Char Char Char Char Char Char Char Char Char Char Char Char Char Char Char Char Char Char Char Char1"/>
    <w:basedOn w:val="a1"/>
    <w:qFormat/>
    <w:pPr>
      <w:spacing w:after="160" w:line="240" w:lineRule="exact"/>
    </w:pPr>
    <w:rPr>
      <w:rFonts w:ascii="Verdana" w:eastAsia="Times New Roman" w:hAnsi="Verdana" w:cs="Arial"/>
      <w:sz w:val="22"/>
      <w:lang w:eastAsia="en-US"/>
    </w:rPr>
  </w:style>
  <w:style w:type="paragraph" w:customStyle="1" w:styleId="CharCharChar10">
    <w:name w:val="Char Char Char1"/>
    <w:basedOn w:val="a1"/>
    <w:qFormat/>
    <w:pPr>
      <w:spacing w:after="160" w:line="240" w:lineRule="exact"/>
    </w:pPr>
    <w:rPr>
      <w:rFonts w:cs="Arial"/>
      <w:sz w:val="22"/>
      <w:lang w:eastAsia="en-US"/>
    </w:rPr>
  </w:style>
  <w:style w:type="paragraph" w:customStyle="1" w:styleId="CharChar1CharCharCharCharCharCharCharCharCharCharCharCharCharCharCharCharCharCharCharCharCharCharCharCharCharCharCharCharCharCharCharCharCharChar1">
    <w:name w:val="Char Char1 Char Char Char Char Char Char Char Char Char Char Char Char Char Char Char Char Char Char Char Char Char Char Char Char Char Char Char Char Char Char Char Char Char Char1"/>
    <w:basedOn w:val="a1"/>
    <w:qFormat/>
    <w:pPr>
      <w:spacing w:after="160" w:line="240" w:lineRule="exact"/>
    </w:pPr>
    <w:rPr>
      <w:rFonts w:ascii="Verdana" w:eastAsia="Times New Roman" w:hAnsi="Verdana" w:cs="Arial"/>
      <w:sz w:val="22"/>
      <w:lang w:eastAsia="en-US"/>
    </w:rPr>
  </w:style>
  <w:style w:type="paragraph" w:customStyle="1" w:styleId="CharChar1CharCharCharCharCharCharChar1">
    <w:name w:val="Char Char1 Char Char Char Char Char Char Char1"/>
    <w:basedOn w:val="a1"/>
    <w:qFormat/>
    <w:pPr>
      <w:spacing w:after="160" w:line="240" w:lineRule="exact"/>
    </w:pPr>
    <w:rPr>
      <w:rFonts w:ascii="Verdana" w:eastAsia="Times New Roman" w:hAnsi="Verdana"/>
      <w:lang w:eastAsia="en-US"/>
    </w:rPr>
  </w:style>
  <w:style w:type="paragraph" w:customStyle="1" w:styleId="CharChar1CharCharCharCharCharChar1">
    <w:name w:val="Char Char1 Char Char Char Char Char Char1"/>
    <w:basedOn w:val="a1"/>
    <w:qFormat/>
    <w:pPr>
      <w:spacing w:after="160" w:line="240" w:lineRule="exact"/>
    </w:pPr>
    <w:rPr>
      <w:rFonts w:ascii="Verdana" w:eastAsia="Times New Roman" w:hAnsi="Verdana" w:cs="Arial"/>
      <w:sz w:val="22"/>
      <w:lang w:eastAsia="en-US"/>
    </w:rPr>
  </w:style>
  <w:style w:type="paragraph" w:customStyle="1" w:styleId="CharCharCharChar1">
    <w:name w:val="Char Char Char Char1"/>
    <w:basedOn w:val="a1"/>
    <w:qFormat/>
    <w:pPr>
      <w:spacing w:after="160" w:line="240" w:lineRule="exact"/>
    </w:pPr>
    <w:rPr>
      <w:rFonts w:cs="Arial"/>
      <w:sz w:val="22"/>
      <w:lang w:eastAsia="en-US"/>
    </w:rPr>
  </w:style>
  <w:style w:type="paragraph" w:customStyle="1" w:styleId="CharCharCharCharCharChar1">
    <w:name w:val="Char Char Char Char Char Char1"/>
    <w:basedOn w:val="a1"/>
    <w:qFormat/>
    <w:rPr>
      <w:rFonts w:ascii="Tahoma" w:hAnsi="Tahoma"/>
      <w:kern w:val="2"/>
    </w:rPr>
  </w:style>
  <w:style w:type="paragraph" w:customStyle="1" w:styleId="1CharCharCharCharCharCharCharCharCharChar1">
    <w:name w:val="字元 字元1 Char Char 字元 字元 Char Char 字元 字元 字元 字元 字元 字元 字元 字元 Char Char 字元 字元 字元 Char Char 字元 字元 字元 Char Char 字元 字元 字元 字元 字元 字元 字元 字元 字元 字元 字元 字元 字元 字元1"/>
    <w:basedOn w:val="a1"/>
    <w:qFormat/>
    <w:pPr>
      <w:spacing w:after="160" w:line="240" w:lineRule="exact"/>
    </w:pPr>
    <w:rPr>
      <w:rFonts w:ascii="Verdana" w:hAnsi="Verdana"/>
      <w:lang w:eastAsia="en-US"/>
    </w:rPr>
  </w:style>
  <w:style w:type="paragraph" w:customStyle="1" w:styleId="Char210">
    <w:name w:val="Char21"/>
    <w:basedOn w:val="a1"/>
    <w:semiHidden/>
    <w:qFormat/>
    <w:pPr>
      <w:spacing w:after="160" w:line="240" w:lineRule="exact"/>
    </w:pPr>
    <w:rPr>
      <w:rFonts w:ascii="Verdana" w:eastAsia="Times New Roman" w:hAnsi="Verdana"/>
      <w:lang w:eastAsia="en-US"/>
    </w:rPr>
  </w:style>
  <w:style w:type="paragraph" w:customStyle="1" w:styleId="Char110">
    <w:name w:val="Char11"/>
    <w:basedOn w:val="a1"/>
    <w:semiHidden/>
    <w:qFormat/>
    <w:pPr>
      <w:spacing w:after="160" w:line="240" w:lineRule="exact"/>
    </w:pPr>
    <w:rPr>
      <w:rFonts w:ascii="Verdana" w:eastAsia="Times New Roman" w:hAnsi="Verdana"/>
      <w:lang w:eastAsia="en-US"/>
    </w:rPr>
  </w:style>
  <w:style w:type="paragraph" w:customStyle="1" w:styleId="CharChar1CharCharCharCharCharCharCharCharCharCharCharCharCharCharCharCharCharCharCharCharCharCharCharCharCharCharCharCharCharCharCharCharCharCharCharCharCharChar1">
    <w:name w:val="Char Char1 Char Char Char Char Char Char Char Char Char Char Char Char Char Char Char Char Char Char Char Char Char Char Char Char Char Char Char Char Char Char Char Char Char Char Char Char Char Char1"/>
    <w:basedOn w:val="a1"/>
    <w:semiHidden/>
    <w:qFormat/>
    <w:pPr>
      <w:spacing w:after="160" w:line="240" w:lineRule="exact"/>
    </w:pPr>
    <w:rPr>
      <w:rFonts w:ascii="Verdana" w:eastAsia="Times New Roman" w:hAnsi="Verdana" w:cs="Arial"/>
      <w:sz w:val="22"/>
      <w:lang w:eastAsia="en-US"/>
    </w:rPr>
  </w:style>
  <w:style w:type="paragraph" w:customStyle="1" w:styleId="Char2CharCharCharCharCharCharCharChar1">
    <w:name w:val="Char2 Char Char Char Char Char Char Char Char1"/>
    <w:basedOn w:val="a1"/>
    <w:semiHidden/>
    <w:qFormat/>
    <w:pPr>
      <w:spacing w:after="160" w:line="240" w:lineRule="exact"/>
    </w:pPr>
    <w:rPr>
      <w:rFonts w:ascii="Verdana" w:eastAsia="Times New Roman" w:hAnsi="Verdana"/>
      <w:lang w:eastAsia="en-US"/>
    </w:rPr>
  </w:style>
  <w:style w:type="paragraph" w:customStyle="1" w:styleId="Char2CharCharChar1">
    <w:name w:val="Char2 Char Char Char1"/>
    <w:basedOn w:val="a1"/>
    <w:semiHidden/>
    <w:qFormat/>
    <w:pPr>
      <w:spacing w:after="160" w:line="240" w:lineRule="exact"/>
    </w:pPr>
    <w:rPr>
      <w:rFonts w:ascii="Verdana" w:eastAsia="Times New Roman" w:hAnsi="Verdana"/>
      <w:lang w:eastAsia="en-US"/>
    </w:rPr>
  </w:style>
  <w:style w:type="paragraph" w:customStyle="1" w:styleId="CharChar1CharCharCharCharCharCharCharCharCharCharCharCharCharCharCharChar1">
    <w:name w:val="Char Char1 Char Char Char Char Char Char Char Char Char Char Char Char Char Char Char Char1"/>
    <w:basedOn w:val="a1"/>
    <w:qFormat/>
    <w:pPr>
      <w:spacing w:after="160" w:line="240" w:lineRule="exact"/>
    </w:pPr>
    <w:rPr>
      <w:rFonts w:ascii="Verdana" w:hAnsi="Verdana"/>
      <w:lang w:eastAsia="en-US"/>
    </w:rPr>
  </w:style>
  <w:style w:type="paragraph" w:customStyle="1" w:styleId="120">
    <w:name w:val="列出段落12"/>
    <w:basedOn w:val="a1"/>
    <w:link w:val="Chara"/>
    <w:qFormat/>
    <w:rPr>
      <w:rFonts w:ascii="Calibri" w:hAnsi="Calibri" w:cs="Times New Roman"/>
      <w:sz w:val="20"/>
      <w:szCs w:val="20"/>
    </w:rPr>
  </w:style>
  <w:style w:type="paragraph" w:customStyle="1" w:styleId="1f5">
    <w:name w:val="注释标题1"/>
    <w:basedOn w:val="a1"/>
    <w:next w:val="a1"/>
    <w:qFormat/>
    <w:pPr>
      <w:jc w:val="center"/>
    </w:pPr>
    <w:rPr>
      <w:kern w:val="2"/>
      <w:sz w:val="21"/>
      <w:szCs w:val="21"/>
    </w:rPr>
  </w:style>
  <w:style w:type="paragraph" w:customStyle="1" w:styleId="xl65">
    <w:name w:val="xl65"/>
    <w:basedOn w:val="a1"/>
    <w:qFormat/>
    <w:pPr>
      <w:spacing w:before="100" w:beforeAutospacing="1" w:after="100" w:afterAutospacing="1"/>
      <w:jc w:val="center"/>
    </w:pPr>
  </w:style>
  <w:style w:type="paragraph" w:customStyle="1" w:styleId="xl66">
    <w:name w:val="xl6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1"/>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1"/>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1"/>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71">
    <w:name w:val="xl71"/>
    <w:basedOn w:val="a1"/>
    <w:qFormat/>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2">
    <w:name w:val="xl72"/>
    <w:basedOn w:val="a1"/>
    <w:qFormat/>
    <w:pPr>
      <w:spacing w:before="100" w:beforeAutospacing="1" w:after="100" w:afterAutospacing="1"/>
    </w:pPr>
  </w:style>
  <w:style w:type="paragraph" w:customStyle="1" w:styleId="xl73">
    <w:name w:val="xl73"/>
    <w:basedOn w:val="a1"/>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1"/>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1"/>
    <w:qFormat/>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6">
    <w:name w:val="xl76"/>
    <w:basedOn w:val="a1"/>
    <w:qFormat/>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7">
    <w:name w:val="xl77"/>
    <w:basedOn w:val="a1"/>
    <w:qFormat/>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8">
    <w:name w:val="xl78"/>
    <w:basedOn w:val="a1"/>
    <w:qFormat/>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9">
    <w:name w:val="xl79"/>
    <w:basedOn w:val="a1"/>
    <w:qFormat/>
    <w:pPr>
      <w:spacing w:before="100" w:beforeAutospacing="1" w:after="100" w:afterAutospacing="1"/>
      <w:jc w:val="center"/>
    </w:pPr>
  </w:style>
  <w:style w:type="paragraph" w:customStyle="1" w:styleId="xl80">
    <w:name w:val="xl80"/>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
    <w:name w:val="xl81"/>
    <w:basedOn w:val="a1"/>
    <w:qFormat/>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CharChar1CharCharCharCharCharCharCharChar5">
    <w:name w:val="Char Char1 Char Char Char Char Char Char Char Char5"/>
    <w:basedOn w:val="a1"/>
    <w:qFormat/>
    <w:pPr>
      <w:spacing w:after="160" w:line="240" w:lineRule="exact"/>
    </w:pPr>
    <w:rPr>
      <w:rFonts w:ascii="Verdana" w:eastAsia="Times New Roman" w:hAnsi="Verdana" w:cs="Arial"/>
      <w:sz w:val="22"/>
      <w:lang w:eastAsia="en-US"/>
    </w:rPr>
  </w:style>
  <w:style w:type="paragraph" w:customStyle="1" w:styleId="CharChar1CharCharCharCharCharCharCharChar4">
    <w:name w:val="Char Char1 Char Char Char Char Char Char Char Char4"/>
    <w:basedOn w:val="a1"/>
    <w:uiPriority w:val="99"/>
    <w:qFormat/>
    <w:pPr>
      <w:spacing w:after="160" w:line="240" w:lineRule="exact"/>
    </w:pPr>
    <w:rPr>
      <w:rFonts w:ascii="Verdana" w:eastAsia="Times New Roman" w:hAnsi="Verdana" w:cs="Arial"/>
      <w:sz w:val="22"/>
      <w:lang w:eastAsia="en-US"/>
    </w:rPr>
  </w:style>
  <w:style w:type="paragraph" w:customStyle="1" w:styleId="2c">
    <w:name w:val="列出段落2"/>
    <w:basedOn w:val="a1"/>
    <w:qFormat/>
    <w:pPr>
      <w:ind w:firstLine="420"/>
    </w:pPr>
    <w:rPr>
      <w:rFonts w:ascii="Calibri" w:hAnsi="Calibri"/>
      <w:kern w:val="2"/>
      <w:sz w:val="21"/>
      <w:szCs w:val="22"/>
    </w:rPr>
  </w:style>
  <w:style w:type="paragraph" w:customStyle="1" w:styleId="xl111">
    <w:name w:val="xl111"/>
    <w:basedOn w:val="a1"/>
    <w:qFormat/>
    <w:pPr>
      <w:spacing w:before="100" w:beforeAutospacing="1" w:after="100" w:afterAutospacing="1"/>
      <w:jc w:val="center"/>
    </w:pPr>
  </w:style>
  <w:style w:type="paragraph" w:customStyle="1" w:styleId="xl112">
    <w:name w:val="xl112"/>
    <w:basedOn w:val="a1"/>
    <w:qFormat/>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113">
    <w:name w:val="xl113"/>
    <w:basedOn w:val="a1"/>
    <w:qFormat/>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114">
    <w:name w:val="xl114"/>
    <w:basedOn w:val="a1"/>
    <w:qFormat/>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华文楷体" w:eastAsia="华文楷体" w:hAnsi="华文楷体"/>
    </w:rPr>
  </w:style>
  <w:style w:type="paragraph" w:customStyle="1" w:styleId="xl116">
    <w:name w:val="xl116"/>
    <w:basedOn w:val="a1"/>
    <w:qFormat/>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style>
  <w:style w:type="paragraph" w:customStyle="1" w:styleId="xl117">
    <w:name w:val="xl117"/>
    <w:basedOn w:val="a1"/>
    <w:qFormat/>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118">
    <w:name w:val="xl118"/>
    <w:basedOn w:val="a1"/>
    <w:qFormat/>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119">
    <w:name w:val="xl119"/>
    <w:basedOn w:val="a1"/>
    <w:qFormat/>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120">
    <w:name w:val="xl120"/>
    <w:basedOn w:val="a1"/>
    <w:qFormat/>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121">
    <w:name w:val="xl121"/>
    <w:basedOn w:val="a1"/>
    <w:qFormat/>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122">
    <w:name w:val="xl122"/>
    <w:basedOn w:val="a1"/>
    <w:qFormat/>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123">
    <w:name w:val="xl123"/>
    <w:basedOn w:val="a1"/>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24">
    <w:name w:val="xl124"/>
    <w:basedOn w:val="a1"/>
    <w:qFormat/>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1-21">
    <w:name w:val="中等深浅网格 1 - 强调文字颜色 21"/>
    <w:basedOn w:val="a1"/>
    <w:uiPriority w:val="99"/>
    <w:qFormat/>
    <w:pPr>
      <w:ind w:firstLine="420"/>
    </w:pPr>
    <w:rPr>
      <w:rFonts w:ascii="Calibri" w:hAnsi="Calibri" w:cs="Calibri"/>
      <w:kern w:val="2"/>
      <w:sz w:val="21"/>
      <w:szCs w:val="21"/>
    </w:rPr>
  </w:style>
  <w:style w:type="paragraph" w:customStyle="1" w:styleId="TOC10">
    <w:name w:val="TOC 标题1"/>
    <w:basedOn w:val="1"/>
    <w:next w:val="a1"/>
    <w:uiPriority w:val="39"/>
    <w:qFormat/>
    <w:pPr>
      <w:spacing w:before="480" w:after="0" w:line="276" w:lineRule="auto"/>
      <w:outlineLvl w:val="9"/>
    </w:pPr>
    <w:rPr>
      <w:rFonts w:ascii="Cambria" w:hAnsi="Cambria"/>
      <w:color w:val="365F91"/>
      <w:kern w:val="0"/>
      <w:sz w:val="28"/>
      <w:szCs w:val="28"/>
    </w:rPr>
  </w:style>
  <w:style w:type="paragraph" w:customStyle="1" w:styleId="3a">
    <w:name w:val="列出段落3"/>
    <w:basedOn w:val="a1"/>
    <w:qFormat/>
    <w:pPr>
      <w:ind w:firstLine="420"/>
    </w:pPr>
    <w:rPr>
      <w:rFonts w:ascii="Calibri" w:hAnsi="Calibri"/>
      <w:kern w:val="2"/>
      <w:sz w:val="21"/>
      <w:szCs w:val="22"/>
    </w:rPr>
  </w:style>
  <w:style w:type="paragraph" w:customStyle="1" w:styleId="afffff2">
    <w:name w:val="金龙_章"/>
    <w:basedOn w:val="afff9"/>
    <w:qFormat/>
    <w:pPr>
      <w:pageBreakBefore/>
      <w:widowControl w:val="0"/>
      <w:spacing w:after="0"/>
    </w:pPr>
    <w:rPr>
      <w:rFonts w:ascii="黑体" w:hAnsi="黑体" w:cs="仿宋_GB2312"/>
    </w:rPr>
  </w:style>
  <w:style w:type="paragraph" w:customStyle="1" w:styleId="afffff3">
    <w:name w:val="金龙_第一级"/>
    <w:basedOn w:val="afffb"/>
    <w:qFormat/>
    <w:pPr>
      <w:outlineLvl w:val="0"/>
    </w:pPr>
    <w:rPr>
      <w:rFonts w:ascii="MS Sans Serif" w:eastAsia="MS Sans Serif" w:hAnsi="华文仿宋" w:cs="仿宋_GB2312"/>
      <w:b/>
      <w:bCs/>
      <w:szCs w:val="30"/>
    </w:rPr>
  </w:style>
  <w:style w:type="paragraph" w:customStyle="1" w:styleId="afffff4">
    <w:name w:val="金龙单位"/>
    <w:basedOn w:val="a1"/>
    <w:qFormat/>
    <w:pPr>
      <w:keepNext/>
      <w:widowControl w:val="0"/>
      <w:ind w:firstLine="360"/>
      <w:jc w:val="right"/>
    </w:pPr>
    <w:rPr>
      <w:rFonts w:ascii="仿宋_GB2312" w:eastAsia="华文仿宋" w:hAnsi="华文仿宋" w:cs="仿宋_GB2312"/>
      <w:kern w:val="2"/>
      <w:sz w:val="18"/>
      <w:szCs w:val="18"/>
    </w:rPr>
  </w:style>
  <w:style w:type="paragraph" w:customStyle="1" w:styleId="a0">
    <w:name w:val="项目符号级别"/>
    <w:basedOn w:val="afffa"/>
    <w:qFormat/>
    <w:pPr>
      <w:numPr>
        <w:ilvl w:val="1"/>
        <w:numId w:val="2"/>
      </w:numPr>
      <w:spacing w:beforeLines="50"/>
      <w:ind w:firstLineChars="0" w:firstLine="0"/>
      <w:jc w:val="both"/>
    </w:pPr>
    <w:rPr>
      <w:rFonts w:ascii="仿宋_GB2312" w:eastAsia="华文仿宋" w:hAnsi="仿宋_GB2312" w:cs="仿宋_GB2312"/>
      <w:color w:val="000000"/>
      <w:kern w:val="2"/>
    </w:rPr>
  </w:style>
  <w:style w:type="paragraph" w:customStyle="1" w:styleId="afffff5">
    <w:name w:val="a注释"/>
    <w:basedOn w:val="a1"/>
    <w:qFormat/>
    <w:pPr>
      <w:widowControl w:val="0"/>
      <w:spacing w:afterLines="50"/>
    </w:pPr>
    <w:rPr>
      <w:rFonts w:ascii="仿宋_GB2312" w:eastAsia="华文仿宋" w:hAnsi="仿宋_GB2312" w:cs="仿宋_GB2312"/>
      <w:kern w:val="2"/>
      <w:sz w:val="18"/>
      <w:szCs w:val="18"/>
    </w:rPr>
  </w:style>
  <w:style w:type="paragraph" w:customStyle="1" w:styleId="Main">
    <w:name w:val="Main"/>
    <w:basedOn w:val="a1"/>
    <w:qFormat/>
    <w:pPr>
      <w:tabs>
        <w:tab w:val="left" w:pos="440"/>
        <w:tab w:val="left" w:pos="900"/>
        <w:tab w:val="left" w:pos="1340"/>
      </w:tabs>
      <w:overflowPunct w:val="0"/>
      <w:autoSpaceDE w:val="0"/>
      <w:autoSpaceDN w:val="0"/>
      <w:adjustRightInd w:val="0"/>
      <w:ind w:right="18"/>
      <w:textAlignment w:val="baseline"/>
    </w:pPr>
    <w:rPr>
      <w:rFonts w:ascii="仿宋_GB2312" w:eastAsia="MingLiU" w:hAnsi="仿宋_GB2312" w:cs="仿宋_GB2312"/>
      <w:szCs w:val="20"/>
      <w:lang w:val="en-GB" w:eastAsia="en-US"/>
    </w:rPr>
  </w:style>
  <w:style w:type="paragraph" w:customStyle="1" w:styleId="afffff6">
    <w:name w:val="金龙_第二级"/>
    <w:basedOn w:val="a1"/>
    <w:qFormat/>
    <w:pPr>
      <w:keepNext/>
      <w:spacing w:before="120"/>
      <w:ind w:firstLineChars="174" w:firstLine="419"/>
    </w:pPr>
    <w:rPr>
      <w:rFonts w:ascii="仿宋_GB2312" w:eastAsia="华文仿宋" w:hAnsi="华文仿宋" w:cs="仿宋_GB2312"/>
      <w:b/>
      <w:kern w:val="2"/>
    </w:rPr>
  </w:style>
  <w:style w:type="paragraph" w:customStyle="1" w:styleId="CoverTitle1">
    <w:name w:val="Cover Title 1"/>
    <w:basedOn w:val="a1"/>
    <w:qFormat/>
    <w:pPr>
      <w:spacing w:after="480"/>
      <w:jc w:val="center"/>
    </w:pPr>
    <w:rPr>
      <w:rFonts w:ascii="仿宋_GB2312" w:eastAsia="华文仿宋" w:hAnsi="仿宋_GB2312" w:cs="仿宋_GB2312"/>
      <w:caps/>
      <w:szCs w:val="20"/>
      <w:lang w:eastAsia="en-US"/>
    </w:rPr>
  </w:style>
  <w:style w:type="paragraph" w:customStyle="1" w:styleId="1f6">
    <w:name w:val="批注主题1"/>
    <w:basedOn w:val="af1"/>
    <w:next w:val="af1"/>
    <w:qFormat/>
    <w:pPr>
      <w:widowControl w:val="0"/>
    </w:pPr>
    <w:rPr>
      <w:rFonts w:ascii="仿宋_GB2312" w:eastAsia="华文仿宋" w:hAnsi="仿宋_GB2312"/>
      <w:b/>
      <w:bCs/>
      <w:kern w:val="2"/>
      <w:sz w:val="21"/>
    </w:rPr>
  </w:style>
  <w:style w:type="paragraph" w:customStyle="1" w:styleId="1f7">
    <w:name w:val="批注框文本1"/>
    <w:basedOn w:val="a1"/>
    <w:link w:val="BalloonTextCharChar"/>
    <w:qFormat/>
    <w:pPr>
      <w:widowControl w:val="0"/>
    </w:pPr>
    <w:rPr>
      <w:rFonts w:ascii="仿宋_GB2312" w:eastAsia="华文仿宋" w:hAnsi="仿宋_GB2312" w:cs="Times New Roman"/>
      <w:sz w:val="18"/>
      <w:szCs w:val="18"/>
    </w:rPr>
  </w:style>
  <w:style w:type="paragraph" w:customStyle="1" w:styleId="CharChar40">
    <w:name w:val="Char Char4"/>
    <w:basedOn w:val="a1"/>
    <w:qFormat/>
    <w:pPr>
      <w:spacing w:after="160" w:line="240" w:lineRule="exact"/>
    </w:pPr>
    <w:rPr>
      <w:rFonts w:ascii="仿宋_GB2312" w:eastAsia="华文仿宋" w:hAnsi="仿宋_GB2312" w:cs="FIMOFO+MSung-Light"/>
      <w:sz w:val="22"/>
      <w:szCs w:val="20"/>
      <w:lang w:eastAsia="en-US"/>
    </w:rPr>
  </w:style>
  <w:style w:type="paragraph" w:customStyle="1" w:styleId="IndentText0">
    <w:name w:val="Indent Text"/>
    <w:basedOn w:val="a1"/>
    <w:qFormat/>
    <w:pPr>
      <w:spacing w:after="240"/>
      <w:ind w:firstLine="720"/>
    </w:pPr>
    <w:rPr>
      <w:rFonts w:ascii="仿宋_GB2312" w:eastAsia="仿宋_GB2312" w:hAnsi="仿宋_GB2312" w:cs="仿宋_GB2312"/>
      <w:sz w:val="20"/>
      <w:szCs w:val="20"/>
      <w:lang w:eastAsia="en-US"/>
    </w:rPr>
  </w:style>
  <w:style w:type="paragraph" w:customStyle="1" w:styleId="Default2">
    <w:name w:val="Default2"/>
    <w:basedOn w:val="a1"/>
    <w:qFormat/>
    <w:pPr>
      <w:tabs>
        <w:tab w:val="left" w:pos="2160"/>
      </w:tabs>
      <w:spacing w:after="240"/>
      <w:ind w:left="2160" w:hanging="720"/>
      <w:outlineLvl w:val="1"/>
    </w:pPr>
    <w:rPr>
      <w:rFonts w:ascii="仿宋_GB2312" w:eastAsia="仿宋_GB2312" w:hAnsi="仿宋_GB2312" w:cs="仿宋_GB2312"/>
      <w:lang w:eastAsia="en-US"/>
    </w:rPr>
  </w:style>
  <w:style w:type="paragraph" w:customStyle="1" w:styleId="2d">
    <w:name w:val="招股书标题2"/>
    <w:basedOn w:val="1f8"/>
    <w:qFormat/>
    <w:pPr>
      <w:tabs>
        <w:tab w:val="left" w:pos="1354"/>
      </w:tabs>
      <w:spacing w:before="120" w:after="120"/>
      <w:ind w:firstLine="454"/>
      <w:jc w:val="both"/>
    </w:pPr>
    <w:rPr>
      <w:sz w:val="24"/>
    </w:rPr>
  </w:style>
  <w:style w:type="paragraph" w:customStyle="1" w:styleId="1f8">
    <w:name w:val="招股书标题1"/>
    <w:basedOn w:val="Body"/>
    <w:qFormat/>
    <w:pPr>
      <w:tabs>
        <w:tab w:val="left" w:pos="1320"/>
      </w:tabs>
      <w:spacing w:after="240" w:line="300" w:lineRule="auto"/>
      <w:jc w:val="center"/>
    </w:pPr>
    <w:rPr>
      <w:rFonts w:ascii="华文仿宋" w:eastAsia="华文仿宋" w:hAnsi="华文仿宋" w:cs="仿宋_GB2312"/>
      <w:b/>
      <w:sz w:val="28"/>
      <w:szCs w:val="20"/>
      <w:lang w:val="en-US" w:eastAsia="zh-CN"/>
    </w:rPr>
  </w:style>
  <w:style w:type="paragraph" w:customStyle="1" w:styleId="afffff7">
    <w:name w:val="招正文"/>
    <w:basedOn w:val="IndentText0"/>
    <w:qFormat/>
    <w:pPr>
      <w:spacing w:before="120" w:after="120" w:line="300" w:lineRule="auto"/>
      <w:ind w:firstLine="454"/>
    </w:pPr>
    <w:rPr>
      <w:rFonts w:eastAsia="华文仿宋"/>
      <w:sz w:val="24"/>
      <w:lang w:eastAsia="zh-CN"/>
    </w:rPr>
  </w:style>
  <w:style w:type="paragraph" w:customStyle="1" w:styleId="DPWNormal">
    <w:name w:val="DPW Normal"/>
    <w:basedOn w:val="a1"/>
    <w:qFormat/>
    <w:rPr>
      <w:rFonts w:ascii="仿宋_GB2312" w:eastAsia="华文仿宋" w:hAnsi="仿宋_GB2312" w:cs="仿宋_GB2312"/>
    </w:rPr>
  </w:style>
  <w:style w:type="paragraph" w:customStyle="1" w:styleId="7815">
    <w:name w:val="样式 (复杂脚本)三号 加粗 段前: 7.8 磅 行距: 1.5 倍行距"/>
    <w:basedOn w:val="a1"/>
    <w:qFormat/>
    <w:pPr>
      <w:widowControl w:val="0"/>
      <w:spacing w:before="156"/>
    </w:pPr>
    <w:rPr>
      <w:rFonts w:ascii="仿宋_GB2312" w:eastAsia="华文仿宋" w:hAnsi="仿宋_GB2312" w:cs="仿宋_GB2312"/>
      <w:b/>
      <w:bCs/>
      <w:kern w:val="2"/>
      <w:sz w:val="21"/>
      <w:szCs w:val="32"/>
    </w:rPr>
  </w:style>
  <w:style w:type="paragraph" w:customStyle="1" w:styleId="Arial15">
    <w:name w:val="样式 Arial (复杂脚本)四号 (复杂脚本)加粗 行距: 1.5 倍行距"/>
    <w:basedOn w:val="a1"/>
    <w:qFormat/>
    <w:pPr>
      <w:widowControl w:val="0"/>
    </w:pPr>
    <w:rPr>
      <w:rFonts w:ascii="FIMOFO+MSung-Light" w:eastAsia="华文仿宋" w:hAnsi="FIMOFO+MSung-Light" w:cs="仿宋_GB2312"/>
      <w:bCs/>
      <w:kern w:val="2"/>
      <w:sz w:val="21"/>
      <w:szCs w:val="28"/>
    </w:rPr>
  </w:style>
  <w:style w:type="paragraph" w:customStyle="1" w:styleId="L2Bold">
    <w:name w:val="L2+Bold"/>
    <w:basedOn w:val="a1"/>
    <w:qFormat/>
    <w:pPr>
      <w:spacing w:after="240"/>
    </w:pPr>
    <w:rPr>
      <w:rFonts w:ascii="仿宋_GB2312" w:eastAsia="Times-Bold" w:hAnsi="仿宋_GB2312" w:cs="仿宋_GB2312"/>
      <w:b/>
      <w:bCs/>
      <w:sz w:val="20"/>
      <w:lang w:eastAsia="en-US"/>
    </w:rPr>
  </w:style>
  <w:style w:type="paragraph" w:customStyle="1" w:styleId="L3BI">
    <w:name w:val="L3+B+I"/>
    <w:basedOn w:val="IndentText0"/>
    <w:qFormat/>
    <w:rPr>
      <w:rFonts w:eastAsia="CDEDHB+MSung-Light"/>
      <w:b/>
      <w:bCs/>
      <w:i/>
      <w:iCs/>
      <w:szCs w:val="24"/>
      <w:lang w:eastAsia="ja-JP"/>
    </w:rPr>
  </w:style>
  <w:style w:type="paragraph" w:customStyle="1" w:styleId="L5Itext">
    <w:name w:val="L5+I+text"/>
    <w:basedOn w:val="a1"/>
    <w:qFormat/>
    <w:pPr>
      <w:spacing w:after="240"/>
      <w:ind w:firstLine="720"/>
    </w:pPr>
    <w:rPr>
      <w:rFonts w:ascii="仿宋_GB2312" w:eastAsia="Times-Bold" w:hAnsi="仿宋_GB2312" w:cs="仿宋_GB2312"/>
      <w:sz w:val="20"/>
      <w:lang w:eastAsia="ja-JP"/>
    </w:rPr>
  </w:style>
  <w:style w:type="paragraph" w:customStyle="1" w:styleId="Char2CharCharCharCharCharCharCharCharCharCharChar">
    <w:name w:val="Char2 Char Char Char Char Char Char Char Char Char Char Char"/>
    <w:basedOn w:val="a1"/>
    <w:qFormat/>
    <w:pPr>
      <w:tabs>
        <w:tab w:val="right" w:pos="6000"/>
      </w:tabs>
      <w:spacing w:line="480" w:lineRule="auto"/>
    </w:pPr>
    <w:rPr>
      <w:rFonts w:ascii="FIMOFO+MSung-Light" w:eastAsia="Times New Roman Bold" w:hAnsi="FIMOFO+MSung-Light" w:cs="@'宋体"/>
      <w:sz w:val="20"/>
      <w:szCs w:val="20"/>
    </w:rPr>
  </w:style>
  <w:style w:type="paragraph" w:customStyle="1" w:styleId="TimesNewRoman02090">
    <w:name w:val="样式 金龙_第一级 + (符号) Times New Roman 段前: 0 厘米 悬挂缩进: 2.09 字符 段前: 0..."/>
    <w:basedOn w:val="afffff3"/>
    <w:qFormat/>
  </w:style>
  <w:style w:type="paragraph" w:customStyle="1" w:styleId="Char2CharCharCharCharCharCharCharCharCharCharCharCharCharChar">
    <w:name w:val="Char2 Char Char Char Char Char Char Char Char Char Char Char Char Char Char"/>
    <w:basedOn w:val="a1"/>
    <w:qFormat/>
    <w:pPr>
      <w:tabs>
        <w:tab w:val="right" w:pos="6000"/>
      </w:tabs>
      <w:spacing w:line="480" w:lineRule="auto"/>
    </w:pPr>
    <w:rPr>
      <w:rFonts w:ascii="FIMOFO+MSung-Light" w:eastAsia="Times New Roman Bold" w:hAnsi="FIMOFO+MSung-Light" w:cs="@'宋体"/>
      <w:sz w:val="20"/>
      <w:szCs w:val="20"/>
    </w:rPr>
  </w:style>
  <w:style w:type="paragraph" w:customStyle="1" w:styleId="font7">
    <w:name w:val="font7"/>
    <w:basedOn w:val="a1"/>
    <w:qFormat/>
    <w:pPr>
      <w:spacing w:before="100" w:beforeAutospacing="1" w:after="100" w:afterAutospacing="1"/>
    </w:pPr>
    <w:rPr>
      <w:rFonts w:ascii="仿宋_GB2312" w:eastAsia="华文仿宋" w:hAnsi="仿宋_GB2312" w:cs="仿宋_GB2312"/>
      <w:b/>
      <w:bCs/>
      <w:sz w:val="20"/>
      <w:szCs w:val="20"/>
    </w:rPr>
  </w:style>
  <w:style w:type="paragraph" w:customStyle="1" w:styleId="ReportText">
    <w:name w:val="Report Text"/>
    <w:basedOn w:val="a1"/>
    <w:qFormat/>
    <w:pPr>
      <w:overflowPunct w:val="0"/>
      <w:autoSpaceDE w:val="0"/>
      <w:autoSpaceDN w:val="0"/>
      <w:adjustRightInd w:val="0"/>
      <w:spacing w:before="130" w:line="260" w:lineRule="atLeast"/>
      <w:ind w:left="20"/>
      <w:textAlignment w:val="baseline"/>
    </w:pPr>
    <w:rPr>
      <w:rFonts w:ascii="仿宋_GB2312" w:eastAsia="MingLiU" w:hAnsi="仿宋_GB2312" w:cs="仿宋_GB2312"/>
      <w:szCs w:val="20"/>
      <w:lang w:val="en-GB" w:eastAsia="en-US"/>
    </w:rPr>
  </w:style>
  <w:style w:type="paragraph" w:customStyle="1" w:styleId="afffff8">
    <w:name w:val="金龙_单位"/>
    <w:basedOn w:val="a1"/>
    <w:qFormat/>
    <w:pPr>
      <w:keepNext/>
      <w:widowControl w:val="0"/>
      <w:spacing w:beforeLines="60"/>
      <w:jc w:val="right"/>
    </w:pPr>
    <w:rPr>
      <w:rFonts w:ascii="仿宋_GB2312" w:eastAsia="华文仿宋" w:hAnsi="仿宋_GB2312" w:cs="仿宋_GB2312"/>
      <w:kern w:val="2"/>
      <w:sz w:val="21"/>
      <w:szCs w:val="21"/>
    </w:rPr>
  </w:style>
  <w:style w:type="paragraph" w:customStyle="1" w:styleId="Char2CharCharCharCharCharCharCharCharChar1CharCharCharCharCharCharCharCharCharCharCharChar">
    <w:name w:val="Char2 Char Char Char Char Char Char Char Char Char1 Char Char Char Char Char Char Char Char Char Char Char Char"/>
    <w:basedOn w:val="a1"/>
    <w:qFormat/>
    <w:pPr>
      <w:spacing w:after="160" w:line="240" w:lineRule="exact"/>
    </w:pPr>
    <w:rPr>
      <w:rFonts w:ascii="华文楷体" w:eastAsia="仿宋_GB2312" w:hAnsi="华文楷体" w:cs="仿宋_GB2312"/>
      <w:sz w:val="20"/>
      <w:szCs w:val="20"/>
      <w:lang w:eastAsia="en-US"/>
    </w:rPr>
  </w:style>
  <w:style w:type="paragraph" w:customStyle="1" w:styleId="zcontents">
    <w:name w:val="zcontents"/>
    <w:basedOn w:val="a1"/>
    <w:semiHidden/>
    <w:qFormat/>
    <w:pPr>
      <w:spacing w:after="260"/>
    </w:pPr>
    <w:rPr>
      <w:rFonts w:ascii="仿宋_GB2312" w:eastAsia="Times-Bold" w:hAnsi="仿宋_GB2312" w:cs="仿宋_GB2312"/>
      <w:b/>
      <w:sz w:val="32"/>
      <w:szCs w:val="22"/>
      <w:lang w:val="en-GB" w:eastAsia="en-US"/>
    </w:rPr>
  </w:style>
  <w:style w:type="paragraph" w:customStyle="1" w:styleId="AppendixHeading">
    <w:name w:val="Appendix Heading"/>
    <w:basedOn w:val="1"/>
    <w:next w:val="af6"/>
    <w:qFormat/>
    <w:pPr>
      <w:keepLines w:val="0"/>
      <w:pageBreakBefore/>
      <w:tabs>
        <w:tab w:val="left" w:pos="0"/>
      </w:tabs>
      <w:spacing w:before="0" w:after="0" w:line="360" w:lineRule="exact"/>
      <w:ind w:hanging="964"/>
      <w:outlineLvl w:val="9"/>
    </w:pPr>
    <w:rPr>
      <w:rFonts w:ascii="仿宋_GB2312" w:eastAsia="Times-Bold" w:hAnsi="仿宋_GB2312" w:cs="仿宋_GB2312"/>
      <w:bCs w:val="0"/>
      <w:kern w:val="0"/>
      <w:sz w:val="32"/>
      <w:szCs w:val="22"/>
      <w:lang w:val="en-GB"/>
    </w:rPr>
  </w:style>
  <w:style w:type="paragraph" w:customStyle="1" w:styleId="AppendixHeading2">
    <w:name w:val="Appendix Heading 2"/>
    <w:basedOn w:val="2"/>
    <w:next w:val="af6"/>
    <w:qFormat/>
    <w:pPr>
      <w:keepLines w:val="0"/>
      <w:tabs>
        <w:tab w:val="left" w:pos="0"/>
      </w:tabs>
      <w:spacing w:before="400" w:after="0" w:line="320" w:lineRule="exact"/>
      <w:ind w:hanging="964"/>
      <w:outlineLvl w:val="9"/>
    </w:pPr>
    <w:rPr>
      <w:rFonts w:ascii="仿宋_GB2312" w:eastAsia="Times-Bold" w:hAnsi="仿宋_GB2312" w:cs="仿宋_GB2312"/>
      <w:bCs w:val="0"/>
      <w:sz w:val="28"/>
      <w:szCs w:val="22"/>
      <w:lang w:val="en-GB"/>
    </w:rPr>
  </w:style>
  <w:style w:type="paragraph" w:customStyle="1" w:styleId="AppendixHeading3">
    <w:name w:val="Appendix Heading 3"/>
    <w:basedOn w:val="3"/>
    <w:next w:val="af6"/>
    <w:qFormat/>
    <w:pPr>
      <w:keepLines w:val="0"/>
      <w:tabs>
        <w:tab w:val="left" w:pos="0"/>
      </w:tabs>
      <w:spacing w:before="400" w:after="0" w:line="280" w:lineRule="exact"/>
      <w:ind w:hanging="964"/>
      <w:outlineLvl w:val="9"/>
    </w:pPr>
    <w:rPr>
      <w:rFonts w:ascii="仿宋_GB2312" w:eastAsia="Times-Bold" w:hAnsi="仿宋_GB2312" w:cs="仿宋_GB2312"/>
      <w:bCs w:val="0"/>
      <w:sz w:val="24"/>
      <w:szCs w:val="22"/>
      <w:lang w:val="en-GB" w:eastAsia="en-US"/>
    </w:rPr>
  </w:style>
  <w:style w:type="paragraph" w:customStyle="1" w:styleId="AppendixHeading4">
    <w:name w:val="Appendix Heading 4"/>
    <w:basedOn w:val="4"/>
    <w:next w:val="af6"/>
    <w:qFormat/>
    <w:pPr>
      <w:keepLines w:val="0"/>
      <w:tabs>
        <w:tab w:val="left" w:pos="0"/>
      </w:tabs>
      <w:adjustRightInd/>
      <w:spacing w:before="400" w:after="0" w:line="280" w:lineRule="exact"/>
      <w:ind w:hanging="964"/>
      <w:textAlignment w:val="auto"/>
      <w:outlineLvl w:val="9"/>
    </w:pPr>
    <w:rPr>
      <w:rFonts w:ascii="仿宋_GB2312" w:eastAsia="Times-Bold" w:hAnsi="仿宋_GB2312" w:cs="仿宋_GB2312"/>
      <w:i/>
      <w:sz w:val="24"/>
      <w:szCs w:val="22"/>
      <w:lang w:val="en-GB" w:eastAsia="en-US"/>
    </w:rPr>
  </w:style>
  <w:style w:type="paragraph" w:customStyle="1" w:styleId="CharCharCharCharCharCharCharCharCharChar2">
    <w:name w:val="Char Char Char Char Char Char Char Char Char Char2"/>
    <w:basedOn w:val="a1"/>
    <w:qFormat/>
    <w:pPr>
      <w:widowControl w:val="0"/>
      <w:tabs>
        <w:tab w:val="left" w:pos="360"/>
      </w:tabs>
    </w:pPr>
    <w:rPr>
      <w:rFonts w:ascii="仿宋_GB2312" w:eastAsia="华文仿宋" w:hAnsi="仿宋_GB2312" w:cs="仿宋_GB2312"/>
      <w:kern w:val="2"/>
      <w:szCs w:val="30"/>
    </w:rPr>
  </w:style>
  <w:style w:type="paragraph" w:customStyle="1" w:styleId="-11">
    <w:name w:val="彩色底纹 - 着色 11"/>
    <w:hidden/>
    <w:uiPriority w:val="99"/>
    <w:qFormat/>
    <w:rPr>
      <w:rFonts w:ascii="仿宋_GB2312" w:eastAsia="华文仿宋" w:hAnsi="仿宋_GB2312" w:cs="仿宋_GB2312"/>
      <w:kern w:val="2"/>
      <w:sz w:val="21"/>
      <w:szCs w:val="21"/>
    </w:rPr>
  </w:style>
  <w:style w:type="paragraph" w:customStyle="1" w:styleId="zcompanyname">
    <w:name w:val="zcompany name"/>
    <w:basedOn w:val="a1"/>
    <w:semiHidden/>
    <w:qFormat/>
    <w:pPr>
      <w:spacing w:after="400" w:line="440" w:lineRule="exact"/>
      <w:jc w:val="center"/>
    </w:pPr>
    <w:rPr>
      <w:rFonts w:ascii="仿宋_GB2312" w:eastAsia="Times-Bold" w:hAnsi="仿宋_GB2312" w:cs="仿宋_GB2312"/>
      <w:b/>
      <w:sz w:val="26"/>
      <w:szCs w:val="22"/>
      <w:lang w:val="en-GB" w:eastAsia="en-US"/>
    </w:rPr>
  </w:style>
  <w:style w:type="paragraph" w:customStyle="1" w:styleId="zreportaddinfo">
    <w:name w:val="zreport addinfo"/>
    <w:basedOn w:val="a1"/>
    <w:semiHidden/>
    <w:qFormat/>
    <w:pPr>
      <w:framePr w:wrap="around" w:hAnchor="margin" w:xAlign="center" w:yAlign="bottom"/>
      <w:spacing w:line="240" w:lineRule="exact"/>
      <w:jc w:val="center"/>
    </w:pPr>
    <w:rPr>
      <w:rFonts w:ascii="仿宋_GB2312" w:eastAsia="Times-Bold" w:hAnsi="仿宋_GB2312" w:cs="仿宋_GB2312"/>
      <w:sz w:val="20"/>
      <w:szCs w:val="22"/>
      <w:lang w:val="en-GB" w:eastAsia="en-US"/>
    </w:rPr>
  </w:style>
  <w:style w:type="paragraph" w:customStyle="1" w:styleId="Char23">
    <w:name w:val="Char23"/>
    <w:basedOn w:val="a1"/>
    <w:qFormat/>
    <w:pPr>
      <w:spacing w:after="160" w:line="240" w:lineRule="exact"/>
    </w:pPr>
    <w:rPr>
      <w:rFonts w:ascii="华文楷体" w:eastAsia="仿宋_GB2312" w:hAnsi="华文楷体" w:cs="仿宋_GB2312"/>
      <w:sz w:val="20"/>
      <w:szCs w:val="20"/>
      <w:lang w:eastAsia="en-US"/>
    </w:rPr>
  </w:style>
  <w:style w:type="paragraph" w:customStyle="1" w:styleId="Char14">
    <w:name w:val="Char14"/>
    <w:basedOn w:val="a1"/>
    <w:semiHidden/>
    <w:qFormat/>
    <w:pPr>
      <w:spacing w:after="160" w:line="240" w:lineRule="exact"/>
    </w:pPr>
    <w:rPr>
      <w:rFonts w:ascii="华文楷体" w:eastAsia="仿宋_GB2312" w:hAnsi="华文楷体" w:cs="仿宋_GB2312"/>
      <w:sz w:val="20"/>
      <w:szCs w:val="20"/>
      <w:lang w:eastAsia="en-US"/>
    </w:rPr>
  </w:style>
  <w:style w:type="paragraph" w:customStyle="1" w:styleId="CharChar1CharCharCharCharCharCharCharCharCharCharCharCharCharCharCharCharCharCharCharCharCharCharCharCharCharCharCharCharCharCharCharCharCharCharCharCharCharChar3">
    <w:name w:val="Char Char1 Char Char Char Char Char Char Char Char Char Char Char Char Char Char Char Char Char Char Char Char Char Char Char Char Char Char Char Char Char Char Char Char Char Char Char Char Char Char3"/>
    <w:basedOn w:val="a1"/>
    <w:semiHidden/>
    <w:qFormat/>
    <w:pPr>
      <w:spacing w:after="160" w:line="240" w:lineRule="exact"/>
    </w:pPr>
    <w:rPr>
      <w:rFonts w:ascii="华文楷体" w:eastAsia="仿宋_GB2312" w:hAnsi="华文楷体" w:cs="FIMOFO+MSung-Light"/>
      <w:sz w:val="22"/>
      <w:szCs w:val="20"/>
      <w:lang w:eastAsia="en-US"/>
    </w:rPr>
  </w:style>
  <w:style w:type="paragraph" w:customStyle="1" w:styleId="CharCharCharCharCharCharCharCharCharCharCharChar1CharCharCharCharCharCharCharCharCharCharCharCharCharCharCharCharCharCharCharCharCharCharCharCharCharCharCharChar3">
    <w:name w:val="Char Char Char Char Char Char Char Char Char Char Char Char1 Char Char Char Char Char Char Char Char Char Char Char Char Char Char Char Char Char Char Char Char Char Char Char Char Char Char Char Char3"/>
    <w:basedOn w:val="a1"/>
    <w:qFormat/>
    <w:pPr>
      <w:spacing w:after="160" w:line="240" w:lineRule="exact"/>
    </w:pPr>
    <w:rPr>
      <w:rFonts w:ascii="华文楷体" w:eastAsia="仿宋_GB2312" w:hAnsi="华文楷体" w:cs="FIMOFO+MSung-Light"/>
      <w:sz w:val="22"/>
      <w:szCs w:val="20"/>
      <w:lang w:eastAsia="en-US"/>
    </w:rPr>
  </w:style>
  <w:style w:type="paragraph" w:customStyle="1" w:styleId="CharCharCharCharCharCharCharCharCharCharCharChar1CharCharCharCharCharCharCharCharCharCharCharCharCharCharCharCharCharCharCharCharCharCharCharCharCharCharCharCharCharCharCharChar3">
    <w:name w:val="Char Char Char Char Char Char Char Char Char Char Char Char1 Char Char Char Char Char Char Char Char Char Char Char Char Char Char Char Char Char Char Char Char Char Char Char Char Char Char Char Char Char Char Char Char3"/>
    <w:basedOn w:val="a1"/>
    <w:qFormat/>
    <w:pPr>
      <w:spacing w:after="160" w:line="240" w:lineRule="exact"/>
    </w:pPr>
    <w:rPr>
      <w:rFonts w:ascii="华文楷体" w:eastAsia="仿宋_GB2312" w:hAnsi="华文楷体" w:cs="FIMOFO+MSung-Light"/>
      <w:sz w:val="22"/>
      <w:szCs w:val="20"/>
      <w:lang w:eastAsia="en-US"/>
    </w:rPr>
  </w:style>
  <w:style w:type="paragraph" w:customStyle="1" w:styleId="CharCharChar3">
    <w:name w:val="Char Char Char3"/>
    <w:basedOn w:val="a1"/>
    <w:qFormat/>
    <w:pPr>
      <w:spacing w:after="160" w:line="240" w:lineRule="exact"/>
    </w:pPr>
    <w:rPr>
      <w:rFonts w:ascii="仿宋_GB2312" w:eastAsia="华文仿宋" w:hAnsi="仿宋_GB2312" w:cs="FIMOFO+MSung-Light"/>
      <w:sz w:val="22"/>
      <w:szCs w:val="20"/>
      <w:lang w:eastAsia="en-US"/>
    </w:rPr>
  </w:style>
  <w:style w:type="paragraph" w:customStyle="1" w:styleId="CharChar1CharCharCharCharCharCharCharCharCharCharCharCharCharCharCharCharCharCharCharCharCharCharCharCharCharCharCharCharCharCharCharCharCharChar3">
    <w:name w:val="Char Char1 Char Char Char Char Char Char Char Char Char Char Char Char Char Char Char Char Char Char Char Char Char Char Char Char Char Char Char Char Char Char Char Char Char Char3"/>
    <w:basedOn w:val="a1"/>
    <w:qFormat/>
    <w:pPr>
      <w:spacing w:after="160" w:line="240" w:lineRule="exact"/>
    </w:pPr>
    <w:rPr>
      <w:rFonts w:ascii="华文楷体" w:eastAsia="仿宋_GB2312" w:hAnsi="华文楷体" w:cs="FIMOFO+MSung-Light"/>
      <w:sz w:val="22"/>
      <w:szCs w:val="20"/>
      <w:lang w:eastAsia="en-US"/>
    </w:rPr>
  </w:style>
  <w:style w:type="paragraph" w:customStyle="1" w:styleId="Char2CharCharCharCharCharCharCharChar3">
    <w:name w:val="Char2 Char Char Char Char Char Char Char Char3"/>
    <w:basedOn w:val="a1"/>
    <w:semiHidden/>
    <w:qFormat/>
    <w:pPr>
      <w:spacing w:after="160" w:line="240" w:lineRule="exact"/>
    </w:pPr>
    <w:rPr>
      <w:rFonts w:ascii="华文楷体" w:eastAsia="仿宋_GB2312" w:hAnsi="华文楷体" w:cs="仿宋_GB2312"/>
      <w:sz w:val="20"/>
      <w:szCs w:val="20"/>
      <w:lang w:eastAsia="en-US"/>
    </w:rPr>
  </w:style>
  <w:style w:type="paragraph" w:customStyle="1" w:styleId="Char2CharCharChar3">
    <w:name w:val="Char2 Char Char Char3"/>
    <w:basedOn w:val="a1"/>
    <w:semiHidden/>
    <w:qFormat/>
    <w:pPr>
      <w:spacing w:after="160" w:line="240" w:lineRule="exact"/>
    </w:pPr>
    <w:rPr>
      <w:rFonts w:ascii="华文楷体" w:eastAsia="仿宋_GB2312" w:hAnsi="华文楷体" w:cs="仿宋_GB2312"/>
      <w:sz w:val="20"/>
      <w:szCs w:val="20"/>
      <w:lang w:eastAsia="en-US"/>
    </w:rPr>
  </w:style>
  <w:style w:type="paragraph" w:customStyle="1" w:styleId="Char2CharCharCharCharCharCharCharCharCharCharChar1">
    <w:name w:val="Char2 Char Char Char Char Char Char Char Char Char Char Char1"/>
    <w:basedOn w:val="a1"/>
    <w:qFormat/>
    <w:pPr>
      <w:tabs>
        <w:tab w:val="right" w:pos="6000"/>
      </w:tabs>
      <w:spacing w:line="480" w:lineRule="auto"/>
    </w:pPr>
    <w:rPr>
      <w:rFonts w:ascii="FIMOFO+MSung-Light" w:eastAsia="Times New Roman Bold" w:hAnsi="FIMOFO+MSung-Light" w:cs="@'宋体"/>
      <w:sz w:val="20"/>
      <w:szCs w:val="20"/>
    </w:rPr>
  </w:style>
  <w:style w:type="paragraph" w:customStyle="1" w:styleId="Char2CharCharCharCharCharCharCharCharCharCharCharCharCharChar1">
    <w:name w:val="Char2 Char Char Char Char Char Char Char Char Char Char Char Char Char Char1"/>
    <w:basedOn w:val="a1"/>
    <w:qFormat/>
    <w:pPr>
      <w:tabs>
        <w:tab w:val="right" w:pos="6000"/>
      </w:tabs>
      <w:spacing w:line="480" w:lineRule="auto"/>
    </w:pPr>
    <w:rPr>
      <w:rFonts w:ascii="FIMOFO+MSung-Light" w:eastAsia="Times New Roman Bold" w:hAnsi="FIMOFO+MSung-Light" w:cs="@'宋体"/>
      <w:sz w:val="20"/>
      <w:szCs w:val="20"/>
    </w:rPr>
  </w:style>
  <w:style w:type="paragraph" w:customStyle="1" w:styleId="Char2CharCharCharCharCharCharCharCharChar1CharCharCharCharCharCharCharCharCharCharCharChar1">
    <w:name w:val="Char2 Char Char Char Char Char Char Char Char Char1 Char Char Char Char Char Char Char Char Char Char Char Char1"/>
    <w:basedOn w:val="a1"/>
    <w:qFormat/>
    <w:pPr>
      <w:spacing w:after="160" w:line="240" w:lineRule="exact"/>
    </w:pPr>
    <w:rPr>
      <w:rFonts w:ascii="华文楷体" w:eastAsia="仿宋_GB2312" w:hAnsi="华文楷体" w:cs="仿宋_GB2312"/>
      <w:sz w:val="20"/>
      <w:szCs w:val="20"/>
      <w:lang w:eastAsia="en-US"/>
    </w:rPr>
  </w:style>
  <w:style w:type="paragraph" w:customStyle="1" w:styleId="CharCharCharCharCharCharCharCharCharChar1">
    <w:name w:val="Char Char Char Char Char Char Char Char Char Char1"/>
    <w:basedOn w:val="a1"/>
    <w:qFormat/>
    <w:pPr>
      <w:widowControl w:val="0"/>
      <w:tabs>
        <w:tab w:val="left" w:pos="360"/>
      </w:tabs>
    </w:pPr>
    <w:rPr>
      <w:rFonts w:ascii="仿宋_GB2312" w:eastAsia="华文仿宋" w:hAnsi="仿宋_GB2312" w:cs="仿宋_GB2312"/>
      <w:kern w:val="2"/>
      <w:szCs w:val="30"/>
    </w:rPr>
  </w:style>
  <w:style w:type="paragraph" w:customStyle="1" w:styleId="Charb">
    <w:name w:val="图表标题 Char"/>
    <w:basedOn w:val="a1"/>
    <w:next w:val="Default"/>
    <w:qFormat/>
    <w:pPr>
      <w:widowControl w:val="0"/>
      <w:spacing w:afterLines="50"/>
    </w:pPr>
    <w:rPr>
      <w:rFonts w:ascii="仿宋_GB2312" w:eastAsia="Times New Roman Bold" w:hAnsi="仿宋_GB2312" w:cs="仿宋_GB2312"/>
      <w:bCs/>
      <w:color w:val="000000"/>
      <w:sz w:val="20"/>
      <w:szCs w:val="20"/>
    </w:rPr>
  </w:style>
  <w:style w:type="paragraph" w:customStyle="1" w:styleId="CharChar4CharChar">
    <w:name w:val="Char Char4 Char Char"/>
    <w:basedOn w:val="a1"/>
    <w:semiHidden/>
    <w:qFormat/>
    <w:pPr>
      <w:spacing w:after="160" w:line="240" w:lineRule="exact"/>
    </w:pPr>
    <w:rPr>
      <w:rFonts w:ascii="华文楷体" w:eastAsia="华文仿宋" w:hAnsi="华文楷体" w:cs="MHeiHK-Light"/>
      <w:sz w:val="20"/>
      <w:szCs w:val="20"/>
      <w:lang w:eastAsia="en-US"/>
    </w:rPr>
  </w:style>
  <w:style w:type="paragraph" w:customStyle="1" w:styleId="Charc">
    <w:name w:val="热点正文 Char"/>
    <w:basedOn w:val="a1"/>
    <w:qFormat/>
    <w:pPr>
      <w:widowControl w:val="0"/>
    </w:pPr>
    <w:rPr>
      <w:rFonts w:ascii="仿宋_GB2312" w:eastAsia="Times New Roman Bold" w:hAnsi="仿宋_GB2312" w:cs="华文仿宋"/>
      <w:kern w:val="2"/>
      <w:sz w:val="21"/>
    </w:rPr>
  </w:style>
  <w:style w:type="paragraph" w:customStyle="1" w:styleId="CM8">
    <w:name w:val="CM8"/>
    <w:basedOn w:val="Default"/>
    <w:next w:val="Default"/>
    <w:qFormat/>
    <w:pPr>
      <w:spacing w:after="270"/>
    </w:pPr>
    <w:rPr>
      <w:rFonts w:ascii="华文仿宋" w:eastAsia="华文仿宋" w:hAnsi="仿宋_GB2312" w:cs="新宋体"/>
      <w:color w:val="auto"/>
      <w:lang w:bidi="hi-IN"/>
    </w:rPr>
  </w:style>
  <w:style w:type="paragraph" w:customStyle="1" w:styleId="ParaCharCharCharCharChar">
    <w:name w:val="默认段落字体 Para Char Char Char Char Char"/>
    <w:basedOn w:val="a1"/>
    <w:qFormat/>
    <w:pPr>
      <w:widowControl w:val="0"/>
      <w:spacing w:line="240" w:lineRule="atLeast"/>
      <w:ind w:left="420" w:firstLine="420"/>
    </w:pPr>
    <w:rPr>
      <w:rFonts w:ascii="仿宋_GB2312" w:eastAsia="华文仿宋" w:hAnsi="仿宋_GB2312" w:cs="仿宋_GB2312"/>
      <w:sz w:val="21"/>
      <w:szCs w:val="21"/>
    </w:rPr>
  </w:style>
  <w:style w:type="paragraph" w:customStyle="1" w:styleId="DPWfdtblftn8">
    <w:name w:val="DPWfd tbl ftn8"/>
    <w:basedOn w:val="a1"/>
    <w:qFormat/>
    <w:pPr>
      <w:spacing w:after="80"/>
      <w:ind w:left="360" w:hanging="360"/>
    </w:pPr>
    <w:rPr>
      <w:rFonts w:ascii="仿宋_GB2312" w:eastAsia="仿宋_GB2312" w:hAnsi="仿宋_GB2312" w:cs="仿宋_GB2312"/>
      <w:sz w:val="16"/>
      <w:szCs w:val="20"/>
      <w:lang w:eastAsia="en-US"/>
    </w:rPr>
  </w:style>
  <w:style w:type="paragraph" w:customStyle="1" w:styleId="a00">
    <w:name w:val="a0"/>
    <w:basedOn w:val="a1"/>
    <w:qFormat/>
    <w:rPr>
      <w:rFonts w:ascii="华文仿宋" w:eastAsia="华文仿宋" w:hAnsi="华文仿宋" w:cs="华文仿宋"/>
    </w:rPr>
  </w:style>
  <w:style w:type="paragraph" w:customStyle="1" w:styleId="DPWfdtblftn9">
    <w:name w:val="DPWfd tbl ftn9"/>
    <w:basedOn w:val="a1"/>
    <w:qFormat/>
    <w:pPr>
      <w:spacing w:after="90"/>
      <w:ind w:left="360" w:hanging="360"/>
    </w:pPr>
    <w:rPr>
      <w:rFonts w:ascii="仿宋_GB2312" w:eastAsia="仿宋_GB2312" w:hAnsi="仿宋_GB2312" w:cs="仿宋_GB2312"/>
      <w:sz w:val="18"/>
      <w:szCs w:val="20"/>
      <w:lang w:eastAsia="en-US"/>
    </w:rPr>
  </w:style>
  <w:style w:type="paragraph" w:customStyle="1" w:styleId="DPWfdtblnum10">
    <w:name w:val="DPWfd tbl num10"/>
    <w:basedOn w:val="a1"/>
    <w:qFormat/>
    <w:rPr>
      <w:rFonts w:ascii="仿宋_GB2312" w:eastAsia="华文仿宋" w:hAnsi="仿宋_GB2312" w:cs="仿宋_GB2312"/>
      <w:sz w:val="20"/>
      <w:szCs w:val="20"/>
      <w:lang w:eastAsia="en-US"/>
    </w:rPr>
  </w:style>
  <w:style w:type="paragraph" w:customStyle="1" w:styleId="DPWfdtblnum8">
    <w:name w:val="DPWfd tbl num8"/>
    <w:basedOn w:val="a1"/>
    <w:qFormat/>
    <w:rPr>
      <w:rFonts w:ascii="仿宋_GB2312" w:eastAsia="华文仿宋" w:hAnsi="仿宋_GB2312" w:cs="仿宋_GB2312"/>
      <w:sz w:val="16"/>
      <w:szCs w:val="20"/>
      <w:lang w:eastAsia="en-US"/>
    </w:rPr>
  </w:style>
  <w:style w:type="paragraph" w:customStyle="1" w:styleId="afffff9">
    <w:name w:val="丰收_章"/>
    <w:basedOn w:val="afffff2"/>
    <w:qFormat/>
  </w:style>
  <w:style w:type="paragraph" w:customStyle="1" w:styleId="dpwfd5indent">
    <w:name w:val="_dpwfd .5&quot; indent"/>
    <w:basedOn w:val="a1"/>
    <w:qFormat/>
    <w:pPr>
      <w:spacing w:after="200"/>
      <w:ind w:firstLine="720"/>
    </w:pPr>
    <w:rPr>
      <w:rFonts w:ascii="仿宋_GB2312" w:eastAsia="仿宋_GB2312" w:hAnsi="仿宋_GB2312" w:cs="仿宋_GB2312"/>
      <w:sz w:val="20"/>
      <w:lang w:eastAsia="en-US"/>
    </w:rPr>
  </w:style>
  <w:style w:type="paragraph" w:customStyle="1" w:styleId="DPWfdtblftnline">
    <w:name w:val="DPWfd tbl ftn line"/>
    <w:basedOn w:val="a1"/>
    <w:next w:val="a1"/>
    <w:qFormat/>
    <w:pPr>
      <w:keepNext/>
      <w:pBdr>
        <w:bottom w:val="single" w:sz="4" w:space="1" w:color="auto"/>
      </w:pBdr>
      <w:spacing w:after="50"/>
      <w:ind w:right="7920"/>
    </w:pPr>
    <w:rPr>
      <w:rFonts w:ascii="仿宋_GB2312" w:eastAsia="华文仿宋" w:hAnsi="仿宋_GB2312" w:cs="仿宋_GB2312"/>
      <w:sz w:val="10"/>
      <w:szCs w:val="10"/>
    </w:rPr>
  </w:style>
  <w:style w:type="paragraph" w:customStyle="1" w:styleId="-110">
    <w:name w:val="彩色列表 - 着色 11"/>
    <w:basedOn w:val="a1"/>
    <w:uiPriority w:val="34"/>
    <w:qFormat/>
    <w:pPr>
      <w:widowControl w:val="0"/>
      <w:spacing w:line="300" w:lineRule="exact"/>
      <w:ind w:left="720"/>
    </w:pPr>
    <w:rPr>
      <w:rFonts w:ascii="华文仿宋" w:eastAsia="华文仿宋" w:hAnsi="FIMOFO+MSung-Light" w:cs="仿宋_GB2312"/>
      <w:color w:val="000000"/>
      <w:kern w:val="2"/>
      <w:szCs w:val="20"/>
    </w:rPr>
  </w:style>
  <w:style w:type="paragraph" w:customStyle="1" w:styleId="DPWfdPF">
    <w:name w:val="DPW fd PF"/>
    <w:basedOn w:val="a1"/>
    <w:qFormat/>
    <w:pPr>
      <w:spacing w:after="200"/>
      <w:ind w:firstLine="360"/>
    </w:pPr>
    <w:rPr>
      <w:rFonts w:ascii="仿宋_GB2312" w:eastAsia="华文仿宋" w:hAnsi="仿宋_GB2312" w:cs="仿宋_GB2312"/>
      <w:sz w:val="20"/>
      <w:szCs w:val="20"/>
      <w:lang w:eastAsia="en-US"/>
    </w:rPr>
  </w:style>
  <w:style w:type="paragraph" w:customStyle="1" w:styleId="DPWfdtblftn10">
    <w:name w:val="DPWfd tbl ftn10"/>
    <w:basedOn w:val="a1"/>
    <w:qFormat/>
    <w:pPr>
      <w:spacing w:after="100"/>
      <w:ind w:left="360" w:hanging="360"/>
    </w:pPr>
    <w:rPr>
      <w:rFonts w:ascii="仿宋_GB2312" w:eastAsia="华文仿宋" w:hAnsi="仿宋_GB2312" w:cs="仿宋_GB2312"/>
      <w:sz w:val="20"/>
      <w:szCs w:val="20"/>
      <w:lang w:eastAsia="en-US"/>
    </w:rPr>
  </w:style>
  <w:style w:type="paragraph" w:customStyle="1" w:styleId="DPWfdHDBoldLeft">
    <w:name w:val="DPWfd HD Bold Left"/>
    <w:basedOn w:val="a1"/>
    <w:next w:val="DPWfdPF"/>
    <w:qFormat/>
    <w:pPr>
      <w:keepNext/>
      <w:spacing w:after="200"/>
    </w:pPr>
    <w:rPr>
      <w:rFonts w:ascii="仿宋_GB2312" w:eastAsia="华文仿宋" w:hAnsi="仿宋_GB2312" w:cs="仿宋_GB2312"/>
      <w:b/>
      <w:sz w:val="20"/>
      <w:szCs w:val="20"/>
      <w:lang w:eastAsia="en-US"/>
    </w:rPr>
  </w:style>
  <w:style w:type="paragraph" w:customStyle="1" w:styleId="2e">
    <w:name w:val="无间隔2"/>
    <w:qFormat/>
    <w:pPr>
      <w:widowControl w:val="0"/>
      <w:jc w:val="both"/>
    </w:pPr>
    <w:rPr>
      <w:rFonts w:ascii="仿宋_GB2312" w:eastAsia="华文仿宋" w:hAnsi="仿宋_GB2312" w:cs="仿宋_GB2312"/>
      <w:kern w:val="2"/>
      <w:sz w:val="21"/>
      <w:szCs w:val="24"/>
    </w:rPr>
  </w:style>
  <w:style w:type="paragraph" w:customStyle="1" w:styleId="1f9">
    <w:name w:val="无间隔1"/>
    <w:qFormat/>
    <w:rPr>
      <w:rFonts w:ascii="MS Mincho" w:eastAsia="SC STKaiti" w:hAnsi="MS Mincho" w:cs="仿宋_GB2312"/>
      <w:sz w:val="32"/>
      <w:szCs w:val="22"/>
      <w:lang w:eastAsia="en-US"/>
    </w:rPr>
  </w:style>
  <w:style w:type="paragraph" w:customStyle="1" w:styleId="300100151">
    <w:name w:val="样式 标题 3 + (符号) 宋体 两端对齐 右侧:  0.01 厘米 段前: 0 磅 段后: 0 磅 行距: 1.5...1"/>
    <w:basedOn w:val="a1"/>
    <w:qFormat/>
    <w:pPr>
      <w:widowControl w:val="0"/>
      <w:tabs>
        <w:tab w:val="left" w:pos="420"/>
      </w:tabs>
      <w:autoSpaceDE w:val="0"/>
      <w:autoSpaceDN w:val="0"/>
      <w:adjustRightInd w:val="0"/>
      <w:ind w:left="420" w:hanging="420"/>
    </w:pPr>
    <w:rPr>
      <w:rFonts w:ascii="MS Sans Serif" w:eastAsia="MS Sans Serif" w:hAnsi="仿宋_GB2312" w:cs="仿宋_GB2312"/>
    </w:rPr>
  </w:style>
  <w:style w:type="paragraph" w:customStyle="1" w:styleId="CharCharCharChar3">
    <w:name w:val="Char Char Char Char3"/>
    <w:basedOn w:val="a1"/>
    <w:uiPriority w:val="99"/>
    <w:qFormat/>
    <w:pPr>
      <w:widowControl w:val="0"/>
    </w:pPr>
    <w:rPr>
      <w:rFonts w:ascii="Courier New" w:eastAsia="华文仿宋" w:hAnsi="Courier New" w:cs="仿宋_GB2312"/>
      <w:kern w:val="2"/>
      <w:szCs w:val="20"/>
    </w:rPr>
  </w:style>
  <w:style w:type="paragraph" w:customStyle="1" w:styleId="46">
    <w:name w:val="样式4"/>
    <w:basedOn w:val="5"/>
    <w:link w:val="4Char"/>
    <w:qFormat/>
    <w:pPr>
      <w:keepNext w:val="0"/>
      <w:keepLines w:val="0"/>
      <w:widowControl w:val="0"/>
      <w:numPr>
        <w:ilvl w:val="0"/>
        <w:numId w:val="0"/>
      </w:numPr>
      <w:tabs>
        <w:tab w:val="left" w:pos="2580"/>
      </w:tabs>
      <w:spacing w:before="0" w:afterLines="50" w:line="360" w:lineRule="auto"/>
      <w:textAlignment w:val="baseline"/>
    </w:pPr>
    <w:rPr>
      <w:rFonts w:ascii="MS Sans Serif" w:eastAsia="华文仿宋" w:hAnsi="仿宋_GB2312"/>
      <w:b w:val="0"/>
      <w:bCs w:val="0"/>
      <w:kern w:val="2"/>
      <w:sz w:val="24"/>
      <w:szCs w:val="24"/>
    </w:rPr>
  </w:style>
  <w:style w:type="paragraph" w:customStyle="1" w:styleId="212">
    <w:name w:val="中等深浅网格 21"/>
    <w:qFormat/>
    <w:pPr>
      <w:widowControl w:val="0"/>
      <w:jc w:val="both"/>
    </w:pPr>
    <w:rPr>
      <w:rFonts w:ascii="仿宋_GB2312" w:eastAsia="华文仿宋" w:hAnsi="仿宋_GB2312" w:cs="仿宋_GB2312"/>
      <w:kern w:val="2"/>
      <w:sz w:val="21"/>
    </w:rPr>
  </w:style>
  <w:style w:type="paragraph" w:customStyle="1" w:styleId="110">
    <w:name w:val="列出段落11"/>
    <w:basedOn w:val="a1"/>
    <w:qFormat/>
    <w:pPr>
      <w:widowControl w:val="0"/>
      <w:ind w:firstLine="420"/>
    </w:pPr>
    <w:rPr>
      <w:rFonts w:ascii="Angsana New" w:eastAsia="华文仿宋" w:hAnsi="Angsana New" w:cs="仿宋_GB2312"/>
      <w:kern w:val="2"/>
      <w:sz w:val="21"/>
      <w:szCs w:val="22"/>
    </w:rPr>
  </w:style>
  <w:style w:type="paragraph" w:customStyle="1" w:styleId="Style2">
    <w:name w:val="Style2"/>
    <w:basedOn w:val="3"/>
    <w:qFormat/>
    <w:pPr>
      <w:keepNext w:val="0"/>
      <w:keepLines w:val="0"/>
      <w:widowControl w:val="0"/>
      <w:tabs>
        <w:tab w:val="left" w:pos="1680"/>
      </w:tabs>
      <w:autoSpaceDE w:val="0"/>
      <w:autoSpaceDN w:val="0"/>
      <w:adjustRightInd w:val="0"/>
      <w:spacing w:beforeLines="150" w:afterLines="50" w:line="360" w:lineRule="auto"/>
      <w:ind w:left="950" w:hanging="475"/>
    </w:pPr>
    <w:rPr>
      <w:rFonts w:ascii="MS Sans Serif" w:eastAsia="MS Sans Serif" w:hAnsi="仿宋_GB2312" w:cs="仿宋_GB2312"/>
      <w:bCs w:val="0"/>
      <w:sz w:val="28"/>
      <w:szCs w:val="28"/>
    </w:rPr>
  </w:style>
  <w:style w:type="paragraph" w:customStyle="1" w:styleId="ParaCharCharCharCharCharCharChar">
    <w:name w:val="默认段落字体 Para Char Char Char Char Char Char Char"/>
    <w:basedOn w:val="a1"/>
    <w:qFormat/>
    <w:pPr>
      <w:widowControl w:val="0"/>
    </w:pPr>
    <w:rPr>
      <w:rFonts w:ascii="Courier New" w:eastAsia="华文仿宋" w:hAnsi="Courier New" w:cs="仿宋_GB2312"/>
      <w:kern w:val="2"/>
      <w:szCs w:val="20"/>
    </w:rPr>
  </w:style>
  <w:style w:type="paragraph" w:customStyle="1" w:styleId="xl37">
    <w:name w:val="xl37"/>
    <w:basedOn w:val="a1"/>
    <w:qFormat/>
    <w:pPr>
      <w:pBdr>
        <w:bottom w:val="single" w:sz="4" w:space="0" w:color="auto"/>
      </w:pBdr>
      <w:spacing w:before="100" w:beforeAutospacing="1" w:after="100" w:afterAutospacing="1"/>
      <w:jc w:val="right"/>
    </w:pPr>
    <w:rPr>
      <w:rFonts w:ascii="Times New Roman Bold" w:eastAsia="Times New Roman Bold" w:hAnsi="Tahoma" w:cs="Tahoma" w:hint="eastAsia"/>
    </w:rPr>
  </w:style>
  <w:style w:type="paragraph" w:customStyle="1" w:styleId="1fa">
    <w:name w:val="纯文本1"/>
    <w:basedOn w:val="a1"/>
    <w:qFormat/>
    <w:pPr>
      <w:widowControl w:val="0"/>
      <w:adjustRightInd w:val="0"/>
    </w:pPr>
    <w:rPr>
      <w:rFonts w:ascii="华文仿宋" w:eastAsia="华文仿宋" w:hAnsi="仿宋_GB2312" w:cs="仿宋_GB2312" w:hint="eastAsia"/>
      <w:sz w:val="21"/>
      <w:szCs w:val="20"/>
    </w:rPr>
  </w:style>
  <w:style w:type="paragraph" w:customStyle="1" w:styleId="47">
    <w:name w:val="封面4"/>
    <w:qFormat/>
    <w:pPr>
      <w:widowControl w:val="0"/>
      <w:adjustRightInd w:val="0"/>
      <w:spacing w:line="312" w:lineRule="atLeast"/>
      <w:jc w:val="center"/>
      <w:textAlignment w:val="baseline"/>
    </w:pPr>
    <w:rPr>
      <w:rFonts w:ascii="华文仿宋" w:eastAsia="华文仿宋" w:hAnsi="仿宋_GB2312" w:cs="仿宋_GB2312"/>
      <w:sz w:val="21"/>
    </w:rPr>
  </w:style>
  <w:style w:type="paragraph" w:customStyle="1" w:styleId="Body0">
    <w:name w:val="_Body"/>
    <w:basedOn w:val="a1"/>
    <w:qFormat/>
    <w:pPr>
      <w:spacing w:after="240"/>
    </w:pPr>
    <w:rPr>
      <w:rFonts w:ascii="FIMOFO+MSung-Light" w:eastAsia="楷体_GB2312" w:hAnsi="FIMOFO+MSung-Light" w:cs="仿宋_GB2312"/>
      <w:kern w:val="2"/>
    </w:rPr>
  </w:style>
  <w:style w:type="paragraph" w:customStyle="1" w:styleId="CM112">
    <w:name w:val="CM112"/>
    <w:basedOn w:val="a1"/>
    <w:next w:val="a1"/>
    <w:qFormat/>
    <w:pPr>
      <w:widowControl w:val="0"/>
      <w:autoSpaceDE w:val="0"/>
      <w:autoSpaceDN w:val="0"/>
      <w:adjustRightInd w:val="0"/>
      <w:spacing w:after="118"/>
    </w:pPr>
    <w:rPr>
      <w:rFonts w:ascii="MS Sans Serif" w:eastAsia="MS Sans Serif" w:hAnsi="仿宋_GB2312" w:cs="仿宋_GB2312"/>
    </w:rPr>
  </w:style>
  <w:style w:type="paragraph" w:customStyle="1" w:styleId="CharChar3CharCharCharChar">
    <w:name w:val="Char Char3 Char Char Char Char"/>
    <w:basedOn w:val="a1"/>
    <w:qFormat/>
    <w:pPr>
      <w:spacing w:after="160" w:line="240" w:lineRule="exact"/>
    </w:pPr>
    <w:rPr>
      <w:rFonts w:ascii="仿宋_GB2312" w:eastAsia="华文仿宋" w:hAnsi="仿宋_GB2312" w:cs="FIMOFO+MSung-Light"/>
      <w:sz w:val="22"/>
      <w:szCs w:val="20"/>
      <w:lang w:eastAsia="en-US"/>
    </w:rPr>
  </w:style>
  <w:style w:type="paragraph" w:customStyle="1" w:styleId="00">
    <w:name w:val="正文0"/>
    <w:basedOn w:val="24"/>
    <w:qFormat/>
    <w:pPr>
      <w:widowControl w:val="0"/>
      <w:snapToGrid w:val="0"/>
      <w:spacing w:before="240" w:line="360" w:lineRule="auto"/>
      <w:ind w:firstLineChars="0" w:firstLine="574"/>
    </w:pPr>
    <w:rPr>
      <w:rFonts w:ascii="仿宋_GB2312" w:eastAsia="华文仿宋" w:hAnsi="Angsana New" w:cs="仿宋_GB2312"/>
      <w:color w:val="000000"/>
      <w:kern w:val="2"/>
      <w:sz w:val="28"/>
      <w:szCs w:val="20"/>
    </w:rPr>
  </w:style>
  <w:style w:type="paragraph" w:customStyle="1" w:styleId="1Char0">
    <w:name w:val="1 Char"/>
    <w:basedOn w:val="a1"/>
    <w:qFormat/>
    <w:pPr>
      <w:spacing w:after="160" w:line="240" w:lineRule="exact"/>
    </w:pPr>
    <w:rPr>
      <w:rFonts w:ascii="仿宋_GB2312" w:eastAsia="华文仿宋" w:hAnsi="仿宋_GB2312" w:cs="FIMOFO+MSung-Light"/>
      <w:sz w:val="22"/>
      <w:szCs w:val="20"/>
      <w:lang w:eastAsia="en-US"/>
    </w:rPr>
  </w:style>
  <w:style w:type="paragraph" w:customStyle="1" w:styleId="402">
    <w:name w:val="样式 标题 4 + 加宽量  0.2 磅"/>
    <w:basedOn w:val="4"/>
    <w:qFormat/>
    <w:pPr>
      <w:keepLines w:val="0"/>
      <w:widowControl w:val="0"/>
      <w:adjustRightInd/>
      <w:spacing w:before="120" w:after="120" w:line="300" w:lineRule="auto"/>
      <w:jc w:val="center"/>
      <w:textAlignment w:val="auto"/>
    </w:pPr>
    <w:rPr>
      <w:rFonts w:ascii="MS Sans Serif" w:eastAsia="华文仿宋" w:hAnsi="仿宋_GB2312" w:cs="@'宋体"/>
      <w:bCs/>
      <w:color w:val="000000"/>
      <w:spacing w:val="4"/>
      <w:kern w:val="2"/>
      <w:szCs w:val="28"/>
    </w:rPr>
  </w:style>
  <w:style w:type="paragraph" w:customStyle="1" w:styleId="p0">
    <w:name w:val="p0"/>
    <w:basedOn w:val="a1"/>
    <w:qFormat/>
    <w:rPr>
      <w:rFonts w:ascii="仿宋_GB2312" w:eastAsia="华文仿宋" w:hAnsi="仿宋_GB2312" w:cs="仿宋_GB2312"/>
      <w:sz w:val="21"/>
      <w:szCs w:val="21"/>
    </w:rPr>
  </w:style>
  <w:style w:type="paragraph" w:customStyle="1" w:styleId="p15">
    <w:name w:val="p15"/>
    <w:basedOn w:val="a1"/>
    <w:qFormat/>
    <w:pPr>
      <w:ind w:firstLine="420"/>
    </w:pPr>
    <w:rPr>
      <w:rFonts w:ascii="Angsana New" w:eastAsia="华文仿宋" w:hAnsi="Angsana New" w:cs="华文仿宋"/>
      <w:sz w:val="21"/>
      <w:szCs w:val="21"/>
    </w:rPr>
  </w:style>
  <w:style w:type="paragraph" w:customStyle="1" w:styleId="CM27">
    <w:name w:val="CM27"/>
    <w:basedOn w:val="Default"/>
    <w:next w:val="Default"/>
    <w:uiPriority w:val="99"/>
    <w:qFormat/>
    <w:rPr>
      <w:rFonts w:ascii="MS Sans Serif" w:eastAsia="MS Sans Serif" w:hAnsi="Angsana New" w:cs="仿宋_GB2312"/>
      <w:color w:val="auto"/>
    </w:rPr>
  </w:style>
  <w:style w:type="paragraph" w:customStyle="1" w:styleId="font8">
    <w:name w:val="font8"/>
    <w:basedOn w:val="a1"/>
    <w:qFormat/>
    <w:pPr>
      <w:spacing w:before="100" w:beforeAutospacing="1" w:after="100" w:afterAutospacing="1"/>
    </w:pPr>
    <w:rPr>
      <w:rFonts w:ascii="华文仿宋" w:eastAsia="华文仿宋" w:hAnsi="华文仿宋" w:cs="华文仿宋"/>
      <w:b/>
      <w:bCs/>
      <w:color w:val="000000"/>
      <w:sz w:val="21"/>
      <w:szCs w:val="21"/>
    </w:rPr>
  </w:style>
  <w:style w:type="paragraph" w:customStyle="1" w:styleId="font10">
    <w:name w:val="font10"/>
    <w:basedOn w:val="a1"/>
    <w:qFormat/>
    <w:pPr>
      <w:spacing w:before="100" w:beforeAutospacing="1" w:after="100" w:afterAutospacing="1"/>
    </w:pPr>
    <w:rPr>
      <w:rFonts w:ascii="Courier New" w:eastAsia="华文仿宋" w:hAnsi="Courier New" w:cs="Courier New"/>
      <w:color w:val="000000"/>
      <w:sz w:val="18"/>
      <w:szCs w:val="18"/>
    </w:rPr>
  </w:style>
  <w:style w:type="paragraph" w:customStyle="1" w:styleId="font11">
    <w:name w:val="font11"/>
    <w:basedOn w:val="a1"/>
    <w:qFormat/>
    <w:pPr>
      <w:spacing w:before="100" w:beforeAutospacing="1" w:after="100" w:afterAutospacing="1"/>
    </w:pPr>
    <w:rPr>
      <w:rFonts w:ascii="Courier New" w:eastAsia="华文仿宋" w:hAnsi="Courier New" w:cs="Courier New"/>
      <w:b/>
      <w:bCs/>
      <w:color w:val="000000"/>
      <w:sz w:val="18"/>
      <w:szCs w:val="18"/>
    </w:rPr>
  </w:style>
  <w:style w:type="paragraph" w:customStyle="1" w:styleId="font12">
    <w:name w:val="font12"/>
    <w:basedOn w:val="a1"/>
    <w:qFormat/>
    <w:pPr>
      <w:spacing w:before="100" w:beforeAutospacing="1" w:after="100" w:afterAutospacing="1"/>
    </w:pPr>
    <w:rPr>
      <w:rFonts w:ascii="华文仿宋" w:eastAsia="华文仿宋" w:hAnsi="华文仿宋" w:cs="华文仿宋"/>
      <w:color w:val="000000"/>
      <w:sz w:val="18"/>
      <w:szCs w:val="18"/>
    </w:rPr>
  </w:style>
  <w:style w:type="paragraph" w:customStyle="1" w:styleId="xl82">
    <w:name w:val="xl82"/>
    <w:basedOn w:val="a1"/>
    <w:qFormat/>
    <w:pPr>
      <w:spacing w:before="100" w:beforeAutospacing="1" w:after="100" w:afterAutospacing="1"/>
      <w:jc w:val="right"/>
    </w:pPr>
    <w:rPr>
      <w:rFonts w:ascii="仿宋_GB2312" w:eastAsia="华文仿宋" w:hAnsi="仿宋_GB2312" w:cs="仿宋_GB2312"/>
      <w:sz w:val="21"/>
      <w:szCs w:val="21"/>
    </w:rPr>
  </w:style>
  <w:style w:type="paragraph" w:customStyle="1" w:styleId="xl83">
    <w:name w:val="xl83"/>
    <w:basedOn w:val="a1"/>
    <w:qFormat/>
    <w:pPr>
      <w:spacing w:before="100" w:beforeAutospacing="1" w:after="100" w:afterAutospacing="1"/>
      <w:jc w:val="right"/>
    </w:pPr>
    <w:rPr>
      <w:rFonts w:ascii="仿宋_GB2312" w:eastAsia="华文仿宋" w:hAnsi="仿宋_GB2312" w:cs="仿宋_GB2312"/>
      <w:sz w:val="21"/>
      <w:szCs w:val="21"/>
    </w:rPr>
  </w:style>
  <w:style w:type="paragraph" w:customStyle="1" w:styleId="xl84">
    <w:name w:val="xl84"/>
    <w:basedOn w:val="a1"/>
    <w:qFormat/>
    <w:pPr>
      <w:pBdr>
        <w:top w:val="single" w:sz="8" w:space="0" w:color="auto"/>
      </w:pBdr>
      <w:spacing w:before="100" w:beforeAutospacing="1" w:after="100" w:afterAutospacing="1"/>
      <w:jc w:val="center"/>
    </w:pPr>
    <w:rPr>
      <w:rFonts w:ascii="仿宋_GB2312" w:eastAsia="华文仿宋" w:hAnsi="仿宋_GB2312" w:cs="仿宋_GB2312"/>
      <w:sz w:val="18"/>
      <w:szCs w:val="18"/>
    </w:rPr>
  </w:style>
  <w:style w:type="paragraph" w:customStyle="1" w:styleId="xl85">
    <w:name w:val="xl85"/>
    <w:basedOn w:val="a1"/>
    <w:qFormat/>
    <w:pPr>
      <w:pBdr>
        <w:bottom w:val="single" w:sz="8" w:space="0" w:color="auto"/>
      </w:pBdr>
      <w:spacing w:before="100" w:beforeAutospacing="1" w:after="100" w:afterAutospacing="1"/>
      <w:jc w:val="center"/>
    </w:pPr>
    <w:rPr>
      <w:rFonts w:ascii="仿宋_GB2312" w:eastAsia="华文仿宋" w:hAnsi="仿宋_GB2312" w:cs="仿宋_GB2312"/>
      <w:sz w:val="18"/>
      <w:szCs w:val="18"/>
    </w:rPr>
  </w:style>
  <w:style w:type="paragraph" w:customStyle="1" w:styleId="xl86">
    <w:name w:val="xl86"/>
    <w:basedOn w:val="a1"/>
    <w:qFormat/>
    <w:pPr>
      <w:pBdr>
        <w:top w:val="single" w:sz="8" w:space="0" w:color="auto"/>
      </w:pBdr>
      <w:spacing w:before="100" w:beforeAutospacing="1" w:after="100" w:afterAutospacing="1"/>
      <w:jc w:val="center"/>
    </w:pPr>
    <w:rPr>
      <w:rFonts w:ascii="华文仿宋" w:eastAsia="华文仿宋" w:hAnsi="华文仿宋" w:cs="华文仿宋"/>
      <w:b/>
      <w:bCs/>
      <w:color w:val="000000"/>
      <w:sz w:val="21"/>
      <w:szCs w:val="21"/>
    </w:rPr>
  </w:style>
  <w:style w:type="paragraph" w:customStyle="1" w:styleId="xl87">
    <w:name w:val="xl87"/>
    <w:basedOn w:val="a1"/>
    <w:qFormat/>
    <w:pPr>
      <w:pBdr>
        <w:top w:val="single" w:sz="8" w:space="0" w:color="auto"/>
      </w:pBdr>
      <w:spacing w:before="100" w:beforeAutospacing="1" w:after="100" w:afterAutospacing="1"/>
      <w:jc w:val="center"/>
    </w:pPr>
    <w:rPr>
      <w:rFonts w:ascii="华文仿宋" w:eastAsia="华文仿宋" w:hAnsi="华文仿宋" w:cs="华文仿宋"/>
      <w:b/>
      <w:bCs/>
      <w:sz w:val="21"/>
      <w:szCs w:val="21"/>
    </w:rPr>
  </w:style>
  <w:style w:type="paragraph" w:customStyle="1" w:styleId="xl88">
    <w:name w:val="xl88"/>
    <w:basedOn w:val="a1"/>
    <w:qFormat/>
    <w:pPr>
      <w:spacing w:before="100" w:beforeAutospacing="1" w:after="100" w:afterAutospacing="1"/>
    </w:pPr>
    <w:rPr>
      <w:rFonts w:ascii="华文仿宋" w:eastAsia="华文仿宋" w:hAnsi="华文仿宋" w:cs="华文仿宋"/>
      <w:b/>
      <w:bCs/>
      <w:sz w:val="21"/>
      <w:szCs w:val="21"/>
    </w:rPr>
  </w:style>
  <w:style w:type="paragraph" w:customStyle="1" w:styleId="xl89">
    <w:name w:val="xl89"/>
    <w:basedOn w:val="a1"/>
    <w:qFormat/>
    <w:pPr>
      <w:spacing w:before="100" w:beforeAutospacing="1" w:after="100" w:afterAutospacing="1"/>
      <w:jc w:val="right"/>
    </w:pPr>
    <w:rPr>
      <w:rFonts w:ascii="仿宋_GB2312" w:eastAsia="华文仿宋" w:hAnsi="仿宋_GB2312" w:cs="仿宋_GB2312"/>
      <w:b/>
      <w:bCs/>
      <w:color w:val="000000"/>
      <w:sz w:val="21"/>
      <w:szCs w:val="21"/>
    </w:rPr>
  </w:style>
  <w:style w:type="paragraph" w:customStyle="1" w:styleId="xl90">
    <w:name w:val="xl90"/>
    <w:basedOn w:val="a1"/>
    <w:qFormat/>
    <w:pPr>
      <w:spacing w:before="100" w:beforeAutospacing="1" w:after="100" w:afterAutospacing="1"/>
      <w:jc w:val="right"/>
    </w:pPr>
    <w:rPr>
      <w:rFonts w:ascii="仿宋_GB2312" w:eastAsia="华文仿宋" w:hAnsi="仿宋_GB2312" w:cs="仿宋_GB2312"/>
      <w:b/>
      <w:bCs/>
      <w:color w:val="000000"/>
      <w:sz w:val="21"/>
      <w:szCs w:val="21"/>
    </w:rPr>
  </w:style>
  <w:style w:type="paragraph" w:customStyle="1" w:styleId="1fb">
    <w:name w:val="普通(网站)1"/>
    <w:basedOn w:val="a1"/>
    <w:link w:val="NormalWebCharChar"/>
    <w:qFormat/>
    <w:pPr>
      <w:widowControl w:val="0"/>
    </w:pPr>
    <w:rPr>
      <w:rFonts w:ascii="Calibri" w:hAnsi="Calibri" w:cs="Times New Roman"/>
      <w:szCs w:val="20"/>
    </w:rPr>
  </w:style>
  <w:style w:type="paragraph" w:customStyle="1" w:styleId="CharChar31">
    <w:name w:val="Char Char31"/>
    <w:basedOn w:val="a1"/>
    <w:qFormat/>
    <w:pPr>
      <w:spacing w:after="160" w:line="240" w:lineRule="exact"/>
    </w:pPr>
    <w:rPr>
      <w:rFonts w:ascii="仿宋_GB2312" w:eastAsia="华文仿宋" w:hAnsi="仿宋_GB2312" w:cs="FIMOFO+MSung-Light"/>
      <w:sz w:val="22"/>
      <w:szCs w:val="20"/>
      <w:lang w:eastAsia="en-US"/>
    </w:rPr>
  </w:style>
  <w:style w:type="paragraph" w:customStyle="1" w:styleId="312">
    <w:name w:val="网格表 31"/>
    <w:basedOn w:val="1"/>
    <w:next w:val="a1"/>
    <w:uiPriority w:val="39"/>
    <w:unhideWhenUsed/>
    <w:qFormat/>
    <w:pPr>
      <w:spacing w:before="480" w:after="0" w:line="276" w:lineRule="auto"/>
      <w:outlineLvl w:val="9"/>
    </w:pPr>
    <w:rPr>
      <w:rFonts w:ascii="方正楷体_GBK" w:eastAsia="华文仿宋" w:hAnsi="方正楷体_GBK" w:cs="仿宋_GB2312"/>
      <w:color w:val="365F91"/>
      <w:kern w:val="0"/>
      <w:sz w:val="28"/>
      <w:szCs w:val="28"/>
    </w:rPr>
  </w:style>
  <w:style w:type="paragraph" w:customStyle="1" w:styleId="CM318">
    <w:name w:val="CM318"/>
    <w:basedOn w:val="Default"/>
    <w:next w:val="Default"/>
    <w:uiPriority w:val="99"/>
    <w:qFormat/>
    <w:pPr>
      <w:spacing w:after="290"/>
    </w:pPr>
    <w:rPr>
      <w:rFonts w:ascii="Verdana" w:eastAsia="Verdana" w:hAnsi="Angsana New" w:cs="仿宋_GB2312"/>
      <w:color w:val="auto"/>
    </w:rPr>
  </w:style>
  <w:style w:type="paragraph" w:customStyle="1" w:styleId="CM325">
    <w:name w:val="CM325"/>
    <w:basedOn w:val="Default"/>
    <w:next w:val="Default"/>
    <w:uiPriority w:val="99"/>
    <w:qFormat/>
    <w:pPr>
      <w:spacing w:after="350"/>
    </w:pPr>
    <w:rPr>
      <w:rFonts w:ascii="Verdana" w:eastAsia="Verdana" w:hAnsi="Angsana New" w:cs="仿宋_GB2312"/>
      <w:color w:val="auto"/>
    </w:rPr>
  </w:style>
  <w:style w:type="paragraph" w:customStyle="1" w:styleId="CM45">
    <w:name w:val="CM45"/>
    <w:basedOn w:val="Default"/>
    <w:next w:val="Default"/>
    <w:uiPriority w:val="99"/>
    <w:qFormat/>
    <w:pPr>
      <w:spacing w:line="298" w:lineRule="atLeast"/>
    </w:pPr>
    <w:rPr>
      <w:rFonts w:ascii="Verdana" w:eastAsia="Verdana" w:hAnsi="Angsana New" w:cs="仿宋_GB2312"/>
      <w:color w:val="auto"/>
    </w:rPr>
  </w:style>
  <w:style w:type="paragraph" w:customStyle="1" w:styleId="CM46">
    <w:name w:val="CM46"/>
    <w:basedOn w:val="Default"/>
    <w:next w:val="Default"/>
    <w:uiPriority w:val="99"/>
    <w:qFormat/>
    <w:pPr>
      <w:spacing w:line="288" w:lineRule="atLeast"/>
    </w:pPr>
    <w:rPr>
      <w:rFonts w:ascii="Verdana" w:eastAsia="Verdana" w:hAnsi="Angsana New" w:cs="仿宋_GB2312"/>
      <w:color w:val="auto"/>
    </w:rPr>
  </w:style>
  <w:style w:type="paragraph" w:customStyle="1" w:styleId="CM54">
    <w:name w:val="CM54"/>
    <w:basedOn w:val="Default"/>
    <w:next w:val="Default"/>
    <w:uiPriority w:val="99"/>
    <w:qFormat/>
    <w:pPr>
      <w:spacing w:line="298" w:lineRule="atLeast"/>
    </w:pPr>
    <w:rPr>
      <w:rFonts w:ascii="Verdana" w:eastAsia="Verdana" w:hAnsi="Angsana New" w:cs="仿宋_GB2312"/>
      <w:color w:val="auto"/>
    </w:rPr>
  </w:style>
  <w:style w:type="paragraph" w:customStyle="1" w:styleId="CM9">
    <w:name w:val="CM9"/>
    <w:basedOn w:val="Default"/>
    <w:next w:val="Default"/>
    <w:uiPriority w:val="99"/>
    <w:qFormat/>
    <w:pPr>
      <w:spacing w:line="298" w:lineRule="atLeast"/>
    </w:pPr>
    <w:rPr>
      <w:rFonts w:ascii="Verdana" w:eastAsia="Verdana" w:hAnsi="Angsana New" w:cs="仿宋_GB2312"/>
      <w:color w:val="auto"/>
    </w:rPr>
  </w:style>
  <w:style w:type="paragraph" w:customStyle="1" w:styleId="CM11">
    <w:name w:val="CM11"/>
    <w:basedOn w:val="Default"/>
    <w:next w:val="Default"/>
    <w:uiPriority w:val="99"/>
    <w:qFormat/>
    <w:pPr>
      <w:spacing w:line="296" w:lineRule="atLeast"/>
    </w:pPr>
    <w:rPr>
      <w:rFonts w:ascii="Verdana" w:eastAsia="Verdana" w:hAnsi="Angsana New" w:cs="仿宋_GB2312"/>
      <w:color w:val="auto"/>
    </w:rPr>
  </w:style>
  <w:style w:type="paragraph" w:customStyle="1" w:styleId="CM320">
    <w:name w:val="CM320"/>
    <w:basedOn w:val="Default"/>
    <w:next w:val="Default"/>
    <w:uiPriority w:val="99"/>
    <w:qFormat/>
    <w:pPr>
      <w:spacing w:after="453"/>
    </w:pPr>
    <w:rPr>
      <w:rFonts w:ascii="Verdana" w:eastAsia="Verdana" w:hAnsi="Angsana New" w:cs="仿宋_GB2312"/>
      <w:color w:val="auto"/>
    </w:rPr>
  </w:style>
  <w:style w:type="paragraph" w:customStyle="1" w:styleId="CM22">
    <w:name w:val="CM22"/>
    <w:basedOn w:val="Default"/>
    <w:next w:val="Default"/>
    <w:uiPriority w:val="99"/>
    <w:qFormat/>
    <w:pPr>
      <w:spacing w:line="298" w:lineRule="atLeast"/>
    </w:pPr>
    <w:rPr>
      <w:rFonts w:ascii="Verdana" w:eastAsia="Verdana" w:hAnsi="Angsana New" w:cs="仿宋_GB2312"/>
      <w:color w:val="auto"/>
    </w:rPr>
  </w:style>
  <w:style w:type="paragraph" w:customStyle="1" w:styleId="CM28">
    <w:name w:val="CM28"/>
    <w:basedOn w:val="Default"/>
    <w:next w:val="Default"/>
    <w:uiPriority w:val="99"/>
    <w:qFormat/>
    <w:rPr>
      <w:rFonts w:ascii="Verdana" w:eastAsia="Verdana" w:hAnsi="Angsana New" w:cs="仿宋_GB2312"/>
      <w:color w:val="auto"/>
    </w:rPr>
  </w:style>
  <w:style w:type="paragraph" w:customStyle="1" w:styleId="CM358">
    <w:name w:val="CM358"/>
    <w:basedOn w:val="Default"/>
    <w:next w:val="Default"/>
    <w:uiPriority w:val="99"/>
    <w:qFormat/>
    <w:pPr>
      <w:spacing w:after="3480"/>
    </w:pPr>
    <w:rPr>
      <w:rFonts w:ascii="Verdana" w:eastAsia="Verdana" w:hAnsi="Angsana New" w:cs="仿宋_GB2312"/>
      <w:color w:val="auto"/>
    </w:rPr>
  </w:style>
  <w:style w:type="paragraph" w:customStyle="1" w:styleId="CM16">
    <w:name w:val="CM16"/>
    <w:basedOn w:val="Default"/>
    <w:next w:val="Default"/>
    <w:uiPriority w:val="99"/>
    <w:qFormat/>
    <w:pPr>
      <w:spacing w:line="296" w:lineRule="atLeast"/>
    </w:pPr>
    <w:rPr>
      <w:rFonts w:ascii="Verdana" w:eastAsia="Verdana" w:hAnsi="Angsana New" w:cs="仿宋_GB2312"/>
      <w:color w:val="auto"/>
    </w:rPr>
  </w:style>
  <w:style w:type="paragraph" w:customStyle="1" w:styleId="CM337">
    <w:name w:val="CM337"/>
    <w:basedOn w:val="Default"/>
    <w:next w:val="Default"/>
    <w:uiPriority w:val="99"/>
    <w:qFormat/>
    <w:pPr>
      <w:spacing w:after="290"/>
    </w:pPr>
    <w:rPr>
      <w:rFonts w:ascii="Verdana" w:eastAsia="Verdana" w:hAnsi="Angsana New" w:cs="仿宋_GB2312"/>
      <w:color w:val="auto"/>
    </w:rPr>
  </w:style>
  <w:style w:type="paragraph" w:customStyle="1" w:styleId="CM341">
    <w:name w:val="CM341"/>
    <w:basedOn w:val="Default"/>
    <w:next w:val="Default"/>
    <w:uiPriority w:val="99"/>
    <w:qFormat/>
    <w:pPr>
      <w:spacing w:after="215"/>
    </w:pPr>
    <w:rPr>
      <w:rFonts w:ascii="Verdana" w:eastAsia="Verdana" w:hAnsi="Angsana New" w:cs="仿宋_GB2312"/>
      <w:color w:val="auto"/>
    </w:rPr>
  </w:style>
  <w:style w:type="paragraph" w:customStyle="1" w:styleId="CM49">
    <w:name w:val="CM49"/>
    <w:basedOn w:val="Default"/>
    <w:next w:val="Default"/>
    <w:uiPriority w:val="99"/>
    <w:qFormat/>
    <w:pPr>
      <w:spacing w:line="300" w:lineRule="atLeast"/>
    </w:pPr>
    <w:rPr>
      <w:rFonts w:ascii="Verdana" w:eastAsia="Verdana" w:hAnsi="Angsana New" w:cs="仿宋_GB2312"/>
      <w:color w:val="auto"/>
    </w:rPr>
  </w:style>
  <w:style w:type="paragraph" w:customStyle="1" w:styleId="CM55">
    <w:name w:val="CM55"/>
    <w:basedOn w:val="Default"/>
    <w:next w:val="Default"/>
    <w:uiPriority w:val="99"/>
    <w:qFormat/>
    <w:pPr>
      <w:spacing w:line="303" w:lineRule="atLeast"/>
    </w:pPr>
    <w:rPr>
      <w:rFonts w:ascii="Verdana" w:eastAsia="Verdana" w:hAnsi="Angsana New" w:cs="仿宋_GB2312"/>
      <w:color w:val="auto"/>
    </w:rPr>
  </w:style>
  <w:style w:type="paragraph" w:customStyle="1" w:styleId="CM123">
    <w:name w:val="CM123"/>
    <w:basedOn w:val="Default"/>
    <w:next w:val="Default"/>
    <w:uiPriority w:val="99"/>
    <w:qFormat/>
    <w:pPr>
      <w:spacing w:line="593" w:lineRule="atLeast"/>
    </w:pPr>
    <w:rPr>
      <w:rFonts w:ascii="Verdana" w:eastAsia="Verdana" w:hAnsi="Angsana New" w:cs="仿宋_GB2312"/>
      <w:color w:val="auto"/>
    </w:rPr>
  </w:style>
  <w:style w:type="paragraph" w:customStyle="1" w:styleId="CM125">
    <w:name w:val="CM125"/>
    <w:basedOn w:val="Default"/>
    <w:next w:val="Default"/>
    <w:uiPriority w:val="99"/>
    <w:qFormat/>
    <w:pPr>
      <w:spacing w:line="298" w:lineRule="atLeast"/>
    </w:pPr>
    <w:rPr>
      <w:rFonts w:ascii="Verdana" w:eastAsia="Verdana" w:hAnsi="Angsana New" w:cs="仿宋_GB2312"/>
      <w:color w:val="auto"/>
    </w:rPr>
  </w:style>
  <w:style w:type="paragraph" w:customStyle="1" w:styleId="afffffa">
    <w:name w:val="中煤正文"/>
    <w:basedOn w:val="a1"/>
    <w:link w:val="Chard"/>
    <w:qFormat/>
    <w:pPr>
      <w:widowControl w:val="0"/>
      <w:adjustRightInd w:val="0"/>
      <w:snapToGrid w:val="0"/>
    </w:pPr>
    <w:rPr>
      <w:rFonts w:ascii="仿宋_GB2312" w:eastAsia="华文仿宋" w:hAnsi="仿宋_GB2312" w:cs="Times New Roman"/>
    </w:rPr>
  </w:style>
  <w:style w:type="paragraph" w:customStyle="1" w:styleId="-12">
    <w:name w:val="彩色底纹 - 着色 12"/>
    <w:hidden/>
    <w:uiPriority w:val="99"/>
    <w:qFormat/>
    <w:rPr>
      <w:rFonts w:ascii="仿宋_GB2312" w:eastAsia="Times New Roman Bold" w:hAnsi="仿宋_GB2312" w:cs="仿宋_GB2312"/>
    </w:rPr>
  </w:style>
  <w:style w:type="paragraph" w:customStyle="1" w:styleId="-120">
    <w:name w:val="彩色列表 - 着色 12"/>
    <w:basedOn w:val="a1"/>
    <w:uiPriority w:val="34"/>
    <w:qFormat/>
    <w:pPr>
      <w:widowControl w:val="0"/>
      <w:ind w:firstLine="420"/>
    </w:pPr>
    <w:rPr>
      <w:rFonts w:ascii="仿宋_GB2312" w:eastAsia="Times New Roman Bold" w:hAnsi="仿宋_GB2312" w:cs="仿宋_GB2312"/>
      <w:sz w:val="20"/>
      <w:szCs w:val="20"/>
    </w:rPr>
  </w:style>
  <w:style w:type="paragraph" w:customStyle="1" w:styleId="Char27">
    <w:name w:val="Char27"/>
    <w:basedOn w:val="a1"/>
    <w:qFormat/>
    <w:pPr>
      <w:spacing w:after="160" w:line="240" w:lineRule="exact"/>
    </w:pPr>
    <w:rPr>
      <w:rFonts w:ascii="Verdana" w:eastAsia="Times New Roman" w:hAnsi="Verdana" w:cs="Times New Roman"/>
      <w:sz w:val="20"/>
      <w:szCs w:val="20"/>
      <w:lang w:eastAsia="en-US"/>
    </w:rPr>
  </w:style>
  <w:style w:type="paragraph" w:customStyle="1" w:styleId="Char19">
    <w:name w:val="Char19"/>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Char1CharCharCharCharCharCharCharCharCharCharCharCharCharCharCharCharCharCharCharCharCharCharCharCharCharCharCharCharCharCharCharCharCharCharCharCharCharChar7">
    <w:name w:val="Char Char1 Char Char Char Char Char Char Char Char Char Char Char Char Char Char Char Char Char Char Char Char Char Char Char Char Char Char Char Char Char Char Char Char Char Char Char Char Char Char7"/>
    <w:basedOn w:val="a1"/>
    <w:qFormat/>
    <w:pPr>
      <w:spacing w:after="160" w:line="240" w:lineRule="exact"/>
    </w:pPr>
    <w:rPr>
      <w:rFonts w:ascii="Verdana" w:eastAsia="Times New Roman" w:hAnsi="Verdana" w:cs="Arial"/>
      <w:sz w:val="22"/>
      <w:szCs w:val="20"/>
      <w:lang w:eastAsia="en-US"/>
    </w:rPr>
  </w:style>
  <w:style w:type="paragraph" w:customStyle="1" w:styleId="CharChar100">
    <w:name w:val="Char Char10"/>
    <w:basedOn w:val="a1"/>
    <w:qFormat/>
    <w:pPr>
      <w:spacing w:after="160" w:line="240" w:lineRule="exact"/>
    </w:pPr>
    <w:rPr>
      <w:rFonts w:ascii="Verdana" w:eastAsia="Times New Roman" w:hAnsi="Verdana" w:cs="Arial"/>
      <w:sz w:val="22"/>
      <w:szCs w:val="20"/>
      <w:lang w:eastAsia="en-US"/>
    </w:rPr>
  </w:style>
  <w:style w:type="paragraph" w:customStyle="1" w:styleId="CharCharCharCharCharCharCharCharCharCharCharChar1CharCharCharCharCharCharCharCharCharCharCharCharCharCharCharCharCharCharCharCharCharCharCharCharCharCharCharChar7">
    <w:name w:val="Char Char Char Char Char Char Char Char Char Char Char Char1 Char Char Char Char Char Char Char Char Char Char Char Char Char Char Char Char Char Char Char Char Char Char Char Char Char Char Char Char7"/>
    <w:basedOn w:val="a1"/>
    <w:qFormat/>
    <w:pPr>
      <w:spacing w:after="160" w:line="240" w:lineRule="exact"/>
    </w:pPr>
    <w:rPr>
      <w:rFonts w:ascii="Verdana" w:eastAsia="Times New Roman" w:hAnsi="Verdana" w:cs="Arial"/>
      <w:sz w:val="22"/>
      <w:szCs w:val="20"/>
      <w:lang w:eastAsia="en-US"/>
    </w:rPr>
  </w:style>
  <w:style w:type="paragraph" w:customStyle="1" w:styleId="CharCharCharCharCharCharCharCharCharCharCharChar1CharCharCharCharCharCharCharCharCharCharCharCharCharCharCharCharCharCharCharCharCharCharCharCharCharCharCharCharCharCharCharChar7">
    <w:name w:val="Char Char Char Char Char Char Char Char Char Char Char Char1 Char Char Char Char Char Char Char Char Char Char Char Char Char Char Char Char Char Char Char Char Char Char Char Char Char Char Char Char Char Char Char Char7"/>
    <w:basedOn w:val="a1"/>
    <w:qFormat/>
    <w:pPr>
      <w:spacing w:after="160" w:line="240" w:lineRule="exact"/>
    </w:pPr>
    <w:rPr>
      <w:rFonts w:ascii="Verdana" w:eastAsia="Times New Roman" w:hAnsi="Verdana" w:cs="Arial"/>
      <w:sz w:val="22"/>
      <w:szCs w:val="20"/>
      <w:lang w:eastAsia="en-US"/>
    </w:rPr>
  </w:style>
  <w:style w:type="paragraph" w:customStyle="1" w:styleId="CharCharChar7">
    <w:name w:val="Char Char Char7"/>
    <w:basedOn w:val="a1"/>
    <w:qFormat/>
    <w:pPr>
      <w:spacing w:after="160" w:line="240" w:lineRule="exact"/>
    </w:pPr>
    <w:rPr>
      <w:rFonts w:ascii="Times New Roman" w:hAnsi="Times New Roman" w:cs="Arial"/>
      <w:sz w:val="22"/>
      <w:szCs w:val="20"/>
      <w:lang w:eastAsia="en-US"/>
    </w:rPr>
  </w:style>
  <w:style w:type="paragraph" w:customStyle="1" w:styleId="CharChar1CharCharCharCharCharCharCharCharCharCharCharCharCharCharCharCharCharCharCharCharCharCharCharCharCharCharCharCharCharCharCharCharCharChar7">
    <w:name w:val="Char Char1 Char Char Char Char Char Char Char Char Char Char Char Char Char Char Char Char Char Char Char Char Char Char Char Char Char Char Char Char Char Char Char Char Char Char7"/>
    <w:basedOn w:val="a1"/>
    <w:qFormat/>
    <w:pPr>
      <w:spacing w:after="160" w:line="240" w:lineRule="exact"/>
    </w:pPr>
    <w:rPr>
      <w:rFonts w:ascii="Verdana" w:eastAsia="Times New Roman" w:hAnsi="Verdana" w:cs="Arial"/>
      <w:sz w:val="22"/>
      <w:szCs w:val="20"/>
      <w:lang w:eastAsia="en-US"/>
    </w:rPr>
  </w:style>
  <w:style w:type="paragraph" w:customStyle="1" w:styleId="Char2CharCharCharCharCharCharCharChar7">
    <w:name w:val="Char2 Char Char Char Char Char Char Char Char7"/>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2CharCharChar7">
    <w:name w:val="Char2 Char Char Char7"/>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2CharCharCharCharCharCharCharCharCharCharChar5">
    <w:name w:val="Char2 Char Char Char Char Char Char Char Char Char Char Char5"/>
    <w:basedOn w:val="a1"/>
    <w:qFormat/>
    <w:pPr>
      <w:tabs>
        <w:tab w:val="right" w:pos="6000"/>
      </w:tabs>
      <w:spacing w:line="480" w:lineRule="auto"/>
    </w:pPr>
    <w:rPr>
      <w:rFonts w:ascii="Arial" w:eastAsia="楷体_GB2312" w:hAnsi="Arial" w:cs="Angsana New"/>
      <w:sz w:val="20"/>
      <w:szCs w:val="20"/>
    </w:rPr>
  </w:style>
  <w:style w:type="paragraph" w:customStyle="1" w:styleId="Char2CharCharCharCharCharCharCharCharCharCharCharCharCharChar5">
    <w:name w:val="Char2 Char Char Char Char Char Char Char Char Char Char Char Char Char Char5"/>
    <w:basedOn w:val="a1"/>
    <w:qFormat/>
    <w:pPr>
      <w:tabs>
        <w:tab w:val="right" w:pos="6000"/>
      </w:tabs>
      <w:spacing w:line="480" w:lineRule="auto"/>
    </w:pPr>
    <w:rPr>
      <w:rFonts w:ascii="Arial" w:eastAsia="楷体_GB2312" w:hAnsi="Arial" w:cs="Angsana New"/>
      <w:sz w:val="20"/>
      <w:szCs w:val="20"/>
    </w:rPr>
  </w:style>
  <w:style w:type="paragraph" w:customStyle="1" w:styleId="Char2CharCharCharCharCharCharCharCharChar1CharCharCharCharCharCharCharCharCharCharCharChar5">
    <w:name w:val="Char2 Char Char Char Char Char Char Char Char Char1 Char Char Char Char Char Char Char Char Char Char Char Char5"/>
    <w:basedOn w:val="a1"/>
    <w:qFormat/>
    <w:pPr>
      <w:spacing w:after="160" w:line="240" w:lineRule="exact"/>
    </w:pPr>
    <w:rPr>
      <w:rFonts w:ascii="Verdana" w:eastAsia="Times New Roman" w:hAnsi="Verdana" w:cs="Times New Roman"/>
      <w:sz w:val="20"/>
      <w:szCs w:val="20"/>
      <w:lang w:eastAsia="en-US"/>
    </w:rPr>
  </w:style>
  <w:style w:type="paragraph" w:customStyle="1" w:styleId="CharCharCharCharCharCharCharCharCharChar6">
    <w:name w:val="Char Char Char Char Char Char Char Char Char Char6"/>
    <w:basedOn w:val="a1"/>
    <w:qFormat/>
    <w:pPr>
      <w:widowControl w:val="0"/>
      <w:tabs>
        <w:tab w:val="left" w:pos="360"/>
      </w:tabs>
    </w:pPr>
    <w:rPr>
      <w:rFonts w:ascii="Times New Roman" w:hAnsi="Times New Roman" w:cs="Times New Roman"/>
      <w:kern w:val="2"/>
      <w:szCs w:val="30"/>
    </w:rPr>
  </w:style>
  <w:style w:type="paragraph" w:customStyle="1" w:styleId="CharCharCharChar7">
    <w:name w:val="Char Char Char Char7"/>
    <w:basedOn w:val="a1"/>
    <w:qFormat/>
    <w:rPr>
      <w:rFonts w:ascii="Arial" w:hAnsi="Arial" w:cs="Arial"/>
      <w:sz w:val="22"/>
      <w:szCs w:val="22"/>
      <w:lang w:val="en-AU"/>
    </w:rPr>
  </w:style>
  <w:style w:type="paragraph" w:customStyle="1" w:styleId="CharChar4CharChar4">
    <w:name w:val="Char Char4 Char Char4"/>
    <w:basedOn w:val="a1"/>
    <w:semiHidden/>
    <w:qFormat/>
    <w:pPr>
      <w:spacing w:after="160" w:line="240" w:lineRule="exact"/>
    </w:pPr>
    <w:rPr>
      <w:rFonts w:ascii="Verdana" w:hAnsi="Verdana" w:cs="CG Omega"/>
      <w:sz w:val="20"/>
      <w:szCs w:val="20"/>
      <w:lang w:eastAsia="en-US"/>
    </w:rPr>
  </w:style>
  <w:style w:type="paragraph" w:customStyle="1" w:styleId="3b">
    <w:name w:val="无间隔3"/>
    <w:link w:val="Chare"/>
    <w:qFormat/>
    <w:pPr>
      <w:widowControl w:val="0"/>
      <w:jc w:val="both"/>
    </w:pPr>
    <w:rPr>
      <w:kern w:val="2"/>
      <w:sz w:val="21"/>
      <w:szCs w:val="22"/>
    </w:rPr>
  </w:style>
  <w:style w:type="paragraph" w:customStyle="1" w:styleId="2f">
    <w:name w:val="普通(网站)2"/>
    <w:basedOn w:val="a1"/>
    <w:qFormat/>
    <w:pPr>
      <w:widowControl w:val="0"/>
    </w:pPr>
    <w:rPr>
      <w:rFonts w:ascii="Times New Roman" w:hAnsi="Times New Roman" w:cs="Times New Roman"/>
      <w:szCs w:val="20"/>
    </w:rPr>
  </w:style>
  <w:style w:type="paragraph" w:customStyle="1" w:styleId="92">
    <w:name w:val="9"/>
    <w:uiPriority w:val="99"/>
    <w:qFormat/>
    <w:pPr>
      <w:widowControl w:val="0"/>
      <w:jc w:val="both"/>
    </w:pPr>
    <w:rPr>
      <w:kern w:val="2"/>
      <w:sz w:val="21"/>
      <w:szCs w:val="24"/>
    </w:rPr>
  </w:style>
  <w:style w:type="paragraph" w:customStyle="1" w:styleId="afffffb">
    <w:name w:val="[無段落樣式]"/>
    <w:qFormat/>
    <w:pPr>
      <w:widowControl w:val="0"/>
      <w:autoSpaceDE w:val="0"/>
      <w:autoSpaceDN w:val="0"/>
      <w:adjustRightInd w:val="0"/>
      <w:spacing w:line="288" w:lineRule="auto"/>
      <w:jc w:val="both"/>
      <w:textAlignment w:val="center"/>
    </w:pPr>
    <w:rPr>
      <w:rFonts w:ascii="Adobe 明體 Std L" w:eastAsia="Adobe 明體 Std L" w:hAnsi="Times LT Std" w:cs="Adobe 明體 Std L"/>
      <w:color w:val="000000"/>
      <w:sz w:val="24"/>
      <w:szCs w:val="24"/>
      <w:lang w:val="zh-TW" w:eastAsia="zh-TW"/>
    </w:rPr>
  </w:style>
  <w:style w:type="paragraph" w:customStyle="1" w:styleId="50CTableText">
    <w:name w:val="50 C_Table Text"/>
    <w:basedOn w:val="a1"/>
    <w:uiPriority w:val="99"/>
    <w:qFormat/>
    <w:pPr>
      <w:widowControl w:val="0"/>
      <w:suppressAutoHyphens/>
      <w:autoSpaceDE w:val="0"/>
      <w:autoSpaceDN w:val="0"/>
      <w:adjustRightInd w:val="0"/>
      <w:spacing w:line="330" w:lineRule="atLeast"/>
      <w:textAlignment w:val="baseline"/>
    </w:pPr>
    <w:rPr>
      <w:rFonts w:ascii="ATC-*MHei-Light+Helvetica45Ligh" w:eastAsia="ATC-*MHei-Light+Helvetica45Ligh" w:hAnsi="Times LT Std" w:cs="ATC-*MHei-Light+Helvetica45Ligh"/>
      <w:color w:val="000000"/>
      <w:sz w:val="19"/>
      <w:szCs w:val="19"/>
      <w:lang w:val="zh-TW" w:eastAsia="zh-TW"/>
    </w:rPr>
  </w:style>
  <w:style w:type="paragraph" w:customStyle="1" w:styleId="991ptLine">
    <w:name w:val="99 1pt Line"/>
    <w:basedOn w:val="a1"/>
    <w:uiPriority w:val="99"/>
    <w:qFormat/>
    <w:pPr>
      <w:widowControl w:val="0"/>
      <w:pBdr>
        <w:top w:val="single" w:sz="4" w:space="0" w:color="000000"/>
      </w:pBdr>
      <w:suppressAutoHyphens/>
      <w:autoSpaceDE w:val="0"/>
      <w:autoSpaceDN w:val="0"/>
      <w:adjustRightInd w:val="0"/>
      <w:spacing w:line="2" w:lineRule="atLeast"/>
      <w:textAlignment w:val="baseline"/>
    </w:pPr>
    <w:rPr>
      <w:rFonts w:ascii="HelveticaNeueLT Std Lt" w:eastAsia="PMingLiU" w:hAnsi="HelveticaNeueLT Std Lt" w:cs="HelveticaNeueLT Std Lt"/>
      <w:outline/>
      <w:color w:val="000000"/>
      <w:sz w:val="2"/>
      <w:szCs w:val="2"/>
      <w:lang w:val="en-GB" w:eastAsia="zh-TW"/>
      <w14:textOutline w14:w="9525" w14:cap="flat" w14:cmpd="sng" w14:algn="ctr">
        <w14:solidFill>
          <w14:srgbClr w14:val="000000"/>
        </w14:solidFill>
        <w14:prstDash w14:val="solid"/>
        <w14:round/>
      </w14:textOutline>
      <w14:textFill>
        <w14:noFill/>
      </w14:textFill>
    </w:rPr>
  </w:style>
  <w:style w:type="paragraph" w:customStyle="1" w:styleId="TableBullet1">
    <w:name w:val="Table Bullet 1"/>
    <w:basedOn w:val="a1"/>
    <w:qFormat/>
    <w:pPr>
      <w:widowControl w:val="0"/>
      <w:tabs>
        <w:tab w:val="left" w:pos="227"/>
      </w:tabs>
      <w:ind w:left="227" w:hanging="227"/>
    </w:pPr>
    <w:rPr>
      <w:rFonts w:ascii="Times New Roman" w:hAnsi="Times New Roman" w:cs="Times New Roman"/>
      <w:kern w:val="2"/>
      <w:sz w:val="21"/>
    </w:rPr>
  </w:style>
  <w:style w:type="paragraph" w:customStyle="1" w:styleId="Level1">
    <w:name w:val="Level 1"/>
    <w:basedOn w:val="a1"/>
    <w:next w:val="a1"/>
    <w:qFormat/>
    <w:pPr>
      <w:keepNext/>
      <w:tabs>
        <w:tab w:val="left" w:pos="680"/>
      </w:tabs>
      <w:spacing w:before="280" w:after="140" w:line="290" w:lineRule="auto"/>
      <w:ind w:left="680" w:hanging="680"/>
      <w:outlineLvl w:val="0"/>
    </w:pPr>
    <w:rPr>
      <w:rFonts w:ascii="Arial" w:hAnsi="Arial" w:cs="Times New Roman"/>
      <w:b/>
      <w:kern w:val="20"/>
      <w:sz w:val="22"/>
      <w:lang w:val="en-GB" w:eastAsia="en-US"/>
    </w:rPr>
  </w:style>
  <w:style w:type="paragraph" w:customStyle="1" w:styleId="Level2">
    <w:name w:val="Level 2"/>
    <w:basedOn w:val="a1"/>
    <w:qFormat/>
    <w:pPr>
      <w:tabs>
        <w:tab w:val="left" w:pos="680"/>
      </w:tabs>
      <w:spacing w:after="140" w:line="290" w:lineRule="auto"/>
      <w:ind w:left="680" w:hanging="680"/>
      <w:outlineLvl w:val="1"/>
    </w:pPr>
    <w:rPr>
      <w:rFonts w:ascii="Arial" w:hAnsi="Arial" w:cs="Times New Roman"/>
      <w:kern w:val="20"/>
      <w:sz w:val="20"/>
      <w:lang w:val="en-GB" w:eastAsia="en-US"/>
    </w:rPr>
  </w:style>
  <w:style w:type="paragraph" w:customStyle="1" w:styleId="Level3">
    <w:name w:val="Level 3"/>
    <w:basedOn w:val="a1"/>
    <w:qFormat/>
    <w:pPr>
      <w:tabs>
        <w:tab w:val="left" w:pos="1361"/>
      </w:tabs>
      <w:spacing w:after="140" w:line="290" w:lineRule="auto"/>
      <w:ind w:left="1361" w:hanging="661"/>
      <w:outlineLvl w:val="2"/>
    </w:pPr>
    <w:rPr>
      <w:rFonts w:ascii="Arial" w:hAnsi="Arial" w:cs="Times New Roman"/>
      <w:kern w:val="20"/>
      <w:sz w:val="20"/>
      <w:lang w:val="en-GB" w:eastAsia="en-US"/>
    </w:rPr>
  </w:style>
  <w:style w:type="paragraph" w:customStyle="1" w:styleId="Level4">
    <w:name w:val="Level 4"/>
    <w:basedOn w:val="a1"/>
    <w:qFormat/>
    <w:pPr>
      <w:tabs>
        <w:tab w:val="left" w:pos="2041"/>
      </w:tabs>
      <w:spacing w:after="140" w:line="290" w:lineRule="auto"/>
      <w:ind w:left="2041" w:hanging="680"/>
      <w:outlineLvl w:val="3"/>
    </w:pPr>
    <w:rPr>
      <w:rFonts w:ascii="Arial" w:hAnsi="Arial" w:cs="Times New Roman"/>
      <w:kern w:val="20"/>
      <w:sz w:val="20"/>
      <w:lang w:val="en-GB" w:eastAsia="en-US"/>
    </w:rPr>
  </w:style>
  <w:style w:type="paragraph" w:customStyle="1" w:styleId="Level5">
    <w:name w:val="Level 5"/>
    <w:basedOn w:val="a1"/>
    <w:qFormat/>
    <w:pPr>
      <w:tabs>
        <w:tab w:val="left" w:pos="2608"/>
      </w:tabs>
      <w:spacing w:after="140" w:line="290" w:lineRule="auto"/>
      <w:ind w:left="2608" w:hanging="567"/>
      <w:outlineLvl w:val="4"/>
    </w:pPr>
    <w:rPr>
      <w:rFonts w:ascii="Arial" w:hAnsi="Arial" w:cs="Times New Roman"/>
      <w:kern w:val="20"/>
      <w:sz w:val="20"/>
      <w:lang w:val="en-GB" w:eastAsia="en-US"/>
    </w:rPr>
  </w:style>
  <w:style w:type="paragraph" w:customStyle="1" w:styleId="SchedApps">
    <w:name w:val="Sched/Apps"/>
    <w:basedOn w:val="a1"/>
    <w:next w:val="a1"/>
    <w:qFormat/>
    <w:pPr>
      <w:keepNext/>
      <w:pageBreakBefore/>
      <w:tabs>
        <w:tab w:val="left" w:pos="3288"/>
      </w:tabs>
      <w:spacing w:after="240" w:line="290" w:lineRule="auto"/>
      <w:ind w:left="3288" w:hanging="680"/>
      <w:jc w:val="center"/>
      <w:outlineLvl w:val="3"/>
    </w:pPr>
    <w:rPr>
      <w:rFonts w:ascii="Arial" w:hAnsi="Arial" w:cs="Times New Roman"/>
      <w:b/>
      <w:kern w:val="23"/>
      <w:sz w:val="23"/>
      <w:lang w:val="en-GB" w:eastAsia="en-US"/>
    </w:rPr>
  </w:style>
  <w:style w:type="paragraph" w:customStyle="1" w:styleId="Level7">
    <w:name w:val="Level 7"/>
    <w:basedOn w:val="a1"/>
    <w:qFormat/>
    <w:pPr>
      <w:tabs>
        <w:tab w:val="left" w:pos="3288"/>
      </w:tabs>
      <w:spacing w:after="140" w:line="290" w:lineRule="auto"/>
      <w:ind w:left="3288" w:hanging="680"/>
      <w:outlineLvl w:val="6"/>
    </w:pPr>
    <w:rPr>
      <w:rFonts w:ascii="Arial" w:hAnsi="Arial" w:cs="Times New Roman"/>
      <w:kern w:val="20"/>
      <w:sz w:val="20"/>
      <w:lang w:val="en-GB" w:eastAsia="en-US"/>
    </w:rPr>
  </w:style>
  <w:style w:type="paragraph" w:customStyle="1" w:styleId="Level8">
    <w:name w:val="Level 8"/>
    <w:basedOn w:val="a1"/>
    <w:qFormat/>
    <w:pPr>
      <w:tabs>
        <w:tab w:val="left" w:pos="3288"/>
      </w:tabs>
      <w:spacing w:after="140" w:line="290" w:lineRule="auto"/>
      <w:ind w:left="3288" w:hanging="680"/>
      <w:outlineLvl w:val="7"/>
    </w:pPr>
    <w:rPr>
      <w:rFonts w:ascii="Arial" w:hAnsi="Arial" w:cs="Times New Roman"/>
      <w:kern w:val="20"/>
      <w:sz w:val="20"/>
      <w:lang w:val="en-GB" w:eastAsia="en-US"/>
    </w:rPr>
  </w:style>
  <w:style w:type="paragraph" w:customStyle="1" w:styleId="Char1CharCharChar">
    <w:name w:val="Char1 Char Char Char"/>
    <w:basedOn w:val="a1"/>
    <w:qFormat/>
    <w:pPr>
      <w:spacing w:after="160" w:line="240" w:lineRule="exact"/>
    </w:pPr>
    <w:rPr>
      <w:rFonts w:ascii="Verdana" w:eastAsia="Times New Roman" w:hAnsi="Verdana" w:cs="Times New Roman"/>
      <w:sz w:val="20"/>
      <w:szCs w:val="20"/>
      <w:lang w:eastAsia="en-US"/>
    </w:rPr>
  </w:style>
  <w:style w:type="paragraph" w:customStyle="1" w:styleId="afffffc">
    <w:name w:val="君合二级标题"/>
    <w:basedOn w:val="2"/>
    <w:link w:val="Charf"/>
    <w:qFormat/>
    <w:pPr>
      <w:widowControl w:val="0"/>
      <w:tabs>
        <w:tab w:val="left" w:pos="567"/>
      </w:tabs>
      <w:spacing w:afterLines="50" w:line="300" w:lineRule="auto"/>
      <w:ind w:left="765" w:hanging="765"/>
    </w:pPr>
    <w:rPr>
      <w:rFonts w:hAnsi="宋体"/>
      <w:sz w:val="24"/>
      <w:szCs w:val="24"/>
    </w:rPr>
  </w:style>
  <w:style w:type="paragraph" w:customStyle="1" w:styleId="xl27">
    <w:name w:val="xl27"/>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9">
    <w:name w:val="xl29"/>
    <w:basedOn w:val="a1"/>
    <w:qFormat/>
    <w:pPr>
      <w:spacing w:before="100" w:beforeAutospacing="1" w:after="100" w:afterAutospacing="1"/>
      <w:textAlignment w:val="center"/>
    </w:pPr>
    <w:rPr>
      <w:rFonts w:ascii="Arial" w:hAnsi="Arial" w:cs="Arial"/>
      <w:sz w:val="18"/>
      <w:szCs w:val="18"/>
    </w:rPr>
  </w:style>
  <w:style w:type="paragraph" w:customStyle="1" w:styleId="xl30">
    <w:name w:val="xl30"/>
    <w:basedOn w:val="a1"/>
    <w:qFormat/>
    <w:pPr>
      <w:spacing w:before="100" w:beforeAutospacing="1" w:after="100" w:afterAutospacing="1"/>
      <w:textAlignment w:val="center"/>
    </w:pPr>
    <w:rPr>
      <w:sz w:val="18"/>
      <w:szCs w:val="18"/>
    </w:rPr>
  </w:style>
  <w:style w:type="paragraph" w:customStyle="1" w:styleId="xl31">
    <w:name w:val="xl31"/>
    <w:basedOn w:val="a1"/>
    <w:qFormat/>
    <w:pPr>
      <w:spacing w:before="100" w:beforeAutospacing="1" w:after="100" w:afterAutospacing="1"/>
      <w:jc w:val="center"/>
      <w:textAlignment w:val="center"/>
    </w:pPr>
    <w:rPr>
      <w:rFonts w:ascii="Arial" w:hAnsi="Arial" w:cs="Arial"/>
      <w:sz w:val="18"/>
      <w:szCs w:val="18"/>
    </w:rPr>
  </w:style>
  <w:style w:type="paragraph" w:customStyle="1" w:styleId="xl33">
    <w:name w:val="xl33"/>
    <w:basedOn w:val="a1"/>
    <w:qFormat/>
    <w:pPr>
      <w:spacing w:before="100" w:beforeAutospacing="1" w:after="100" w:afterAutospacing="1"/>
      <w:textAlignment w:val="center"/>
    </w:pPr>
    <w:rPr>
      <w:sz w:val="18"/>
      <w:szCs w:val="18"/>
    </w:rPr>
  </w:style>
  <w:style w:type="paragraph" w:customStyle="1" w:styleId="xl34">
    <w:name w:val="xl34"/>
    <w:basedOn w:val="a1"/>
    <w:qFormat/>
    <w:pPr>
      <w:spacing w:before="100" w:beforeAutospacing="1" w:after="100" w:afterAutospacing="1"/>
      <w:textAlignment w:val="center"/>
    </w:pPr>
    <w:rPr>
      <w:sz w:val="18"/>
      <w:szCs w:val="18"/>
    </w:rPr>
  </w:style>
  <w:style w:type="paragraph" w:customStyle="1" w:styleId="xl35">
    <w:name w:val="xl35"/>
    <w:basedOn w:val="a1"/>
    <w:qFormat/>
    <w:pPr>
      <w:spacing w:before="100" w:beforeAutospacing="1" w:after="100" w:afterAutospacing="1"/>
      <w:textAlignment w:val="center"/>
    </w:pPr>
    <w:rPr>
      <w:sz w:val="18"/>
      <w:szCs w:val="18"/>
    </w:rPr>
  </w:style>
  <w:style w:type="paragraph" w:customStyle="1" w:styleId="xl38">
    <w:name w:val="xl38"/>
    <w:basedOn w:val="a1"/>
    <w:qFormat/>
    <w:pPr>
      <w:spacing w:before="100" w:beforeAutospacing="1" w:after="100" w:afterAutospacing="1"/>
      <w:textAlignment w:val="center"/>
    </w:pPr>
    <w:rPr>
      <w:sz w:val="18"/>
      <w:szCs w:val="18"/>
    </w:rPr>
  </w:style>
  <w:style w:type="paragraph" w:customStyle="1" w:styleId="xl39">
    <w:name w:val="xl39"/>
    <w:basedOn w:val="a1"/>
    <w:qFormat/>
    <w:pPr>
      <w:spacing w:before="100" w:beforeAutospacing="1" w:after="100" w:afterAutospacing="1"/>
      <w:jc w:val="center"/>
      <w:textAlignment w:val="center"/>
    </w:pPr>
    <w:rPr>
      <w:sz w:val="18"/>
      <w:szCs w:val="18"/>
    </w:rPr>
  </w:style>
  <w:style w:type="paragraph" w:customStyle="1" w:styleId="xl41">
    <w:name w:val="xl41"/>
    <w:basedOn w:val="a1"/>
    <w:qFormat/>
    <w:pPr>
      <w:shd w:val="clear" w:color="auto" w:fill="FFFF00"/>
      <w:spacing w:before="100" w:beforeAutospacing="1" w:after="100" w:afterAutospacing="1"/>
      <w:textAlignment w:val="center"/>
    </w:pPr>
    <w:rPr>
      <w:rFonts w:ascii="Arial" w:hAnsi="Arial" w:cs="Arial"/>
      <w:sz w:val="18"/>
      <w:szCs w:val="18"/>
    </w:rPr>
  </w:style>
  <w:style w:type="paragraph" w:customStyle="1" w:styleId="xl42">
    <w:name w:val="xl42"/>
    <w:basedOn w:val="a1"/>
    <w:qFormat/>
    <w:pPr>
      <w:shd w:val="clear" w:color="auto" w:fill="FFFF00"/>
      <w:spacing w:before="100" w:beforeAutospacing="1" w:after="100" w:afterAutospacing="1"/>
      <w:textAlignment w:val="center"/>
    </w:pPr>
    <w:rPr>
      <w:sz w:val="18"/>
      <w:szCs w:val="18"/>
    </w:rPr>
  </w:style>
  <w:style w:type="paragraph" w:customStyle="1" w:styleId="xl44">
    <w:name w:val="xl44"/>
    <w:basedOn w:val="a1"/>
    <w:qFormat/>
    <w:pPr>
      <w:shd w:val="clear" w:color="auto" w:fill="FFFF00"/>
      <w:spacing w:before="100" w:beforeAutospacing="1" w:after="100" w:afterAutospacing="1"/>
      <w:textAlignment w:val="center"/>
    </w:pPr>
    <w:rPr>
      <w:sz w:val="18"/>
      <w:szCs w:val="18"/>
    </w:rPr>
  </w:style>
  <w:style w:type="paragraph" w:customStyle="1" w:styleId="BodyTextNumbered">
    <w:name w:val="Body Text Numbered"/>
    <w:basedOn w:val="af6"/>
    <w:qFormat/>
    <w:pPr>
      <w:tabs>
        <w:tab w:val="left" w:pos="1800"/>
      </w:tabs>
      <w:spacing w:after="240"/>
      <w:ind w:firstLine="1440"/>
    </w:pPr>
    <w:rPr>
      <w:rFonts w:ascii="Times New Roman" w:hAnsi="Times New Roman"/>
      <w:szCs w:val="20"/>
      <w:lang w:eastAsia="en-US"/>
    </w:rPr>
  </w:style>
  <w:style w:type="paragraph" w:customStyle="1" w:styleId="EndnoteTextMore">
    <w:name w:val="Endnote TextMore"/>
    <w:basedOn w:val="afd"/>
    <w:qFormat/>
    <w:pPr>
      <w:snapToGrid/>
      <w:spacing w:after="200"/>
      <w:ind w:left="720"/>
    </w:pPr>
    <w:rPr>
      <w:rFonts w:ascii="Times New Roman" w:hAnsi="Times New Roman"/>
      <w:sz w:val="20"/>
      <w:szCs w:val="20"/>
      <w:lang w:eastAsia="en-US"/>
    </w:rPr>
  </w:style>
  <w:style w:type="paragraph" w:customStyle="1" w:styleId="FootnoteTextMore">
    <w:name w:val="Footnote TextMore"/>
    <w:basedOn w:val="aff6"/>
    <w:qFormat/>
    <w:pPr>
      <w:snapToGrid/>
      <w:spacing w:before="200"/>
      <w:ind w:left="360"/>
    </w:pPr>
    <w:rPr>
      <w:rFonts w:ascii="Times New Roman" w:hAnsi="Times New Roman"/>
      <w:sz w:val="20"/>
      <w:szCs w:val="20"/>
      <w:lang w:eastAsia="en-US"/>
    </w:rPr>
  </w:style>
  <w:style w:type="paragraph" w:customStyle="1" w:styleId="CG-SingleSp1">
    <w:name w:val="CG-Single Sp 1"/>
    <w:basedOn w:val="a1"/>
    <w:qFormat/>
    <w:pPr>
      <w:autoSpaceDE w:val="0"/>
      <w:autoSpaceDN w:val="0"/>
      <w:adjustRightInd w:val="0"/>
      <w:spacing w:after="240"/>
      <w:ind w:firstLine="1440"/>
    </w:pPr>
    <w:rPr>
      <w:rFonts w:ascii="Times New Roman" w:eastAsia="PMingLiU" w:hAnsi="Times New Roman" w:cs="Times New Roman"/>
    </w:rPr>
  </w:style>
  <w:style w:type="paragraph" w:customStyle="1" w:styleId="A10">
    <w:name w:val="A1"/>
    <w:next w:val="a1"/>
    <w:qFormat/>
    <w:pPr>
      <w:widowControl w:val="0"/>
      <w:tabs>
        <w:tab w:val="left" w:pos="360"/>
      </w:tabs>
      <w:spacing w:after="240"/>
      <w:jc w:val="center"/>
      <w:outlineLvl w:val="0"/>
    </w:pPr>
    <w:rPr>
      <w:b/>
      <w:bCs/>
      <w:caps/>
      <w:sz w:val="24"/>
      <w:szCs w:val="24"/>
      <w:lang w:eastAsia="en-US"/>
    </w:rPr>
  </w:style>
  <w:style w:type="paragraph" w:customStyle="1" w:styleId="A20">
    <w:name w:val="A2"/>
    <w:next w:val="a1"/>
    <w:link w:val="A2Char"/>
    <w:qFormat/>
    <w:pPr>
      <w:widowControl w:val="0"/>
      <w:spacing w:after="240"/>
      <w:ind w:right="240" w:firstLineChars="600" w:firstLine="1440"/>
      <w:jc w:val="both"/>
    </w:pPr>
    <w:rPr>
      <w:rFonts w:eastAsia="楷体_GB2312"/>
      <w:bCs/>
      <w:sz w:val="24"/>
      <w:szCs w:val="24"/>
    </w:rPr>
  </w:style>
  <w:style w:type="paragraph" w:customStyle="1" w:styleId="A30">
    <w:name w:val="A3"/>
    <w:next w:val="a1"/>
    <w:qFormat/>
    <w:pPr>
      <w:widowControl w:val="0"/>
      <w:tabs>
        <w:tab w:val="left" w:pos="0"/>
        <w:tab w:val="left" w:pos="2127"/>
      </w:tabs>
      <w:spacing w:after="240"/>
      <w:ind w:firstLine="1440"/>
      <w:outlineLvl w:val="2"/>
    </w:pPr>
    <w:rPr>
      <w:rFonts w:eastAsia="楷体_GB2312"/>
      <w:sz w:val="24"/>
      <w:szCs w:val="24"/>
    </w:rPr>
  </w:style>
  <w:style w:type="paragraph" w:customStyle="1" w:styleId="A40">
    <w:name w:val="A4"/>
    <w:next w:val="a1"/>
    <w:qFormat/>
    <w:pPr>
      <w:widowControl w:val="0"/>
      <w:tabs>
        <w:tab w:val="left" w:pos="2007"/>
      </w:tabs>
      <w:spacing w:after="240"/>
      <w:ind w:left="180" w:firstLine="1260"/>
    </w:pPr>
    <w:rPr>
      <w:rFonts w:ascii="楷体_GB2312" w:eastAsia="楷体_GB2312" w:hAnsi="楷体" w:cs="楷体_GB2312"/>
      <w:bCs/>
      <w:sz w:val="24"/>
      <w:szCs w:val="24"/>
    </w:rPr>
  </w:style>
  <w:style w:type="paragraph" w:customStyle="1" w:styleId="DPWBullet1">
    <w:name w:val="DPW Bullet1"/>
    <w:basedOn w:val="a1"/>
    <w:qFormat/>
    <w:pPr>
      <w:tabs>
        <w:tab w:val="left" w:pos="1260"/>
      </w:tabs>
      <w:spacing w:after="240"/>
      <w:ind w:left="1260" w:hanging="720"/>
    </w:pPr>
    <w:rPr>
      <w:rFonts w:ascii="Times New Roman" w:hAnsi="Times New Roman" w:cs="Times New Roman"/>
    </w:rPr>
  </w:style>
  <w:style w:type="paragraph" w:customStyle="1" w:styleId="CG-Sig">
    <w:name w:val="CG-Sig"/>
    <w:basedOn w:val="a1"/>
    <w:qFormat/>
    <w:pPr>
      <w:keepLines/>
      <w:tabs>
        <w:tab w:val="left" w:pos="5400"/>
        <w:tab w:val="left" w:pos="8640"/>
      </w:tabs>
      <w:spacing w:after="480"/>
      <w:ind w:left="5400" w:hanging="360"/>
    </w:pPr>
    <w:rPr>
      <w:rFonts w:ascii="Times New Roman" w:hAnsi="Times New Roman" w:cs="Times New Roman"/>
      <w:szCs w:val="20"/>
      <w:lang w:eastAsia="en-US"/>
    </w:rPr>
  </w:style>
  <w:style w:type="paragraph" w:customStyle="1" w:styleId="CG-NumberL">
    <w:name w:val="CG-Number L"/>
    <w:basedOn w:val="a1"/>
    <w:qFormat/>
    <w:pPr>
      <w:tabs>
        <w:tab w:val="left" w:pos="360"/>
      </w:tabs>
      <w:ind w:left="1440" w:hanging="720"/>
    </w:pPr>
    <w:rPr>
      <w:rFonts w:ascii="Times New Roman" w:hAnsi="Times New Roman" w:cs="Times New Roman"/>
      <w:szCs w:val="20"/>
      <w:lang w:eastAsia="en-US"/>
    </w:rPr>
  </w:style>
  <w:style w:type="paragraph" w:customStyle="1" w:styleId="B1">
    <w:name w:val="B1"/>
    <w:next w:val="a1"/>
    <w:qFormat/>
    <w:pPr>
      <w:widowControl w:val="0"/>
      <w:spacing w:before="120" w:after="120"/>
      <w:jc w:val="center"/>
      <w:outlineLvl w:val="0"/>
    </w:pPr>
    <w:rPr>
      <w:b/>
      <w:kern w:val="2"/>
      <w:sz w:val="24"/>
      <w:szCs w:val="24"/>
    </w:rPr>
  </w:style>
  <w:style w:type="paragraph" w:customStyle="1" w:styleId="B2">
    <w:name w:val="B2"/>
    <w:qFormat/>
    <w:pPr>
      <w:widowControl w:val="0"/>
      <w:tabs>
        <w:tab w:val="left" w:pos="851"/>
      </w:tabs>
      <w:ind w:left="851" w:hanging="851"/>
      <w:outlineLvl w:val="1"/>
    </w:pPr>
    <w:rPr>
      <w:kern w:val="2"/>
      <w:sz w:val="24"/>
      <w:szCs w:val="24"/>
    </w:rPr>
  </w:style>
  <w:style w:type="paragraph" w:customStyle="1" w:styleId="B3">
    <w:name w:val="B3"/>
    <w:next w:val="a1"/>
    <w:qFormat/>
    <w:pPr>
      <w:widowControl w:val="0"/>
      <w:tabs>
        <w:tab w:val="left" w:pos="600"/>
        <w:tab w:val="left" w:pos="2000"/>
        <w:tab w:val="left" w:pos="2167"/>
      </w:tabs>
      <w:spacing w:before="120" w:after="120"/>
      <w:ind w:left="2167" w:firstLine="1400"/>
      <w:jc w:val="both"/>
      <w:outlineLvl w:val="2"/>
    </w:pPr>
    <w:rPr>
      <w:rFonts w:hAnsi="宋体"/>
      <w:bCs/>
      <w:kern w:val="2"/>
      <w:sz w:val="24"/>
      <w:szCs w:val="24"/>
    </w:rPr>
  </w:style>
  <w:style w:type="paragraph" w:customStyle="1" w:styleId="B4">
    <w:name w:val="B4"/>
    <w:next w:val="a1"/>
    <w:qFormat/>
    <w:pPr>
      <w:widowControl w:val="0"/>
      <w:tabs>
        <w:tab w:val="left" w:pos="2600"/>
        <w:tab w:val="left" w:pos="2700"/>
      </w:tabs>
      <w:spacing w:before="120" w:after="120"/>
      <w:ind w:firstLineChars="750" w:firstLine="1800"/>
      <w:outlineLvl w:val="3"/>
    </w:pPr>
    <w:rPr>
      <w:kern w:val="2"/>
      <w:sz w:val="24"/>
      <w:szCs w:val="24"/>
    </w:rPr>
  </w:style>
  <w:style w:type="paragraph" w:customStyle="1" w:styleId="1fc">
    <w:name w:val="脚注文本1"/>
    <w:basedOn w:val="a1"/>
    <w:hidden/>
    <w:qFormat/>
    <w:pPr>
      <w:widowControl w:val="0"/>
      <w:autoSpaceDE w:val="0"/>
      <w:autoSpaceDN w:val="0"/>
      <w:adjustRightInd w:val="0"/>
    </w:pPr>
    <w:rPr>
      <w:rFonts w:ascii="Times New Roman" w:hAnsi="Times New Roman" w:cs="Times New Roman"/>
      <w:kern w:val="2"/>
      <w:sz w:val="18"/>
      <w:szCs w:val="18"/>
    </w:rPr>
  </w:style>
  <w:style w:type="paragraph" w:customStyle="1" w:styleId="1fd">
    <w:name w:val="访问过的超链接1"/>
    <w:uiPriority w:val="99"/>
    <w:qFormat/>
    <w:pPr>
      <w:widowControl w:val="0"/>
      <w:jc w:val="both"/>
    </w:pPr>
    <w:rPr>
      <w:rFonts w:ascii="仿宋_GB2312" w:eastAsia="华文仿宋" w:hAnsi="仿宋_GB2312" w:cs="仿宋_GB2312"/>
      <w:kern w:val="2"/>
      <w:sz w:val="21"/>
      <w:szCs w:val="24"/>
    </w:rPr>
  </w:style>
  <w:style w:type="paragraph" w:customStyle="1" w:styleId="313">
    <w:name w:val="列出段落31"/>
    <w:basedOn w:val="a1"/>
    <w:qFormat/>
    <w:pPr>
      <w:widowControl w:val="0"/>
      <w:spacing w:line="300" w:lineRule="exact"/>
      <w:ind w:left="720"/>
      <w:contextualSpacing/>
    </w:pPr>
    <w:rPr>
      <w:rFonts w:hAnsi="Arial" w:cs="Times New Roman"/>
      <w:color w:val="000000"/>
      <w:kern w:val="2"/>
      <w:szCs w:val="20"/>
    </w:rPr>
  </w:style>
  <w:style w:type="paragraph" w:customStyle="1" w:styleId="213">
    <w:name w:val="普通(网站)21"/>
    <w:basedOn w:val="a1"/>
    <w:qFormat/>
    <w:pPr>
      <w:widowControl w:val="0"/>
    </w:pPr>
    <w:rPr>
      <w:rFonts w:ascii="Times New Roman" w:hAnsi="Times New Roman" w:cs="Times New Roman"/>
      <w:szCs w:val="20"/>
    </w:rPr>
  </w:style>
  <w:style w:type="paragraph" w:customStyle="1" w:styleId="Char24">
    <w:name w:val="Char24"/>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16">
    <w:name w:val="Char16"/>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Char1CharCharCharCharCharCharCharCharCharCharCharCharCharCharCharCharCharCharCharCharCharCharCharCharCharCharCharCharCharCharCharCharCharCharCharCharCharChar4">
    <w:name w:val="Char Char1 Char Char Char Char Char Char Char Char Char Char Char Char Char Char Char Char Char Char Char Char Char Char Char Char Char Char Char Char Char Char Char Char Char Char Char Char Char Char4"/>
    <w:basedOn w:val="a1"/>
    <w:semiHidden/>
    <w:qFormat/>
    <w:pPr>
      <w:spacing w:after="160" w:line="240" w:lineRule="exact"/>
    </w:pPr>
    <w:rPr>
      <w:rFonts w:ascii="Verdana" w:eastAsia="Times New Roman" w:hAnsi="Verdana" w:cs="Arial"/>
      <w:sz w:val="22"/>
      <w:szCs w:val="20"/>
      <w:lang w:eastAsia="en-US"/>
    </w:rPr>
  </w:style>
  <w:style w:type="paragraph" w:customStyle="1" w:styleId="CharChar50">
    <w:name w:val="Char Char5"/>
    <w:basedOn w:val="a1"/>
    <w:qFormat/>
    <w:pPr>
      <w:spacing w:after="160" w:line="240" w:lineRule="exact"/>
    </w:pPr>
    <w:rPr>
      <w:rFonts w:ascii="Verdana" w:eastAsia="Times New Roman" w:hAnsi="Verdana" w:cs="Arial"/>
      <w:sz w:val="22"/>
      <w:szCs w:val="20"/>
      <w:lang w:eastAsia="en-US"/>
    </w:rPr>
  </w:style>
  <w:style w:type="paragraph" w:customStyle="1" w:styleId="CharCharCharCharCharCharCharCharCharCharCharChar1CharCharCharCharCharCharCharCharCharCharCharCharCharCharCharCharCharCharCharCharCharCharCharCharCharCharCharChar4">
    <w:name w:val="Char Char Char Char Char Char Char Char Char Char Char Char1 Char Char Char Char Char Char Char Char Char Char Char Char Char Char Char Char Char Char Char Char Char Char Char Char Char Char Char Char4"/>
    <w:basedOn w:val="a1"/>
    <w:qFormat/>
    <w:pPr>
      <w:spacing w:after="160" w:line="240" w:lineRule="exact"/>
    </w:pPr>
    <w:rPr>
      <w:rFonts w:ascii="Verdana" w:eastAsia="Times New Roman" w:hAnsi="Verdana" w:cs="Arial"/>
      <w:sz w:val="22"/>
      <w:szCs w:val="20"/>
      <w:lang w:eastAsia="en-US"/>
    </w:rPr>
  </w:style>
  <w:style w:type="paragraph" w:customStyle="1" w:styleId="CharCharCharCharCharCharCharCharCharCharCharChar1CharCharCharCharCharCharCharCharCharCharCharCharCharCharCharCharCharCharCharCharCharCharCharCharCharCharCharCharCharCharCharChar4">
    <w:name w:val="Char Char Char Char Char Char Char Char Char Char Char Char1 Char Char Char Char Char Char Char Char Char Char Char Char Char Char Char Char Char Char Char Char Char Char Char Char Char Char Char Char Char Char Char Char4"/>
    <w:basedOn w:val="a1"/>
    <w:qFormat/>
    <w:pPr>
      <w:spacing w:after="160" w:line="240" w:lineRule="exact"/>
    </w:pPr>
    <w:rPr>
      <w:rFonts w:ascii="Verdana" w:eastAsia="Times New Roman" w:hAnsi="Verdana" w:cs="Arial"/>
      <w:sz w:val="22"/>
      <w:szCs w:val="20"/>
      <w:lang w:eastAsia="en-US"/>
    </w:rPr>
  </w:style>
  <w:style w:type="paragraph" w:customStyle="1" w:styleId="CharCharChar4">
    <w:name w:val="Char Char Char4"/>
    <w:basedOn w:val="a1"/>
    <w:qFormat/>
    <w:pPr>
      <w:spacing w:after="160" w:line="240" w:lineRule="exact"/>
    </w:pPr>
    <w:rPr>
      <w:rFonts w:ascii="Times New Roman" w:hAnsi="Times New Roman" w:cs="Arial"/>
      <w:sz w:val="22"/>
      <w:szCs w:val="20"/>
      <w:lang w:eastAsia="en-US"/>
    </w:rPr>
  </w:style>
  <w:style w:type="paragraph" w:customStyle="1" w:styleId="CharChar1CharCharCharCharCharCharCharCharCharCharCharCharCharCharCharCharCharCharCharCharCharCharCharCharCharCharCharCharCharCharCharCharCharChar4">
    <w:name w:val="Char Char1 Char Char Char Char Char Char Char Char Char Char Char Char Char Char Char Char Char Char Char Char Char Char Char Char Char Char Char Char Char Char Char Char Char Char4"/>
    <w:basedOn w:val="a1"/>
    <w:qFormat/>
    <w:pPr>
      <w:spacing w:after="160" w:line="240" w:lineRule="exact"/>
    </w:pPr>
    <w:rPr>
      <w:rFonts w:ascii="Verdana" w:eastAsia="Times New Roman" w:hAnsi="Verdana" w:cs="Arial"/>
      <w:sz w:val="22"/>
      <w:szCs w:val="20"/>
      <w:lang w:eastAsia="en-US"/>
    </w:rPr>
  </w:style>
  <w:style w:type="paragraph" w:customStyle="1" w:styleId="Char2CharCharCharCharCharCharCharChar4">
    <w:name w:val="Char2 Char Char Char Char Char Char Char Char4"/>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2CharCharChar4">
    <w:name w:val="Char2 Char Char Char4"/>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2CharCharCharCharCharCharCharCharCharCharChar2">
    <w:name w:val="Char2 Char Char Char Char Char Char Char Char Char Char Char2"/>
    <w:basedOn w:val="a1"/>
    <w:qFormat/>
    <w:pPr>
      <w:tabs>
        <w:tab w:val="right" w:pos="6000"/>
      </w:tabs>
      <w:spacing w:line="480" w:lineRule="auto"/>
    </w:pPr>
    <w:rPr>
      <w:rFonts w:ascii="Arial" w:eastAsia="楷体_GB2312" w:hAnsi="Arial" w:cs="Angsana New"/>
      <w:sz w:val="20"/>
      <w:szCs w:val="20"/>
    </w:rPr>
  </w:style>
  <w:style w:type="paragraph" w:customStyle="1" w:styleId="Char2CharCharCharCharCharCharCharCharCharCharCharCharCharChar2">
    <w:name w:val="Char2 Char Char Char Char Char Char Char Char Char Char Char Char Char Char2"/>
    <w:basedOn w:val="a1"/>
    <w:qFormat/>
    <w:pPr>
      <w:tabs>
        <w:tab w:val="right" w:pos="6000"/>
      </w:tabs>
      <w:spacing w:line="480" w:lineRule="auto"/>
    </w:pPr>
    <w:rPr>
      <w:rFonts w:ascii="Arial" w:eastAsia="楷体_GB2312" w:hAnsi="Arial" w:cs="Angsana New"/>
      <w:sz w:val="20"/>
      <w:szCs w:val="20"/>
    </w:rPr>
  </w:style>
  <w:style w:type="paragraph" w:customStyle="1" w:styleId="Char2CharCharCharCharCharCharCharCharChar1CharCharCharCharCharCharCharCharCharCharCharChar2">
    <w:name w:val="Char2 Char Char Char Char Char Char Char Char Char1 Char Char Char Char Char Char Char Char Char Char Char Char2"/>
    <w:basedOn w:val="a1"/>
    <w:qFormat/>
    <w:pPr>
      <w:spacing w:after="160" w:line="240" w:lineRule="exact"/>
    </w:pPr>
    <w:rPr>
      <w:rFonts w:ascii="Verdana" w:eastAsia="Times New Roman" w:hAnsi="Verdana" w:cs="Times New Roman"/>
      <w:sz w:val="20"/>
      <w:szCs w:val="20"/>
      <w:lang w:eastAsia="en-US"/>
    </w:rPr>
  </w:style>
  <w:style w:type="paragraph" w:customStyle="1" w:styleId="CharCharCharCharCharCharCharCharCharChar3">
    <w:name w:val="Char Char Char Char Char Char Char Char Char Char3"/>
    <w:basedOn w:val="a1"/>
    <w:qFormat/>
    <w:pPr>
      <w:widowControl w:val="0"/>
      <w:tabs>
        <w:tab w:val="left" w:pos="360"/>
      </w:tabs>
    </w:pPr>
    <w:rPr>
      <w:rFonts w:ascii="Times New Roman" w:hAnsi="Times New Roman" w:cs="Times New Roman"/>
      <w:kern w:val="2"/>
      <w:szCs w:val="30"/>
    </w:rPr>
  </w:style>
  <w:style w:type="paragraph" w:customStyle="1" w:styleId="CharCharCharChar4">
    <w:name w:val="Char Char Char Char4"/>
    <w:basedOn w:val="a1"/>
    <w:qFormat/>
    <w:rPr>
      <w:rFonts w:ascii="Arial" w:hAnsi="Arial" w:cs="Arial"/>
      <w:sz w:val="22"/>
      <w:szCs w:val="22"/>
      <w:lang w:val="en-AU"/>
    </w:rPr>
  </w:style>
  <w:style w:type="paragraph" w:customStyle="1" w:styleId="CharChar4CharChar1">
    <w:name w:val="Char Char4 Char Char1"/>
    <w:basedOn w:val="a1"/>
    <w:semiHidden/>
    <w:qFormat/>
    <w:pPr>
      <w:spacing w:after="160" w:line="240" w:lineRule="exact"/>
    </w:pPr>
    <w:rPr>
      <w:rFonts w:ascii="Verdana" w:hAnsi="Verdana" w:cs="CG Omega"/>
      <w:sz w:val="20"/>
      <w:szCs w:val="20"/>
      <w:lang w:eastAsia="en-US"/>
    </w:rPr>
  </w:style>
  <w:style w:type="paragraph" w:customStyle="1" w:styleId="48">
    <w:name w:val="列出段落4"/>
    <w:basedOn w:val="a1"/>
    <w:qFormat/>
    <w:pPr>
      <w:widowControl w:val="0"/>
      <w:spacing w:line="300" w:lineRule="exact"/>
      <w:ind w:left="720"/>
      <w:contextualSpacing/>
    </w:pPr>
    <w:rPr>
      <w:rFonts w:hAnsi="Arial" w:cs="Times New Roman"/>
      <w:color w:val="000000"/>
      <w:kern w:val="2"/>
      <w:szCs w:val="20"/>
    </w:rPr>
  </w:style>
  <w:style w:type="paragraph" w:customStyle="1" w:styleId="3c">
    <w:name w:val="普通(网站)3"/>
    <w:basedOn w:val="a1"/>
    <w:qFormat/>
    <w:pPr>
      <w:widowControl w:val="0"/>
    </w:pPr>
    <w:rPr>
      <w:rFonts w:ascii="Times New Roman" w:hAnsi="Times New Roman" w:cs="Times New Roman"/>
      <w:szCs w:val="20"/>
    </w:rPr>
  </w:style>
  <w:style w:type="paragraph" w:customStyle="1" w:styleId="CM4">
    <w:name w:val="CM4"/>
    <w:basedOn w:val="Default"/>
    <w:next w:val="Default"/>
    <w:uiPriority w:val="99"/>
    <w:qFormat/>
    <w:pPr>
      <w:spacing w:line="603" w:lineRule="atLeast"/>
    </w:pPr>
    <w:rPr>
      <w:rFonts w:ascii="HiddenHorzOCl" w:eastAsia="HiddenHorzOCl" w:hAnsi="Calibri"/>
      <w:color w:val="auto"/>
    </w:rPr>
  </w:style>
  <w:style w:type="paragraph" w:customStyle="1" w:styleId="CM5">
    <w:name w:val="CM5"/>
    <w:basedOn w:val="Default"/>
    <w:next w:val="Default"/>
    <w:uiPriority w:val="99"/>
    <w:qFormat/>
    <w:pPr>
      <w:spacing w:line="603" w:lineRule="atLeast"/>
    </w:pPr>
    <w:rPr>
      <w:rFonts w:ascii="HiddenHorzOCl" w:eastAsia="HiddenHorzOCl" w:hAnsi="Calibri"/>
      <w:color w:val="auto"/>
    </w:rPr>
  </w:style>
  <w:style w:type="paragraph" w:customStyle="1" w:styleId="56">
    <w:name w:val="列出段落5"/>
    <w:basedOn w:val="a1"/>
    <w:qFormat/>
    <w:pPr>
      <w:widowControl w:val="0"/>
      <w:spacing w:line="300" w:lineRule="exact"/>
      <w:ind w:left="720"/>
      <w:contextualSpacing/>
    </w:pPr>
    <w:rPr>
      <w:rFonts w:hAnsi="Arial" w:cs="Times New Roman"/>
      <w:color w:val="000000"/>
      <w:kern w:val="2"/>
      <w:szCs w:val="20"/>
    </w:rPr>
  </w:style>
  <w:style w:type="paragraph" w:customStyle="1" w:styleId="49">
    <w:name w:val="普通(网站)4"/>
    <w:basedOn w:val="a1"/>
    <w:qFormat/>
    <w:pPr>
      <w:widowControl w:val="0"/>
    </w:pPr>
    <w:rPr>
      <w:rFonts w:ascii="Times New Roman" w:hAnsi="Times New Roman" w:cs="Times New Roman"/>
      <w:szCs w:val="20"/>
    </w:rPr>
  </w:style>
  <w:style w:type="paragraph" w:customStyle="1" w:styleId="-13">
    <w:name w:val="彩色列表 - 着色 13"/>
    <w:basedOn w:val="a1"/>
    <w:uiPriority w:val="34"/>
    <w:qFormat/>
    <w:pPr>
      <w:widowControl w:val="0"/>
      <w:ind w:firstLine="420"/>
    </w:pPr>
    <w:rPr>
      <w:rFonts w:ascii="仿宋_GB2312" w:eastAsia="Times New Roman Bold" w:hAnsi="仿宋_GB2312" w:cs="仿宋_GB2312"/>
      <w:sz w:val="20"/>
      <w:szCs w:val="20"/>
    </w:rPr>
  </w:style>
  <w:style w:type="paragraph" w:customStyle="1" w:styleId="Char26">
    <w:name w:val="Char26"/>
    <w:basedOn w:val="a1"/>
    <w:qFormat/>
    <w:pPr>
      <w:spacing w:after="160" w:line="240" w:lineRule="exact"/>
    </w:pPr>
    <w:rPr>
      <w:rFonts w:ascii="Verdana" w:eastAsia="Times New Roman" w:hAnsi="Verdana" w:cs="Times New Roman"/>
      <w:sz w:val="20"/>
      <w:szCs w:val="20"/>
      <w:lang w:eastAsia="en-US"/>
    </w:rPr>
  </w:style>
  <w:style w:type="paragraph" w:customStyle="1" w:styleId="Char18">
    <w:name w:val="Char18"/>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Char1CharCharCharCharCharCharCharCharCharCharCharCharCharCharCharCharCharCharCharCharCharCharCharCharCharCharCharCharCharCharCharCharCharCharCharCharCharChar6">
    <w:name w:val="Char Char1 Char Char Char Char Char Char Char Char Char Char Char Char Char Char Char Char Char Char Char Char Char Char Char Char Char Char Char Char Char Char Char Char Char Char Char Char Char Char6"/>
    <w:basedOn w:val="a1"/>
    <w:qFormat/>
    <w:pPr>
      <w:spacing w:after="160" w:line="240" w:lineRule="exact"/>
    </w:pPr>
    <w:rPr>
      <w:rFonts w:ascii="Verdana" w:eastAsia="Times New Roman" w:hAnsi="Verdana" w:cs="Arial"/>
      <w:sz w:val="22"/>
      <w:szCs w:val="20"/>
      <w:lang w:eastAsia="en-US"/>
    </w:rPr>
  </w:style>
  <w:style w:type="paragraph" w:customStyle="1" w:styleId="CharChar9">
    <w:name w:val="Char Char9"/>
    <w:basedOn w:val="a1"/>
    <w:qFormat/>
    <w:pPr>
      <w:spacing w:after="160" w:line="240" w:lineRule="exact"/>
    </w:pPr>
    <w:rPr>
      <w:rFonts w:ascii="Verdana" w:eastAsia="Times New Roman" w:hAnsi="Verdana" w:cs="Arial"/>
      <w:sz w:val="22"/>
      <w:szCs w:val="20"/>
      <w:lang w:eastAsia="en-US"/>
    </w:rPr>
  </w:style>
  <w:style w:type="paragraph" w:customStyle="1" w:styleId="CharCharCharCharCharCharCharCharCharCharCharChar1CharCharCharCharCharCharCharCharCharCharCharCharCharCharCharCharCharCharCharCharCharCharCharCharCharCharCharChar6">
    <w:name w:val="Char Char Char Char Char Char Char Char Char Char Char Char1 Char Char Char Char Char Char Char Char Char Char Char Char Char Char Char Char Char Char Char Char Char Char Char Char Char Char Char Char6"/>
    <w:basedOn w:val="a1"/>
    <w:qFormat/>
    <w:pPr>
      <w:spacing w:after="160" w:line="240" w:lineRule="exact"/>
    </w:pPr>
    <w:rPr>
      <w:rFonts w:ascii="Verdana" w:eastAsia="Times New Roman" w:hAnsi="Verdana" w:cs="Arial"/>
      <w:sz w:val="22"/>
      <w:szCs w:val="20"/>
      <w:lang w:eastAsia="en-US"/>
    </w:rPr>
  </w:style>
  <w:style w:type="paragraph" w:customStyle="1" w:styleId="CharCharCharCharCharCharCharCharCharCharCharChar1CharCharCharCharCharCharCharCharCharCharCharCharCharCharCharCharCharCharCharCharCharCharCharCharCharCharCharCharCharCharCharChar6">
    <w:name w:val="Char Char Char Char Char Char Char Char Char Char Char Char1 Char Char Char Char Char Char Char Char Char Char Char Char Char Char Char Char Char Char Char Char Char Char Char Char Char Char Char Char Char Char Char Char6"/>
    <w:basedOn w:val="a1"/>
    <w:qFormat/>
    <w:pPr>
      <w:spacing w:after="160" w:line="240" w:lineRule="exact"/>
    </w:pPr>
    <w:rPr>
      <w:rFonts w:ascii="Verdana" w:eastAsia="Times New Roman" w:hAnsi="Verdana" w:cs="Arial"/>
      <w:sz w:val="22"/>
      <w:szCs w:val="20"/>
      <w:lang w:eastAsia="en-US"/>
    </w:rPr>
  </w:style>
  <w:style w:type="paragraph" w:customStyle="1" w:styleId="CharCharChar6">
    <w:name w:val="Char Char Char6"/>
    <w:basedOn w:val="a1"/>
    <w:qFormat/>
    <w:pPr>
      <w:spacing w:after="160" w:line="240" w:lineRule="exact"/>
    </w:pPr>
    <w:rPr>
      <w:rFonts w:ascii="Times New Roman" w:hAnsi="Times New Roman" w:cs="Arial"/>
      <w:sz w:val="22"/>
      <w:szCs w:val="20"/>
      <w:lang w:eastAsia="en-US"/>
    </w:rPr>
  </w:style>
  <w:style w:type="paragraph" w:customStyle="1" w:styleId="CharChar1CharCharCharCharCharCharCharCharCharCharCharCharCharCharCharCharCharCharCharCharCharCharCharCharCharCharCharCharCharCharCharCharCharChar6">
    <w:name w:val="Char Char1 Char Char Char Char Char Char Char Char Char Char Char Char Char Char Char Char Char Char Char Char Char Char Char Char Char Char Char Char Char Char Char Char Char Char6"/>
    <w:basedOn w:val="a1"/>
    <w:qFormat/>
    <w:pPr>
      <w:spacing w:after="160" w:line="240" w:lineRule="exact"/>
    </w:pPr>
    <w:rPr>
      <w:rFonts w:ascii="Verdana" w:eastAsia="Times New Roman" w:hAnsi="Verdana" w:cs="Arial"/>
      <w:sz w:val="22"/>
      <w:szCs w:val="20"/>
      <w:lang w:eastAsia="en-US"/>
    </w:rPr>
  </w:style>
  <w:style w:type="paragraph" w:customStyle="1" w:styleId="Char2CharCharCharCharCharCharCharChar6">
    <w:name w:val="Char2 Char Char Char Char Char Char Char Char6"/>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2CharCharChar6">
    <w:name w:val="Char2 Char Char Char6"/>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2CharCharCharCharCharCharCharCharCharCharChar4">
    <w:name w:val="Char2 Char Char Char Char Char Char Char Char Char Char Char4"/>
    <w:basedOn w:val="a1"/>
    <w:qFormat/>
    <w:pPr>
      <w:tabs>
        <w:tab w:val="right" w:pos="6000"/>
      </w:tabs>
      <w:spacing w:line="480" w:lineRule="auto"/>
    </w:pPr>
    <w:rPr>
      <w:rFonts w:ascii="Arial" w:eastAsia="楷体_GB2312" w:hAnsi="Arial" w:cs="Angsana New"/>
      <w:sz w:val="20"/>
      <w:szCs w:val="20"/>
    </w:rPr>
  </w:style>
  <w:style w:type="paragraph" w:customStyle="1" w:styleId="Char2CharCharCharCharCharCharCharCharCharCharCharCharCharChar4">
    <w:name w:val="Char2 Char Char Char Char Char Char Char Char Char Char Char Char Char Char4"/>
    <w:basedOn w:val="a1"/>
    <w:qFormat/>
    <w:pPr>
      <w:tabs>
        <w:tab w:val="right" w:pos="6000"/>
      </w:tabs>
      <w:spacing w:line="480" w:lineRule="auto"/>
    </w:pPr>
    <w:rPr>
      <w:rFonts w:ascii="Arial" w:eastAsia="楷体_GB2312" w:hAnsi="Arial" w:cs="Angsana New"/>
      <w:sz w:val="20"/>
      <w:szCs w:val="20"/>
    </w:rPr>
  </w:style>
  <w:style w:type="paragraph" w:customStyle="1" w:styleId="Char2CharCharCharCharCharCharCharCharChar1CharCharCharCharCharCharCharCharCharCharCharChar4">
    <w:name w:val="Char2 Char Char Char Char Char Char Char Char Char1 Char Char Char Char Char Char Char Char Char Char Char Char4"/>
    <w:basedOn w:val="a1"/>
    <w:qFormat/>
    <w:pPr>
      <w:spacing w:after="160" w:line="240" w:lineRule="exact"/>
    </w:pPr>
    <w:rPr>
      <w:rFonts w:ascii="Verdana" w:eastAsia="Times New Roman" w:hAnsi="Verdana" w:cs="Times New Roman"/>
      <w:sz w:val="20"/>
      <w:szCs w:val="20"/>
      <w:lang w:eastAsia="en-US"/>
    </w:rPr>
  </w:style>
  <w:style w:type="paragraph" w:customStyle="1" w:styleId="CharCharCharCharCharCharCharCharCharChar5">
    <w:name w:val="Char Char Char Char Char Char Char Char Char Char5"/>
    <w:basedOn w:val="a1"/>
    <w:qFormat/>
    <w:pPr>
      <w:widowControl w:val="0"/>
      <w:tabs>
        <w:tab w:val="left" w:pos="360"/>
      </w:tabs>
    </w:pPr>
    <w:rPr>
      <w:rFonts w:ascii="Times New Roman" w:hAnsi="Times New Roman" w:cs="Times New Roman"/>
      <w:kern w:val="2"/>
      <w:szCs w:val="30"/>
    </w:rPr>
  </w:style>
  <w:style w:type="paragraph" w:customStyle="1" w:styleId="CharCharCharChar6">
    <w:name w:val="Char Char Char Char6"/>
    <w:basedOn w:val="a1"/>
    <w:qFormat/>
    <w:rPr>
      <w:rFonts w:ascii="Arial" w:hAnsi="Arial" w:cs="Arial"/>
      <w:sz w:val="22"/>
      <w:szCs w:val="22"/>
      <w:lang w:val="en-AU"/>
    </w:rPr>
  </w:style>
  <w:style w:type="paragraph" w:customStyle="1" w:styleId="CharChar4CharChar3">
    <w:name w:val="Char Char4 Char Char3"/>
    <w:basedOn w:val="a1"/>
    <w:semiHidden/>
    <w:qFormat/>
    <w:pPr>
      <w:spacing w:after="160" w:line="240" w:lineRule="exact"/>
    </w:pPr>
    <w:rPr>
      <w:rFonts w:ascii="Verdana" w:hAnsi="Verdana" w:cs="CG Omega"/>
      <w:sz w:val="20"/>
      <w:szCs w:val="20"/>
      <w:lang w:eastAsia="en-US"/>
    </w:rPr>
  </w:style>
  <w:style w:type="paragraph" w:customStyle="1" w:styleId="62">
    <w:name w:val="列出段落6"/>
    <w:basedOn w:val="a1"/>
    <w:qFormat/>
    <w:pPr>
      <w:widowControl w:val="0"/>
      <w:spacing w:line="300" w:lineRule="exact"/>
      <w:ind w:left="720"/>
      <w:contextualSpacing/>
    </w:pPr>
    <w:rPr>
      <w:rFonts w:hAnsi="Arial" w:cs="Times New Roman"/>
      <w:color w:val="000000"/>
      <w:kern w:val="2"/>
      <w:szCs w:val="20"/>
    </w:rPr>
  </w:style>
  <w:style w:type="paragraph" w:customStyle="1" w:styleId="57">
    <w:name w:val="普通(网站)5"/>
    <w:basedOn w:val="a1"/>
    <w:qFormat/>
    <w:pPr>
      <w:widowControl w:val="0"/>
    </w:pPr>
    <w:rPr>
      <w:rFonts w:ascii="Times New Roman" w:hAnsi="Times New Roman" w:cs="Times New Roman"/>
      <w:szCs w:val="20"/>
    </w:rPr>
  </w:style>
  <w:style w:type="paragraph" w:customStyle="1" w:styleId="Char25">
    <w:name w:val="Char25"/>
    <w:basedOn w:val="a1"/>
    <w:qFormat/>
    <w:pPr>
      <w:spacing w:after="160" w:line="240" w:lineRule="exact"/>
    </w:pPr>
    <w:rPr>
      <w:rFonts w:ascii="Verdana" w:eastAsia="Times New Roman" w:hAnsi="Verdana" w:cs="Times New Roman"/>
      <w:sz w:val="20"/>
      <w:szCs w:val="20"/>
      <w:lang w:eastAsia="en-US"/>
    </w:rPr>
  </w:style>
  <w:style w:type="paragraph" w:customStyle="1" w:styleId="Char17">
    <w:name w:val="Char17"/>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Char1CharCharCharCharCharCharCharCharCharCharCharCharCharCharCharCharCharCharCharCharCharCharCharCharCharCharCharCharCharCharCharCharCharCharCharCharCharChar5">
    <w:name w:val="Char Char1 Char Char Char Char Char Char Char Char Char Char Char Char Char Char Char Char Char Char Char Char Char Char Char Char Char Char Char Char Char Char Char Char Char Char Char Char Char Char5"/>
    <w:basedOn w:val="a1"/>
    <w:qFormat/>
    <w:pPr>
      <w:spacing w:after="160" w:line="240" w:lineRule="exact"/>
    </w:pPr>
    <w:rPr>
      <w:rFonts w:ascii="Verdana" w:eastAsia="Times New Roman" w:hAnsi="Verdana" w:cs="Arial"/>
      <w:sz w:val="22"/>
      <w:szCs w:val="20"/>
      <w:lang w:eastAsia="en-US"/>
    </w:rPr>
  </w:style>
  <w:style w:type="paragraph" w:customStyle="1" w:styleId="CharChar7">
    <w:name w:val="Char Char7"/>
    <w:basedOn w:val="a1"/>
    <w:qFormat/>
    <w:pPr>
      <w:spacing w:after="160" w:line="240" w:lineRule="exact"/>
    </w:pPr>
    <w:rPr>
      <w:rFonts w:ascii="Verdana" w:eastAsia="Times New Roman" w:hAnsi="Verdana" w:cs="Arial"/>
      <w:sz w:val="22"/>
      <w:szCs w:val="20"/>
      <w:lang w:eastAsia="en-US"/>
    </w:rPr>
  </w:style>
  <w:style w:type="paragraph" w:customStyle="1" w:styleId="CharCharCharCharCharCharCharCharCharCharCharChar1CharCharCharCharCharCharCharCharCharCharCharCharCharCharCharCharCharCharCharCharCharCharCharCharCharCharCharChar5">
    <w:name w:val="Char Char Char Char Char Char Char Char Char Char Char Char1 Char Char Char Char Char Char Char Char Char Char Char Char Char Char Char Char Char Char Char Char Char Char Char Char Char Char Char Char5"/>
    <w:basedOn w:val="a1"/>
    <w:qFormat/>
    <w:pPr>
      <w:spacing w:after="160" w:line="240" w:lineRule="exact"/>
    </w:pPr>
    <w:rPr>
      <w:rFonts w:ascii="Verdana" w:eastAsia="Times New Roman" w:hAnsi="Verdana" w:cs="Arial"/>
      <w:sz w:val="22"/>
      <w:szCs w:val="20"/>
      <w:lang w:eastAsia="en-US"/>
    </w:rPr>
  </w:style>
  <w:style w:type="paragraph" w:customStyle="1" w:styleId="CharCharCharCharCharCharCharCharCharCharCharChar1CharCharCharCharCharCharCharCharCharCharCharCharCharCharCharCharCharCharCharCharCharCharCharCharCharCharCharCharCharCharCharChar5">
    <w:name w:val="Char Char Char Char Char Char Char Char Char Char Char Char1 Char Char Char Char Char Char Char Char Char Char Char Char Char Char Char Char Char Char Char Char Char Char Char Char Char Char Char Char Char Char Char Char5"/>
    <w:basedOn w:val="a1"/>
    <w:qFormat/>
    <w:pPr>
      <w:spacing w:after="160" w:line="240" w:lineRule="exact"/>
    </w:pPr>
    <w:rPr>
      <w:rFonts w:ascii="Verdana" w:eastAsia="Times New Roman" w:hAnsi="Verdana" w:cs="Arial"/>
      <w:sz w:val="22"/>
      <w:szCs w:val="20"/>
      <w:lang w:eastAsia="en-US"/>
    </w:rPr>
  </w:style>
  <w:style w:type="paragraph" w:customStyle="1" w:styleId="CharCharChar5">
    <w:name w:val="Char Char Char5"/>
    <w:basedOn w:val="a1"/>
    <w:qFormat/>
    <w:pPr>
      <w:spacing w:after="160" w:line="240" w:lineRule="exact"/>
    </w:pPr>
    <w:rPr>
      <w:rFonts w:ascii="Times New Roman" w:hAnsi="Times New Roman" w:cs="Arial"/>
      <w:sz w:val="22"/>
      <w:szCs w:val="20"/>
      <w:lang w:eastAsia="en-US"/>
    </w:rPr>
  </w:style>
  <w:style w:type="paragraph" w:customStyle="1" w:styleId="CharChar1CharCharCharCharCharCharCharCharCharCharCharCharCharCharCharCharCharCharCharCharCharCharCharCharCharCharCharCharCharCharCharCharCharChar5">
    <w:name w:val="Char Char1 Char Char Char Char Char Char Char Char Char Char Char Char Char Char Char Char Char Char Char Char Char Char Char Char Char Char Char Char Char Char Char Char Char Char5"/>
    <w:basedOn w:val="a1"/>
    <w:qFormat/>
    <w:pPr>
      <w:spacing w:after="160" w:line="240" w:lineRule="exact"/>
    </w:pPr>
    <w:rPr>
      <w:rFonts w:ascii="Verdana" w:eastAsia="Times New Roman" w:hAnsi="Verdana" w:cs="Arial"/>
      <w:sz w:val="22"/>
      <w:szCs w:val="20"/>
      <w:lang w:eastAsia="en-US"/>
    </w:rPr>
  </w:style>
  <w:style w:type="paragraph" w:customStyle="1" w:styleId="Char2CharCharCharCharCharCharCharChar5">
    <w:name w:val="Char2 Char Char Char Char Char Char Char Char5"/>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2CharCharChar5">
    <w:name w:val="Char2 Char Char Char5"/>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2CharCharCharCharCharCharCharCharCharCharChar3">
    <w:name w:val="Char2 Char Char Char Char Char Char Char Char Char Char Char3"/>
    <w:basedOn w:val="a1"/>
    <w:qFormat/>
    <w:pPr>
      <w:tabs>
        <w:tab w:val="right" w:pos="6000"/>
      </w:tabs>
      <w:spacing w:line="480" w:lineRule="auto"/>
    </w:pPr>
    <w:rPr>
      <w:rFonts w:ascii="Arial" w:eastAsia="楷体_GB2312" w:hAnsi="Arial" w:cs="Angsana New"/>
      <w:sz w:val="20"/>
      <w:szCs w:val="20"/>
    </w:rPr>
  </w:style>
  <w:style w:type="paragraph" w:customStyle="1" w:styleId="Char2CharCharCharCharCharCharCharCharCharCharCharCharCharChar3">
    <w:name w:val="Char2 Char Char Char Char Char Char Char Char Char Char Char Char Char Char3"/>
    <w:basedOn w:val="a1"/>
    <w:qFormat/>
    <w:pPr>
      <w:tabs>
        <w:tab w:val="right" w:pos="6000"/>
      </w:tabs>
      <w:spacing w:line="480" w:lineRule="auto"/>
    </w:pPr>
    <w:rPr>
      <w:rFonts w:ascii="Arial" w:eastAsia="楷体_GB2312" w:hAnsi="Arial" w:cs="Angsana New"/>
      <w:sz w:val="20"/>
      <w:szCs w:val="20"/>
    </w:rPr>
  </w:style>
  <w:style w:type="paragraph" w:customStyle="1" w:styleId="Char2CharCharCharCharCharCharCharCharChar1CharCharCharCharCharCharCharCharCharCharCharChar3">
    <w:name w:val="Char2 Char Char Char Char Char Char Char Char Char1 Char Char Char Char Char Char Char Char Char Char Char Char3"/>
    <w:basedOn w:val="a1"/>
    <w:qFormat/>
    <w:pPr>
      <w:spacing w:after="160" w:line="240" w:lineRule="exact"/>
    </w:pPr>
    <w:rPr>
      <w:rFonts w:ascii="Verdana" w:eastAsia="Times New Roman" w:hAnsi="Verdana" w:cs="Times New Roman"/>
      <w:sz w:val="20"/>
      <w:szCs w:val="20"/>
      <w:lang w:eastAsia="en-US"/>
    </w:rPr>
  </w:style>
  <w:style w:type="paragraph" w:customStyle="1" w:styleId="CharCharCharCharCharCharCharCharCharChar4">
    <w:name w:val="Char Char Char Char Char Char Char Char Char Char4"/>
    <w:basedOn w:val="a1"/>
    <w:qFormat/>
    <w:pPr>
      <w:widowControl w:val="0"/>
      <w:tabs>
        <w:tab w:val="left" w:pos="360"/>
      </w:tabs>
    </w:pPr>
    <w:rPr>
      <w:rFonts w:ascii="Times New Roman" w:hAnsi="Times New Roman" w:cs="Times New Roman"/>
      <w:kern w:val="2"/>
      <w:szCs w:val="30"/>
    </w:rPr>
  </w:style>
  <w:style w:type="paragraph" w:customStyle="1" w:styleId="CharCharCharChar5">
    <w:name w:val="Char Char Char Char5"/>
    <w:basedOn w:val="a1"/>
    <w:qFormat/>
    <w:rPr>
      <w:rFonts w:ascii="Arial" w:hAnsi="Arial" w:cs="Arial"/>
      <w:sz w:val="22"/>
      <w:szCs w:val="22"/>
      <w:lang w:val="en-AU"/>
    </w:rPr>
  </w:style>
  <w:style w:type="paragraph" w:customStyle="1" w:styleId="CharChar4CharChar2">
    <w:name w:val="Char Char4 Char Char2"/>
    <w:basedOn w:val="a1"/>
    <w:semiHidden/>
    <w:qFormat/>
    <w:pPr>
      <w:spacing w:after="160" w:line="240" w:lineRule="exact"/>
    </w:pPr>
    <w:rPr>
      <w:rFonts w:ascii="Verdana" w:hAnsi="Verdana" w:cs="CG Omega"/>
      <w:sz w:val="20"/>
      <w:szCs w:val="20"/>
      <w:lang w:eastAsia="en-US"/>
    </w:rPr>
  </w:style>
  <w:style w:type="paragraph" w:customStyle="1" w:styleId="72">
    <w:name w:val="列出段落7"/>
    <w:basedOn w:val="a1"/>
    <w:qFormat/>
    <w:pPr>
      <w:widowControl w:val="0"/>
      <w:spacing w:line="300" w:lineRule="exact"/>
      <w:ind w:left="720"/>
      <w:contextualSpacing/>
    </w:pPr>
    <w:rPr>
      <w:rFonts w:hAnsi="Arial" w:cs="Times New Roman"/>
      <w:color w:val="000000"/>
      <w:kern w:val="2"/>
      <w:szCs w:val="20"/>
    </w:rPr>
  </w:style>
  <w:style w:type="paragraph" w:customStyle="1" w:styleId="63">
    <w:name w:val="普通(网站)6"/>
    <w:basedOn w:val="a1"/>
    <w:qFormat/>
    <w:pPr>
      <w:widowControl w:val="0"/>
    </w:pPr>
    <w:rPr>
      <w:rFonts w:ascii="Times New Roman" w:hAnsi="Times New Roman" w:cs="Times New Roman"/>
      <w:szCs w:val="20"/>
    </w:rPr>
  </w:style>
  <w:style w:type="paragraph" w:customStyle="1" w:styleId="Char29">
    <w:name w:val="Char29"/>
    <w:basedOn w:val="a1"/>
    <w:qFormat/>
    <w:pPr>
      <w:spacing w:after="160" w:line="240" w:lineRule="exact"/>
    </w:pPr>
    <w:rPr>
      <w:rFonts w:ascii="Verdana" w:eastAsia="Times New Roman" w:hAnsi="Verdana" w:cs="Times New Roman"/>
      <w:sz w:val="20"/>
      <w:szCs w:val="20"/>
      <w:lang w:eastAsia="en-US"/>
    </w:rPr>
  </w:style>
  <w:style w:type="paragraph" w:customStyle="1" w:styleId="Char111">
    <w:name w:val="Char111"/>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Char1CharCharCharCharCharCharCharCharCharCharCharCharCharCharCharCharCharCharCharCharCharCharCharCharCharCharCharCharCharCharCharCharCharCharCharCharCharChar9">
    <w:name w:val="Char Char1 Char Char Char Char Char Char Char Char Char Char Char Char Char Char Char Char Char Char Char Char Char Char Char Char Char Char Char Char Char Char Char Char Char Char Char Char Char Char9"/>
    <w:basedOn w:val="a1"/>
    <w:qFormat/>
    <w:pPr>
      <w:spacing w:after="160" w:line="240" w:lineRule="exact"/>
    </w:pPr>
    <w:rPr>
      <w:rFonts w:ascii="Verdana" w:eastAsia="Times New Roman" w:hAnsi="Verdana" w:cs="Arial"/>
      <w:sz w:val="22"/>
      <w:szCs w:val="20"/>
      <w:lang w:eastAsia="en-US"/>
    </w:rPr>
  </w:style>
  <w:style w:type="paragraph" w:customStyle="1" w:styleId="CharChar39">
    <w:name w:val="Char Char39"/>
    <w:basedOn w:val="a1"/>
    <w:qFormat/>
    <w:pPr>
      <w:spacing w:after="160" w:line="240" w:lineRule="exact"/>
    </w:pPr>
    <w:rPr>
      <w:rFonts w:ascii="Verdana" w:eastAsia="Times New Roman" w:hAnsi="Verdana" w:cs="Arial"/>
      <w:sz w:val="22"/>
      <w:szCs w:val="20"/>
      <w:lang w:eastAsia="en-US"/>
    </w:rPr>
  </w:style>
  <w:style w:type="paragraph" w:customStyle="1" w:styleId="CharCharCharCharCharCharCharCharCharCharCharChar1CharCharCharCharCharCharCharCharCharCharCharCharCharCharCharCharCharCharCharCharCharCharCharCharCharCharCharChar9">
    <w:name w:val="Char Char Char Char Char Char Char Char Char Char Char Char1 Char Char Char Char Char Char Char Char Char Char Char Char Char Char Char Char Char Char Char Char Char Char Char Char Char Char Char Char9"/>
    <w:basedOn w:val="a1"/>
    <w:qFormat/>
    <w:pPr>
      <w:spacing w:after="160" w:line="240" w:lineRule="exact"/>
    </w:pPr>
    <w:rPr>
      <w:rFonts w:ascii="Verdana" w:eastAsia="Times New Roman" w:hAnsi="Verdana" w:cs="Arial"/>
      <w:sz w:val="22"/>
      <w:szCs w:val="20"/>
      <w:lang w:eastAsia="en-US"/>
    </w:rPr>
  </w:style>
  <w:style w:type="paragraph" w:customStyle="1" w:styleId="CharCharCharCharCharCharCharCharCharCharCharChar1CharCharCharCharCharCharCharCharCharCharCharCharCharCharCharCharCharCharCharCharCharCharCharCharCharCharCharCharCharCharCharChar9">
    <w:name w:val="Char Char Char Char Char Char Char Char Char Char Char Char1 Char Char Char Char Char Char Char Char Char Char Char Char Char Char Char Char Char Char Char Char Char Char Char Char Char Char Char Char Char Char Char Char9"/>
    <w:basedOn w:val="a1"/>
    <w:qFormat/>
    <w:pPr>
      <w:spacing w:after="160" w:line="240" w:lineRule="exact"/>
    </w:pPr>
    <w:rPr>
      <w:rFonts w:ascii="Verdana" w:eastAsia="Times New Roman" w:hAnsi="Verdana" w:cs="Arial"/>
      <w:sz w:val="22"/>
      <w:szCs w:val="20"/>
      <w:lang w:eastAsia="en-US"/>
    </w:rPr>
  </w:style>
  <w:style w:type="paragraph" w:customStyle="1" w:styleId="CharCharChar9">
    <w:name w:val="Char Char Char9"/>
    <w:basedOn w:val="a1"/>
    <w:qFormat/>
    <w:pPr>
      <w:spacing w:after="160" w:line="240" w:lineRule="exact"/>
    </w:pPr>
    <w:rPr>
      <w:rFonts w:ascii="Times New Roman" w:hAnsi="Times New Roman" w:cs="Arial"/>
      <w:sz w:val="22"/>
      <w:szCs w:val="20"/>
      <w:lang w:eastAsia="en-US"/>
    </w:rPr>
  </w:style>
  <w:style w:type="paragraph" w:customStyle="1" w:styleId="CharChar1CharCharCharCharCharCharCharCharCharCharCharCharCharCharCharCharCharCharCharCharCharCharCharCharCharCharCharCharCharCharCharCharCharChar9">
    <w:name w:val="Char Char1 Char Char Char Char Char Char Char Char Char Char Char Char Char Char Char Char Char Char Char Char Char Char Char Char Char Char Char Char Char Char Char Char Char Char9"/>
    <w:basedOn w:val="a1"/>
    <w:qFormat/>
    <w:pPr>
      <w:spacing w:after="160" w:line="240" w:lineRule="exact"/>
    </w:pPr>
    <w:rPr>
      <w:rFonts w:ascii="Verdana" w:eastAsia="Times New Roman" w:hAnsi="Verdana" w:cs="Arial"/>
      <w:sz w:val="22"/>
      <w:szCs w:val="20"/>
      <w:lang w:eastAsia="en-US"/>
    </w:rPr>
  </w:style>
  <w:style w:type="paragraph" w:customStyle="1" w:styleId="Char2CharCharCharCharCharCharCharChar9">
    <w:name w:val="Char2 Char Char Char Char Char Char Char Char9"/>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2CharCharChar9">
    <w:name w:val="Char2 Char Char Char9"/>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2CharCharCharCharCharCharCharCharCharCharChar7">
    <w:name w:val="Char2 Char Char Char Char Char Char Char Char Char Char Char7"/>
    <w:basedOn w:val="a1"/>
    <w:qFormat/>
    <w:pPr>
      <w:tabs>
        <w:tab w:val="right" w:pos="6000"/>
      </w:tabs>
      <w:spacing w:line="480" w:lineRule="auto"/>
    </w:pPr>
    <w:rPr>
      <w:rFonts w:ascii="Arial" w:eastAsia="楷体_GB2312" w:hAnsi="Arial" w:cs="Angsana New"/>
      <w:sz w:val="20"/>
      <w:szCs w:val="20"/>
    </w:rPr>
  </w:style>
  <w:style w:type="paragraph" w:customStyle="1" w:styleId="Char2CharCharCharCharCharCharCharCharCharCharCharCharCharChar7">
    <w:name w:val="Char2 Char Char Char Char Char Char Char Char Char Char Char Char Char Char7"/>
    <w:basedOn w:val="a1"/>
    <w:qFormat/>
    <w:pPr>
      <w:tabs>
        <w:tab w:val="right" w:pos="6000"/>
      </w:tabs>
      <w:spacing w:line="480" w:lineRule="auto"/>
    </w:pPr>
    <w:rPr>
      <w:rFonts w:ascii="Arial" w:eastAsia="楷体_GB2312" w:hAnsi="Arial" w:cs="Angsana New"/>
      <w:sz w:val="20"/>
      <w:szCs w:val="20"/>
    </w:rPr>
  </w:style>
  <w:style w:type="paragraph" w:customStyle="1" w:styleId="Char2CharCharCharCharCharCharCharCharChar1CharCharCharCharCharCharCharCharCharCharCharChar7">
    <w:name w:val="Char2 Char Char Char Char Char Char Char Char Char1 Char Char Char Char Char Char Char Char Char Char Char Char7"/>
    <w:basedOn w:val="a1"/>
    <w:qFormat/>
    <w:pPr>
      <w:spacing w:after="160" w:line="240" w:lineRule="exact"/>
    </w:pPr>
    <w:rPr>
      <w:rFonts w:ascii="Verdana" w:eastAsia="Times New Roman" w:hAnsi="Verdana" w:cs="Times New Roman"/>
      <w:sz w:val="20"/>
      <w:szCs w:val="20"/>
      <w:lang w:eastAsia="en-US"/>
    </w:rPr>
  </w:style>
  <w:style w:type="paragraph" w:customStyle="1" w:styleId="CharCharCharCharCharCharCharCharCharChar8">
    <w:name w:val="Char Char Char Char Char Char Char Char Char Char8"/>
    <w:basedOn w:val="a1"/>
    <w:qFormat/>
    <w:pPr>
      <w:widowControl w:val="0"/>
      <w:tabs>
        <w:tab w:val="left" w:pos="360"/>
      </w:tabs>
    </w:pPr>
    <w:rPr>
      <w:rFonts w:ascii="Times New Roman" w:hAnsi="Times New Roman" w:cs="Times New Roman"/>
      <w:kern w:val="2"/>
      <w:szCs w:val="30"/>
    </w:rPr>
  </w:style>
  <w:style w:type="paragraph" w:customStyle="1" w:styleId="CharCharCharChar9">
    <w:name w:val="Char Char Char Char9"/>
    <w:basedOn w:val="a1"/>
    <w:qFormat/>
    <w:rPr>
      <w:rFonts w:ascii="Arial" w:hAnsi="Arial" w:cs="Arial"/>
      <w:sz w:val="22"/>
      <w:szCs w:val="22"/>
      <w:lang w:val="en-AU"/>
    </w:rPr>
  </w:style>
  <w:style w:type="paragraph" w:customStyle="1" w:styleId="CharChar4CharChar6">
    <w:name w:val="Char Char4 Char Char6"/>
    <w:basedOn w:val="a1"/>
    <w:semiHidden/>
    <w:qFormat/>
    <w:pPr>
      <w:spacing w:after="160" w:line="240" w:lineRule="exact"/>
    </w:pPr>
    <w:rPr>
      <w:rFonts w:ascii="Verdana" w:hAnsi="Verdana" w:cs="CG Omega"/>
      <w:sz w:val="20"/>
      <w:szCs w:val="20"/>
      <w:lang w:eastAsia="en-US"/>
    </w:rPr>
  </w:style>
  <w:style w:type="paragraph" w:customStyle="1" w:styleId="82">
    <w:name w:val="列出段落8"/>
    <w:basedOn w:val="a1"/>
    <w:qFormat/>
    <w:pPr>
      <w:widowControl w:val="0"/>
      <w:spacing w:line="300" w:lineRule="exact"/>
      <w:ind w:left="720"/>
      <w:contextualSpacing/>
    </w:pPr>
    <w:rPr>
      <w:rFonts w:hAnsi="Arial" w:cs="Times New Roman"/>
      <w:color w:val="000000"/>
      <w:kern w:val="2"/>
      <w:szCs w:val="20"/>
    </w:rPr>
  </w:style>
  <w:style w:type="paragraph" w:customStyle="1" w:styleId="73">
    <w:name w:val="普通(网站)7"/>
    <w:basedOn w:val="a1"/>
    <w:qFormat/>
    <w:pPr>
      <w:widowControl w:val="0"/>
    </w:pPr>
    <w:rPr>
      <w:rFonts w:ascii="Times New Roman" w:hAnsi="Times New Roman" w:cs="Times New Roman"/>
      <w:szCs w:val="20"/>
    </w:rPr>
  </w:style>
  <w:style w:type="paragraph" w:customStyle="1" w:styleId="Char28">
    <w:name w:val="Char28"/>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1100">
    <w:name w:val="Char110"/>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Char1CharCharCharCharCharCharCharCharCharCharCharCharCharCharCharCharCharCharCharCharCharCharCharCharCharCharCharCharCharCharCharCharCharCharCharCharCharChar8">
    <w:name w:val="Char Char1 Char Char Char Char Char Char Char Char Char Char Char Char Char Char Char Char Char Char Char Char Char Char Char Char Char Char Char Char Char Char Char Char Char Char Char Char Char Char8"/>
    <w:basedOn w:val="a1"/>
    <w:semiHidden/>
    <w:qFormat/>
    <w:pPr>
      <w:spacing w:after="160" w:line="240" w:lineRule="exact"/>
    </w:pPr>
    <w:rPr>
      <w:rFonts w:ascii="Verdana" w:eastAsia="Times New Roman" w:hAnsi="Verdana" w:cs="Arial"/>
      <w:sz w:val="22"/>
      <w:szCs w:val="20"/>
      <w:lang w:eastAsia="en-US"/>
    </w:rPr>
  </w:style>
  <w:style w:type="paragraph" w:customStyle="1" w:styleId="CharChar37">
    <w:name w:val="Char Char37"/>
    <w:basedOn w:val="a1"/>
    <w:qFormat/>
    <w:pPr>
      <w:spacing w:after="160" w:line="240" w:lineRule="exact"/>
    </w:pPr>
    <w:rPr>
      <w:rFonts w:ascii="Verdana" w:eastAsia="Times New Roman" w:hAnsi="Verdana" w:cs="Arial"/>
      <w:sz w:val="22"/>
      <w:szCs w:val="20"/>
      <w:lang w:eastAsia="en-US"/>
    </w:rPr>
  </w:style>
  <w:style w:type="paragraph" w:customStyle="1" w:styleId="CharCharCharCharCharCharCharCharCharCharCharChar1CharCharCharCharCharCharCharCharCharCharCharCharCharCharCharCharCharCharCharCharCharCharCharCharCharCharCharChar8">
    <w:name w:val="Char Char Char Char Char Char Char Char Char Char Char Char1 Char Char Char Char Char Char Char Char Char Char Char Char Char Char Char Char Char Char Char Char Char Char Char Char Char Char Char Char8"/>
    <w:basedOn w:val="a1"/>
    <w:qFormat/>
    <w:pPr>
      <w:spacing w:after="160" w:line="240" w:lineRule="exact"/>
    </w:pPr>
    <w:rPr>
      <w:rFonts w:ascii="Verdana" w:eastAsia="Times New Roman" w:hAnsi="Verdana" w:cs="Arial"/>
      <w:sz w:val="22"/>
      <w:szCs w:val="20"/>
      <w:lang w:eastAsia="en-US"/>
    </w:rPr>
  </w:style>
  <w:style w:type="paragraph" w:customStyle="1" w:styleId="CharCharCharCharCharCharCharCharCharCharCharChar1CharCharCharCharCharCharCharCharCharCharCharCharCharCharCharCharCharCharCharCharCharCharCharCharCharCharCharCharCharCharCharChar8">
    <w:name w:val="Char Char Char Char Char Char Char Char Char Char Char Char1 Char Char Char Char Char Char Char Char Char Char Char Char Char Char Char Char Char Char Char Char Char Char Char Char Char Char Char Char Char Char Char Char8"/>
    <w:basedOn w:val="a1"/>
    <w:qFormat/>
    <w:pPr>
      <w:spacing w:after="160" w:line="240" w:lineRule="exact"/>
    </w:pPr>
    <w:rPr>
      <w:rFonts w:ascii="Verdana" w:eastAsia="Times New Roman" w:hAnsi="Verdana" w:cs="Arial"/>
      <w:sz w:val="22"/>
      <w:szCs w:val="20"/>
      <w:lang w:eastAsia="en-US"/>
    </w:rPr>
  </w:style>
  <w:style w:type="paragraph" w:customStyle="1" w:styleId="CharCharChar8">
    <w:name w:val="Char Char Char8"/>
    <w:basedOn w:val="a1"/>
    <w:qFormat/>
    <w:pPr>
      <w:spacing w:after="160" w:line="240" w:lineRule="exact"/>
    </w:pPr>
    <w:rPr>
      <w:rFonts w:ascii="Times New Roman" w:hAnsi="Times New Roman" w:cs="Arial"/>
      <w:sz w:val="22"/>
      <w:szCs w:val="20"/>
      <w:lang w:eastAsia="en-US"/>
    </w:rPr>
  </w:style>
  <w:style w:type="paragraph" w:customStyle="1" w:styleId="CharChar1CharCharCharCharCharCharCharCharCharCharCharCharCharCharCharCharCharCharCharCharCharCharCharCharCharCharCharCharCharCharCharCharCharChar8">
    <w:name w:val="Char Char1 Char Char Char Char Char Char Char Char Char Char Char Char Char Char Char Char Char Char Char Char Char Char Char Char Char Char Char Char Char Char Char Char Char Char8"/>
    <w:basedOn w:val="a1"/>
    <w:qFormat/>
    <w:pPr>
      <w:spacing w:after="160" w:line="240" w:lineRule="exact"/>
    </w:pPr>
    <w:rPr>
      <w:rFonts w:ascii="Verdana" w:eastAsia="Times New Roman" w:hAnsi="Verdana" w:cs="Arial"/>
      <w:sz w:val="22"/>
      <w:szCs w:val="20"/>
      <w:lang w:eastAsia="en-US"/>
    </w:rPr>
  </w:style>
  <w:style w:type="paragraph" w:customStyle="1" w:styleId="Char2CharCharCharCharCharCharCharChar8">
    <w:name w:val="Char2 Char Char Char Char Char Char Char Char8"/>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2CharCharChar8">
    <w:name w:val="Char2 Char Char Char8"/>
    <w:basedOn w:val="a1"/>
    <w:semiHidden/>
    <w:qFormat/>
    <w:pPr>
      <w:spacing w:after="160" w:line="240" w:lineRule="exact"/>
    </w:pPr>
    <w:rPr>
      <w:rFonts w:ascii="Verdana" w:eastAsia="Times New Roman" w:hAnsi="Verdana" w:cs="Times New Roman"/>
      <w:sz w:val="20"/>
      <w:szCs w:val="20"/>
      <w:lang w:eastAsia="en-US"/>
    </w:rPr>
  </w:style>
  <w:style w:type="paragraph" w:customStyle="1" w:styleId="Char2CharCharCharCharCharCharCharCharCharCharChar6">
    <w:name w:val="Char2 Char Char Char Char Char Char Char Char Char Char Char6"/>
    <w:basedOn w:val="a1"/>
    <w:qFormat/>
    <w:pPr>
      <w:tabs>
        <w:tab w:val="right" w:pos="6000"/>
      </w:tabs>
      <w:spacing w:line="480" w:lineRule="auto"/>
    </w:pPr>
    <w:rPr>
      <w:rFonts w:ascii="Arial" w:eastAsia="楷体_GB2312" w:hAnsi="Arial" w:cs="Angsana New"/>
      <w:sz w:val="20"/>
      <w:szCs w:val="20"/>
    </w:rPr>
  </w:style>
  <w:style w:type="paragraph" w:customStyle="1" w:styleId="Char2CharCharCharCharCharCharCharCharCharCharCharCharCharChar6">
    <w:name w:val="Char2 Char Char Char Char Char Char Char Char Char Char Char Char Char Char6"/>
    <w:basedOn w:val="a1"/>
    <w:qFormat/>
    <w:pPr>
      <w:tabs>
        <w:tab w:val="right" w:pos="6000"/>
      </w:tabs>
      <w:spacing w:line="480" w:lineRule="auto"/>
    </w:pPr>
    <w:rPr>
      <w:rFonts w:ascii="Arial" w:eastAsia="楷体_GB2312" w:hAnsi="Arial" w:cs="Angsana New"/>
      <w:sz w:val="20"/>
      <w:szCs w:val="20"/>
    </w:rPr>
  </w:style>
  <w:style w:type="paragraph" w:customStyle="1" w:styleId="Char2CharCharCharCharCharCharCharCharChar1CharCharCharCharCharCharCharCharCharCharCharChar6">
    <w:name w:val="Char2 Char Char Char Char Char Char Char Char Char1 Char Char Char Char Char Char Char Char Char Char Char Char6"/>
    <w:basedOn w:val="a1"/>
    <w:qFormat/>
    <w:pPr>
      <w:spacing w:after="160" w:line="240" w:lineRule="exact"/>
    </w:pPr>
    <w:rPr>
      <w:rFonts w:ascii="Verdana" w:eastAsia="Times New Roman" w:hAnsi="Verdana" w:cs="Times New Roman"/>
      <w:sz w:val="20"/>
      <w:szCs w:val="20"/>
      <w:lang w:eastAsia="en-US"/>
    </w:rPr>
  </w:style>
  <w:style w:type="paragraph" w:customStyle="1" w:styleId="CharCharCharCharCharCharCharCharCharChar7">
    <w:name w:val="Char Char Char Char Char Char Char Char Char Char7"/>
    <w:basedOn w:val="a1"/>
    <w:qFormat/>
    <w:pPr>
      <w:widowControl w:val="0"/>
      <w:tabs>
        <w:tab w:val="left" w:pos="360"/>
      </w:tabs>
    </w:pPr>
    <w:rPr>
      <w:rFonts w:ascii="Times New Roman" w:hAnsi="Times New Roman" w:cs="Times New Roman"/>
      <w:kern w:val="2"/>
      <w:szCs w:val="30"/>
    </w:rPr>
  </w:style>
  <w:style w:type="paragraph" w:customStyle="1" w:styleId="CharCharCharChar8">
    <w:name w:val="Char Char Char Char8"/>
    <w:basedOn w:val="a1"/>
    <w:qFormat/>
    <w:rPr>
      <w:rFonts w:ascii="Arial" w:hAnsi="Arial" w:cs="Arial"/>
      <w:sz w:val="22"/>
      <w:szCs w:val="22"/>
      <w:lang w:val="en-AU"/>
    </w:rPr>
  </w:style>
  <w:style w:type="paragraph" w:customStyle="1" w:styleId="CharChar4CharChar5">
    <w:name w:val="Char Char4 Char Char5"/>
    <w:basedOn w:val="a1"/>
    <w:semiHidden/>
    <w:qFormat/>
    <w:pPr>
      <w:spacing w:after="160" w:line="240" w:lineRule="exact"/>
    </w:pPr>
    <w:rPr>
      <w:rFonts w:ascii="Verdana" w:hAnsi="Verdana" w:cs="CG Omega"/>
      <w:sz w:val="20"/>
      <w:szCs w:val="20"/>
      <w:lang w:eastAsia="en-US"/>
    </w:rPr>
  </w:style>
  <w:style w:type="paragraph" w:customStyle="1" w:styleId="afffffd">
    <w:name w:val="重庆农商招股书表格"/>
    <w:basedOn w:val="a1"/>
    <w:link w:val="Charf0"/>
    <w:qFormat/>
    <w:pPr>
      <w:widowControl w:val="0"/>
      <w:jc w:val="center"/>
    </w:pPr>
    <w:rPr>
      <w:rFonts w:cs="Times New Roman"/>
      <w:b/>
      <w:sz w:val="20"/>
      <w:szCs w:val="21"/>
    </w:rPr>
  </w:style>
  <w:style w:type="paragraph" w:customStyle="1" w:styleId="a">
    <w:name w:val="标题四"/>
    <w:basedOn w:val="a1"/>
    <w:link w:val="Charf1"/>
    <w:qFormat/>
    <w:pPr>
      <w:widowControl w:val="0"/>
      <w:numPr>
        <w:numId w:val="3"/>
      </w:numPr>
    </w:pPr>
    <w:rPr>
      <w:rFonts w:cs="Times New Roman"/>
      <w:b/>
      <w:sz w:val="28"/>
    </w:rPr>
  </w:style>
  <w:style w:type="paragraph" w:customStyle="1" w:styleId="2f0">
    <w:name w:val="标题2"/>
    <w:basedOn w:val="a1"/>
    <w:qFormat/>
    <w:pPr>
      <w:keepNext/>
      <w:widowControl w:val="0"/>
      <w:adjustRightInd w:val="0"/>
      <w:snapToGrid w:val="0"/>
      <w:ind w:firstLineChars="0" w:firstLine="0"/>
      <w:jc w:val="left"/>
      <w:outlineLvl w:val="1"/>
    </w:pPr>
    <w:rPr>
      <w:rFonts w:ascii="黑体" w:eastAsia="黑体" w:cs="Times New Roman"/>
      <w:kern w:val="2"/>
      <w:sz w:val="30"/>
      <w:szCs w:val="28"/>
    </w:rPr>
  </w:style>
  <w:style w:type="paragraph" w:customStyle="1" w:styleId="4a">
    <w:name w:val="标题4"/>
    <w:basedOn w:val="37"/>
    <w:qFormat/>
    <w:pPr>
      <w:keepNext/>
      <w:widowControl w:val="0"/>
      <w:spacing w:afterLines="0"/>
      <w:ind w:firstLineChars="0" w:firstLine="0"/>
      <w:jc w:val="left"/>
      <w:outlineLvl w:val="2"/>
    </w:pPr>
    <w:rPr>
      <w:rFonts w:ascii="宋体" w:eastAsia="宋体" w:hAnsi="宋体" w:cs="Times New Roman"/>
      <w:b/>
      <w:color w:val="auto"/>
      <w:szCs w:val="28"/>
    </w:rPr>
  </w:style>
  <w:style w:type="paragraph" w:customStyle="1" w:styleId="150">
    <w:name w:val="样式 黑体 小三 居中 行距: 1.5 倍行距"/>
    <w:basedOn w:val="1"/>
    <w:qFormat/>
    <w:pPr>
      <w:keepLines w:val="0"/>
      <w:widowControl w:val="0"/>
      <w:spacing w:before="312" w:after="312" w:line="360" w:lineRule="auto"/>
      <w:ind w:firstLine="600"/>
      <w:jc w:val="center"/>
    </w:pPr>
    <w:rPr>
      <w:rFonts w:ascii="黑体" w:eastAsia="黑体" w:cs="宋体"/>
      <w:bCs w:val="0"/>
      <w:kern w:val="2"/>
      <w:sz w:val="30"/>
      <w:szCs w:val="20"/>
    </w:rPr>
  </w:style>
  <w:style w:type="paragraph" w:customStyle="1" w:styleId="DPWfd">
    <w:name w:val="DPW fd"/>
    <w:basedOn w:val="a1"/>
    <w:next w:val="DeltaViewTableHeading"/>
    <w:qFormat/>
    <w:pPr>
      <w:widowControl w:val="0"/>
      <w:autoSpaceDE w:val="0"/>
      <w:autoSpaceDN w:val="0"/>
      <w:adjustRightInd w:val="0"/>
    </w:pPr>
    <w:rPr>
      <w:rFonts w:ascii="Times New Roman" w:hAnsi="Times New Roman" w:cs="Times New Roman"/>
      <w:sz w:val="20"/>
      <w:szCs w:val="20"/>
      <w:lang w:bidi="he-IL"/>
    </w:rPr>
  </w:style>
  <w:style w:type="paragraph" w:customStyle="1" w:styleId="DeltaViewTableHeading">
    <w:name w:val="DeltaView Table Heading"/>
    <w:basedOn w:val="a1"/>
    <w:qFormat/>
    <w:pPr>
      <w:autoSpaceDE w:val="0"/>
      <w:autoSpaceDN w:val="0"/>
      <w:adjustRightInd w:val="0"/>
      <w:spacing w:after="120"/>
    </w:pPr>
    <w:rPr>
      <w:rFonts w:ascii="Arial" w:hAnsi="Arial" w:cs="Arial"/>
      <w:b/>
      <w:bCs/>
      <w:lang w:bidi="he-IL"/>
    </w:rPr>
  </w:style>
  <w:style w:type="paragraph" w:customStyle="1" w:styleId="DeltaViewTableBody">
    <w:name w:val="DeltaView Table Body"/>
    <w:basedOn w:val="a1"/>
    <w:qFormat/>
    <w:pPr>
      <w:autoSpaceDE w:val="0"/>
      <w:autoSpaceDN w:val="0"/>
      <w:adjustRightInd w:val="0"/>
    </w:pPr>
    <w:rPr>
      <w:rFonts w:ascii="Arial" w:hAnsi="Arial" w:cs="Arial"/>
      <w:lang w:bidi="he-IL"/>
    </w:rPr>
  </w:style>
  <w:style w:type="paragraph" w:customStyle="1" w:styleId="DPWfdBlock1">
    <w:name w:val="DPWfd Block1"/>
    <w:basedOn w:val="DeltaViewTableHeading"/>
    <w:next w:val="DeltaViewTableHeading"/>
    <w:qFormat/>
    <w:pPr>
      <w:widowControl w:val="0"/>
      <w:spacing w:after="200"/>
      <w:ind w:left="720" w:right="720"/>
    </w:pPr>
    <w:rPr>
      <w:rFonts w:ascii="Times New Roman" w:hAnsi="Times New Roman" w:cs="Times New Roman"/>
      <w:b w:val="0"/>
      <w:bCs w:val="0"/>
      <w:sz w:val="20"/>
      <w:szCs w:val="20"/>
    </w:rPr>
  </w:style>
  <w:style w:type="paragraph" w:customStyle="1" w:styleId="DPWfdBullet1">
    <w:name w:val="DPWfd Bullet1"/>
    <w:basedOn w:val="DeltaViewTableHeading"/>
    <w:next w:val="DeltaViewTableHeading"/>
    <w:qFormat/>
    <w:pPr>
      <w:widowControl w:val="0"/>
      <w:spacing w:after="200"/>
    </w:pPr>
    <w:rPr>
      <w:rFonts w:ascii="Times New Roman" w:hAnsi="Times New Roman" w:cs="Times New Roman"/>
      <w:b w:val="0"/>
      <w:bCs w:val="0"/>
      <w:sz w:val="20"/>
      <w:szCs w:val="20"/>
    </w:rPr>
  </w:style>
  <w:style w:type="paragraph" w:customStyle="1" w:styleId="DPWfdBullet2">
    <w:name w:val="DPWfd Bullet2"/>
    <w:basedOn w:val="DeltaViewTableHeading"/>
    <w:next w:val="DeltaViewTableHeading"/>
    <w:qFormat/>
    <w:pPr>
      <w:widowControl w:val="0"/>
      <w:spacing w:after="200"/>
    </w:pPr>
    <w:rPr>
      <w:rFonts w:ascii="Times New Roman" w:hAnsi="Times New Roman" w:cs="Times New Roman"/>
      <w:b w:val="0"/>
      <w:bCs w:val="0"/>
      <w:sz w:val="20"/>
      <w:szCs w:val="20"/>
    </w:rPr>
  </w:style>
  <w:style w:type="paragraph" w:customStyle="1" w:styleId="DPWfdBullet3">
    <w:name w:val="DPWfd Bullet3"/>
    <w:basedOn w:val="DeltaViewTableHeading"/>
    <w:next w:val="DeltaViewTableHeading"/>
    <w:qFormat/>
    <w:pPr>
      <w:widowControl w:val="0"/>
      <w:spacing w:after="200"/>
    </w:pPr>
    <w:rPr>
      <w:rFonts w:ascii="Times New Roman" w:hAnsi="Times New Roman" w:cs="Times New Roman"/>
      <w:b w:val="0"/>
      <w:bCs w:val="0"/>
      <w:sz w:val="20"/>
      <w:szCs w:val="20"/>
    </w:rPr>
  </w:style>
  <w:style w:type="paragraph" w:customStyle="1" w:styleId="DPWfdCenterLine">
    <w:name w:val="DPWfd Center Line"/>
    <w:basedOn w:val="DeltaViewTableHeading"/>
    <w:next w:val="DeltaViewTableHeading"/>
    <w:qFormat/>
    <w:pPr>
      <w:widowControl w:val="0"/>
      <w:pBdr>
        <w:top w:val="single" w:sz="4" w:space="0" w:color="000000"/>
      </w:pBdr>
      <w:spacing w:before="100" w:beforeAutospacing="1" w:after="0"/>
      <w:ind w:left="3744" w:right="3744"/>
      <w:jc w:val="center"/>
    </w:pPr>
    <w:rPr>
      <w:rFonts w:ascii="Times New Roman" w:hAnsi="Times New Roman" w:cs="Times New Roman"/>
      <w:b w:val="0"/>
      <w:bCs w:val="0"/>
      <w:sz w:val="10"/>
      <w:szCs w:val="10"/>
    </w:rPr>
  </w:style>
  <w:style w:type="paragraph" w:customStyle="1" w:styleId="DPWfdHDBoldCenter">
    <w:name w:val="DPWfd HD Bold Center"/>
    <w:basedOn w:val="DeltaViewTableHeading"/>
    <w:next w:val="DeltaViewTableBody"/>
    <w:qFormat/>
    <w:pPr>
      <w:keepNext/>
      <w:widowControl w:val="0"/>
      <w:spacing w:before="200" w:after="200"/>
      <w:jc w:val="center"/>
    </w:pPr>
    <w:rPr>
      <w:rFonts w:ascii="Times New Roman" w:hAnsi="Times New Roman" w:cs="Times New Roman"/>
      <w:sz w:val="20"/>
      <w:szCs w:val="20"/>
    </w:rPr>
  </w:style>
  <w:style w:type="paragraph" w:customStyle="1" w:styleId="DPWfdHDItal">
    <w:name w:val="DPWfd HD Ital"/>
    <w:basedOn w:val="DeltaViewTableHeading"/>
    <w:next w:val="DeltaViewTableBody"/>
    <w:qFormat/>
    <w:pPr>
      <w:keepNext/>
      <w:widowControl w:val="0"/>
      <w:spacing w:after="200"/>
      <w:ind w:left="360"/>
    </w:pPr>
    <w:rPr>
      <w:rFonts w:ascii="Times New Roman" w:hAnsi="Times New Roman" w:cs="Times New Roman"/>
      <w:b w:val="0"/>
      <w:bCs w:val="0"/>
      <w:i/>
      <w:iCs/>
      <w:sz w:val="20"/>
      <w:szCs w:val="20"/>
    </w:rPr>
  </w:style>
  <w:style w:type="paragraph" w:customStyle="1" w:styleId="DPWfdHDItalBold">
    <w:name w:val="DPWfd HD Ital Bold"/>
    <w:basedOn w:val="DeltaViewTableHeading"/>
    <w:next w:val="DeltaViewTableBody"/>
    <w:qFormat/>
    <w:pPr>
      <w:keepNext/>
      <w:widowControl w:val="0"/>
      <w:spacing w:after="200"/>
      <w:ind w:left="187"/>
    </w:pPr>
    <w:rPr>
      <w:rFonts w:ascii="Times New Roman" w:hAnsi="Times New Roman" w:cs="Times New Roman"/>
      <w:i/>
      <w:iCs/>
      <w:sz w:val="20"/>
      <w:szCs w:val="20"/>
    </w:rPr>
  </w:style>
  <w:style w:type="paragraph" w:customStyle="1" w:styleId="DPWfdTOC1BoldLeft">
    <w:name w:val="DPWfd TOC1 Bold Left"/>
    <w:basedOn w:val="DeltaViewTableHeading"/>
    <w:next w:val="DeltaViewTableBody"/>
    <w:qFormat/>
    <w:pPr>
      <w:keepNext/>
      <w:widowControl w:val="0"/>
      <w:spacing w:after="200"/>
    </w:pPr>
    <w:rPr>
      <w:rFonts w:ascii="Times New Roman" w:hAnsi="Times New Roman" w:cs="Times New Roman"/>
      <w:sz w:val="20"/>
      <w:szCs w:val="20"/>
    </w:rPr>
  </w:style>
  <w:style w:type="paragraph" w:customStyle="1" w:styleId="DPWfdtblnum9">
    <w:name w:val="DPWfd tbl num9"/>
    <w:basedOn w:val="DeltaViewTableHeading"/>
    <w:qFormat/>
    <w:pPr>
      <w:widowControl w:val="0"/>
      <w:spacing w:after="0"/>
    </w:pPr>
    <w:rPr>
      <w:rFonts w:ascii="Times New Roman" w:hAnsi="Times New Roman" w:cs="Times New Roman"/>
      <w:b w:val="0"/>
      <w:bCs w:val="0"/>
      <w:sz w:val="18"/>
      <w:szCs w:val="18"/>
    </w:rPr>
  </w:style>
  <w:style w:type="paragraph" w:customStyle="1" w:styleId="DPWfdtblftn7">
    <w:name w:val="DPWfd tbl ftn7"/>
    <w:basedOn w:val="DeltaViewTableHeading"/>
    <w:qFormat/>
    <w:pPr>
      <w:widowControl w:val="0"/>
      <w:spacing w:after="70"/>
      <w:ind w:left="216" w:hanging="216"/>
    </w:pPr>
    <w:rPr>
      <w:rFonts w:ascii="Times New Roman" w:hAnsi="Times New Roman" w:cs="Times New Roman"/>
      <w:b w:val="0"/>
      <w:bCs w:val="0"/>
      <w:sz w:val="14"/>
      <w:szCs w:val="14"/>
    </w:rPr>
  </w:style>
  <w:style w:type="paragraph" w:customStyle="1" w:styleId="DPWfdtblhead7">
    <w:name w:val="DPWfd tbl head7"/>
    <w:basedOn w:val="DeltaViewTableHeading"/>
    <w:qFormat/>
    <w:pPr>
      <w:widowControl w:val="0"/>
      <w:spacing w:before="20" w:after="40" w:line="180" w:lineRule="exact"/>
      <w:jc w:val="center"/>
    </w:pPr>
    <w:rPr>
      <w:rFonts w:ascii="Times New Roman" w:hAnsi="Times New Roman" w:cs="Times New Roman"/>
      <w:sz w:val="14"/>
      <w:szCs w:val="14"/>
    </w:rPr>
  </w:style>
  <w:style w:type="paragraph" w:customStyle="1" w:styleId="DPWfdtblhead8">
    <w:name w:val="DPWfd tbl head8"/>
    <w:basedOn w:val="DeltaViewTableHeading"/>
    <w:qFormat/>
    <w:pPr>
      <w:widowControl w:val="0"/>
      <w:spacing w:before="20" w:after="40" w:line="180" w:lineRule="exact"/>
      <w:jc w:val="center"/>
    </w:pPr>
    <w:rPr>
      <w:rFonts w:ascii="Times New Roman" w:hAnsi="Times New Roman" w:cs="Times New Roman"/>
      <w:sz w:val="16"/>
      <w:szCs w:val="16"/>
    </w:rPr>
  </w:style>
  <w:style w:type="paragraph" w:customStyle="1" w:styleId="DPWfdtblstub10">
    <w:name w:val="DPWfd tbl stub10"/>
    <w:basedOn w:val="DeltaViewTableHeading"/>
    <w:next w:val="DeltaViewTableHeading"/>
    <w:qFormat/>
    <w:pPr>
      <w:widowControl w:val="0"/>
      <w:spacing w:after="0"/>
      <w:ind w:left="187" w:right="187" w:hanging="187"/>
    </w:pPr>
    <w:rPr>
      <w:rFonts w:ascii="Times New Roman" w:hAnsi="Times New Roman" w:cs="Times New Roman"/>
      <w:b w:val="0"/>
      <w:bCs w:val="0"/>
      <w:sz w:val="20"/>
      <w:szCs w:val="20"/>
    </w:rPr>
  </w:style>
  <w:style w:type="paragraph" w:customStyle="1" w:styleId="DPWfdtblstub8">
    <w:name w:val="DPWfd tbl stub8"/>
    <w:basedOn w:val="DeltaViewTableHeading"/>
    <w:next w:val="DeltaViewTableHeading"/>
    <w:qFormat/>
    <w:pPr>
      <w:widowControl w:val="0"/>
      <w:spacing w:after="0"/>
      <w:ind w:left="187" w:right="165" w:hanging="187"/>
    </w:pPr>
    <w:rPr>
      <w:rFonts w:ascii="Times New Roman" w:hAnsi="Times New Roman" w:cs="Times New Roman"/>
      <w:b w:val="0"/>
      <w:bCs w:val="0"/>
      <w:sz w:val="16"/>
      <w:szCs w:val="16"/>
    </w:rPr>
  </w:style>
  <w:style w:type="paragraph" w:customStyle="1" w:styleId="DPWfdtblstub9">
    <w:name w:val="DPWfd tbl stub9"/>
    <w:basedOn w:val="DeltaViewTableHeading"/>
    <w:next w:val="DeltaViewTableHeading"/>
    <w:qFormat/>
    <w:pPr>
      <w:widowControl w:val="0"/>
      <w:spacing w:after="0"/>
      <w:ind w:left="187" w:right="187" w:hanging="187"/>
    </w:pPr>
    <w:rPr>
      <w:rFonts w:ascii="Times New Roman" w:hAnsi="Times New Roman" w:cs="Times New Roman"/>
      <w:b w:val="0"/>
      <w:bCs w:val="0"/>
      <w:sz w:val="18"/>
      <w:szCs w:val="18"/>
    </w:rPr>
  </w:style>
  <w:style w:type="paragraph" w:customStyle="1" w:styleId="DPWfdHDBoldRight">
    <w:name w:val="DPWfd HD Bold Right"/>
    <w:basedOn w:val="DeltaViewTableHeading"/>
    <w:next w:val="DeltaViewTableBody"/>
    <w:qFormat/>
    <w:pPr>
      <w:keepNext/>
      <w:widowControl w:val="0"/>
      <w:spacing w:after="200"/>
      <w:jc w:val="right"/>
    </w:pPr>
    <w:rPr>
      <w:rFonts w:ascii="Times New Roman" w:hAnsi="Times New Roman" w:cs="Times New Roman"/>
      <w:sz w:val="20"/>
      <w:szCs w:val="20"/>
    </w:rPr>
  </w:style>
  <w:style w:type="paragraph" w:customStyle="1" w:styleId="DPWfdTOC1Center">
    <w:name w:val="DPWfd TOC1 Center"/>
    <w:basedOn w:val="DeltaViewTableHeading"/>
    <w:next w:val="DeltaViewTableBody"/>
    <w:qFormat/>
    <w:pPr>
      <w:keepNext/>
      <w:widowControl w:val="0"/>
      <w:spacing w:before="200" w:after="200"/>
      <w:jc w:val="center"/>
    </w:pPr>
    <w:rPr>
      <w:rFonts w:ascii="Times New Roman" w:hAnsi="Times New Roman" w:cs="Times New Roman"/>
      <w:sz w:val="20"/>
      <w:szCs w:val="20"/>
    </w:rPr>
  </w:style>
  <w:style w:type="paragraph" w:customStyle="1" w:styleId="DPWfdTOC1CenterCaps">
    <w:name w:val="DPWfd TOC1 Center Caps"/>
    <w:basedOn w:val="DeltaViewTableHeading"/>
    <w:next w:val="DeltaViewTableBody"/>
    <w:qFormat/>
    <w:pPr>
      <w:keepNext/>
      <w:widowControl w:val="0"/>
      <w:spacing w:before="200" w:after="200"/>
      <w:jc w:val="center"/>
    </w:pPr>
    <w:rPr>
      <w:rFonts w:ascii="Times New Roman" w:hAnsi="Times New Roman" w:cs="Times New Roman"/>
      <w:caps/>
      <w:sz w:val="20"/>
      <w:szCs w:val="20"/>
    </w:rPr>
  </w:style>
  <w:style w:type="paragraph" w:customStyle="1" w:styleId="DPWHeadRight">
    <w:name w:val="DPW Head Right"/>
    <w:basedOn w:val="a1"/>
    <w:qFormat/>
    <w:pPr>
      <w:keepNext/>
      <w:widowControl w:val="0"/>
      <w:autoSpaceDE w:val="0"/>
      <w:autoSpaceDN w:val="0"/>
      <w:adjustRightInd w:val="0"/>
      <w:spacing w:after="240"/>
      <w:jc w:val="right"/>
    </w:pPr>
    <w:rPr>
      <w:rFonts w:ascii="Times New Roman" w:hAnsi="Times New Roman" w:cs="Times New Roman"/>
      <w:lang w:bidi="he-IL"/>
    </w:rPr>
  </w:style>
  <w:style w:type="paragraph" w:customStyle="1" w:styleId="DPWfdTOC2BoldLeft">
    <w:name w:val="DPWfd TOC2 Bold Left"/>
    <w:basedOn w:val="DeltaViewTableHeading"/>
    <w:next w:val="DeltaViewTableBody"/>
    <w:qFormat/>
    <w:pPr>
      <w:keepNext/>
      <w:widowControl w:val="0"/>
      <w:spacing w:after="200"/>
    </w:pPr>
    <w:rPr>
      <w:rFonts w:ascii="Times New Roman" w:hAnsi="Times New Roman" w:cs="Times New Roman"/>
      <w:sz w:val="20"/>
      <w:szCs w:val="20"/>
    </w:rPr>
  </w:style>
  <w:style w:type="paragraph" w:customStyle="1" w:styleId="DPWfdCovCenterLine">
    <w:name w:val="DPWfd Cov Center Line"/>
    <w:basedOn w:val="DeltaViewTableHeading"/>
    <w:next w:val="DeltaViewTableHeading"/>
    <w:qFormat/>
    <w:pPr>
      <w:widowControl w:val="0"/>
      <w:pBdr>
        <w:top w:val="single" w:sz="4" w:space="0" w:color="000000"/>
      </w:pBdr>
      <w:spacing w:before="100" w:beforeAutospacing="1" w:after="0"/>
      <w:ind w:left="4320" w:right="4320"/>
      <w:jc w:val="center"/>
    </w:pPr>
    <w:rPr>
      <w:rFonts w:ascii="Times New Roman" w:hAnsi="Times New Roman" w:cs="Times New Roman"/>
      <w:b w:val="0"/>
      <w:bCs w:val="0"/>
      <w:sz w:val="10"/>
      <w:szCs w:val="10"/>
    </w:rPr>
  </w:style>
  <w:style w:type="paragraph" w:customStyle="1" w:styleId="DPWTSTerm">
    <w:name w:val="DPW TS Term"/>
    <w:basedOn w:val="a1"/>
    <w:qFormat/>
    <w:pPr>
      <w:widowControl w:val="0"/>
      <w:autoSpaceDE w:val="0"/>
      <w:autoSpaceDN w:val="0"/>
      <w:adjustRightInd w:val="0"/>
      <w:spacing w:before="40"/>
      <w:ind w:left="360" w:hanging="360"/>
    </w:pPr>
    <w:rPr>
      <w:rFonts w:ascii="Times New Roman" w:hAnsi="Times New Roman" w:cs="Times New Roman"/>
      <w:b/>
      <w:bCs/>
      <w:lang w:bidi="he-IL"/>
    </w:rPr>
  </w:style>
  <w:style w:type="paragraph" w:customStyle="1" w:styleId="DPWfdsumdef">
    <w:name w:val="DPWfd sumdef"/>
    <w:basedOn w:val="DeltaViewTableHeading"/>
    <w:qFormat/>
    <w:pPr>
      <w:widowControl w:val="0"/>
      <w:tabs>
        <w:tab w:val="right" w:leader="dot" w:pos="4400"/>
      </w:tabs>
      <w:spacing w:after="0"/>
      <w:ind w:left="360" w:right="360" w:hanging="360"/>
    </w:pPr>
    <w:rPr>
      <w:rFonts w:ascii="Times New Roman" w:hAnsi="Times New Roman" w:cs="Times New Roman"/>
      <w:b w:val="0"/>
      <w:bCs w:val="0"/>
      <w:sz w:val="20"/>
      <w:szCs w:val="20"/>
    </w:rPr>
  </w:style>
  <w:style w:type="paragraph" w:customStyle="1" w:styleId="DPWfdsumtxt">
    <w:name w:val="DPWfd sumtxt"/>
    <w:basedOn w:val="DeltaViewTableHeading"/>
    <w:qFormat/>
    <w:pPr>
      <w:widowControl w:val="0"/>
      <w:spacing w:after="200"/>
      <w:ind w:left="144"/>
    </w:pPr>
    <w:rPr>
      <w:rFonts w:ascii="Times New Roman" w:hAnsi="Times New Roman" w:cs="Times New Roman"/>
      <w:b w:val="0"/>
      <w:bCs w:val="0"/>
      <w:sz w:val="20"/>
      <w:szCs w:val="20"/>
    </w:rPr>
  </w:style>
  <w:style w:type="paragraph" w:customStyle="1" w:styleId="DPWTSTextSpace">
    <w:name w:val="DPW TS Text Space"/>
    <w:basedOn w:val="a1"/>
    <w:qFormat/>
    <w:pPr>
      <w:widowControl w:val="0"/>
      <w:autoSpaceDE w:val="0"/>
      <w:autoSpaceDN w:val="0"/>
      <w:adjustRightInd w:val="0"/>
      <w:spacing w:before="40" w:after="240"/>
    </w:pPr>
    <w:rPr>
      <w:rFonts w:ascii="Times New Roman" w:hAnsi="Times New Roman" w:cs="Times New Roman"/>
      <w:lang w:bidi="he-IL"/>
    </w:rPr>
  </w:style>
  <w:style w:type="paragraph" w:customStyle="1" w:styleId="dpw5">
    <w:name w:val="_dpw_5"/>
    <w:basedOn w:val="af1"/>
    <w:qFormat/>
    <w:pPr>
      <w:keepNext/>
      <w:widowControl w:val="0"/>
      <w:autoSpaceDE w:val="0"/>
      <w:autoSpaceDN w:val="0"/>
      <w:adjustRightInd w:val="0"/>
      <w:spacing w:after="200"/>
      <w:ind w:left="720"/>
    </w:pPr>
    <w:rPr>
      <w:rFonts w:ascii="Times New Roman" w:hAnsi="Times New Roman"/>
      <w:sz w:val="20"/>
      <w:szCs w:val="20"/>
      <w:lang w:bidi="he-IL"/>
    </w:rPr>
  </w:style>
  <w:style w:type="paragraph" w:customStyle="1" w:styleId="dpw4">
    <w:name w:val="_dpw_4"/>
    <w:basedOn w:val="af1"/>
    <w:qFormat/>
    <w:pPr>
      <w:keepNext/>
      <w:widowControl w:val="0"/>
      <w:autoSpaceDE w:val="0"/>
      <w:autoSpaceDN w:val="0"/>
      <w:adjustRightInd w:val="0"/>
      <w:spacing w:after="200"/>
      <w:ind w:left="360"/>
    </w:pPr>
    <w:rPr>
      <w:rFonts w:ascii="Times New Roman" w:hAnsi="Times New Roman"/>
      <w:i/>
      <w:iCs/>
      <w:sz w:val="20"/>
      <w:szCs w:val="20"/>
      <w:lang w:bidi="he-IL"/>
    </w:rPr>
  </w:style>
  <w:style w:type="paragraph" w:customStyle="1" w:styleId="DeltaViewAnnounce">
    <w:name w:val="DeltaView Announce"/>
    <w:qFormat/>
    <w:pPr>
      <w:autoSpaceDE w:val="0"/>
      <w:autoSpaceDN w:val="0"/>
      <w:adjustRightInd w:val="0"/>
      <w:spacing w:before="100" w:beforeAutospacing="1" w:after="100" w:afterAutospacing="1"/>
    </w:pPr>
    <w:rPr>
      <w:rFonts w:ascii="Arial" w:hAnsi="Arial" w:cs="Arial"/>
      <w:sz w:val="24"/>
      <w:szCs w:val="24"/>
      <w:lang w:val="en-GB" w:bidi="he-IL"/>
    </w:rPr>
  </w:style>
  <w:style w:type="paragraph" w:customStyle="1" w:styleId="Bullet1">
    <w:name w:val="Bullet 1"/>
    <w:basedOn w:val="a1"/>
    <w:link w:val="Bullet1Char"/>
    <w:qFormat/>
    <w:pPr>
      <w:tabs>
        <w:tab w:val="left" w:pos="340"/>
        <w:tab w:val="left" w:pos="822"/>
      </w:tabs>
      <w:spacing w:before="20" w:after="60"/>
      <w:ind w:left="822" w:hanging="340"/>
    </w:pPr>
    <w:rPr>
      <w:rFonts w:ascii="华文楷体" w:eastAsia="华文楷体" w:hAnsi="华文楷体" w:cs="Times New Roman"/>
      <w:bCs/>
      <w:color w:val="000000"/>
      <w:szCs w:val="20"/>
    </w:rPr>
  </w:style>
  <w:style w:type="paragraph" w:customStyle="1" w:styleId="787815">
    <w:name w:val="样式 黑体 四号 段前: 7.8 磅 段后: 7.8 磅 行距: 1.5 倍行距"/>
    <w:basedOn w:val="1"/>
    <w:qFormat/>
    <w:pPr>
      <w:keepLines w:val="0"/>
      <w:widowControl w:val="0"/>
      <w:spacing w:before="156" w:after="156" w:line="360" w:lineRule="auto"/>
      <w:ind w:firstLine="560"/>
      <w:jc w:val="center"/>
    </w:pPr>
    <w:rPr>
      <w:rFonts w:ascii="黑体" w:eastAsia="黑体" w:cs="宋体"/>
      <w:bCs w:val="0"/>
      <w:kern w:val="2"/>
      <w:sz w:val="28"/>
      <w:szCs w:val="20"/>
    </w:rPr>
  </w:style>
  <w:style w:type="paragraph" w:customStyle="1" w:styleId="7878150">
    <w:name w:val="样式 黑体 小四 段前: 7.8 磅 段后: 7.8 磅 行距: 1.5 倍行距"/>
    <w:basedOn w:val="2"/>
    <w:qFormat/>
    <w:pPr>
      <w:widowControl w:val="0"/>
      <w:spacing w:before="156" w:after="156" w:line="360" w:lineRule="auto"/>
      <w:ind w:firstLine="480"/>
    </w:pPr>
    <w:rPr>
      <w:rFonts w:ascii="黑体" w:cs="宋体"/>
      <w:kern w:val="2"/>
      <w:sz w:val="24"/>
      <w:szCs w:val="20"/>
    </w:rPr>
  </w:style>
  <w:style w:type="paragraph" w:customStyle="1" w:styleId="7878151">
    <w:name w:val="样式 黑体 小四 段前: 7.8 磅 段后: 7.8 磅 行距: 1.5 倍行距1"/>
    <w:basedOn w:val="4"/>
    <w:qFormat/>
    <w:pPr>
      <w:widowControl w:val="0"/>
      <w:adjustRightInd/>
      <w:spacing w:before="156" w:after="156" w:line="360" w:lineRule="auto"/>
      <w:textAlignment w:val="auto"/>
    </w:pPr>
    <w:rPr>
      <w:rFonts w:ascii="黑体" w:hAnsi="宋体" w:cs="宋体"/>
      <w:b w:val="0"/>
      <w:kern w:val="2"/>
      <w:sz w:val="24"/>
      <w:szCs w:val="28"/>
    </w:rPr>
  </w:style>
  <w:style w:type="paragraph" w:customStyle="1" w:styleId="151">
    <w:name w:val="样式 宋体 小四 行距: 1.5 倍行距"/>
    <w:basedOn w:val="6"/>
    <w:qFormat/>
    <w:pPr>
      <w:widowControl w:val="0"/>
      <w:adjustRightInd/>
      <w:spacing w:line="360" w:lineRule="auto"/>
      <w:ind w:firstLine="480"/>
      <w:textAlignment w:val="auto"/>
    </w:pPr>
    <w:rPr>
      <w:rFonts w:ascii="宋体" w:eastAsia="宋体" w:hAnsi="宋体" w:cs="宋体"/>
      <w:b w:val="0"/>
      <w:bCs/>
      <w:kern w:val="2"/>
      <w:szCs w:val="20"/>
    </w:rPr>
  </w:style>
  <w:style w:type="paragraph" w:customStyle="1" w:styleId="7878152">
    <w:name w:val="样式 样式 黑体 四号 段前: 7.8 磅 段后: 7.8 磅 行距: 1.5 倍行距 + 非加粗 两端对齐"/>
    <w:basedOn w:val="2"/>
    <w:qFormat/>
    <w:pPr>
      <w:widowControl w:val="0"/>
      <w:spacing w:before="156" w:after="156" w:line="360" w:lineRule="auto"/>
      <w:ind w:firstLine="397"/>
    </w:pPr>
    <w:rPr>
      <w:b w:val="0"/>
      <w:bCs w:val="0"/>
      <w:kern w:val="2"/>
      <w:sz w:val="28"/>
      <w:szCs w:val="20"/>
    </w:rPr>
  </w:style>
  <w:style w:type="paragraph" w:customStyle="1" w:styleId="7878153">
    <w:name w:val="样式 样式 黑体 小四 段前: 7.8 磅 段后: 7.8 磅 行距: 1.5 倍行距 + 非加粗"/>
    <w:basedOn w:val="3"/>
    <w:qFormat/>
    <w:pPr>
      <w:widowControl w:val="0"/>
      <w:spacing w:before="156" w:after="156" w:line="360" w:lineRule="auto"/>
      <w:ind w:firstLine="397"/>
    </w:pPr>
    <w:rPr>
      <w:rFonts w:ascii="Times New Roman" w:eastAsia="黑体" w:hAnsi="Times New Roman"/>
      <w:b w:val="0"/>
      <w:kern w:val="2"/>
      <w:sz w:val="24"/>
      <w:szCs w:val="20"/>
    </w:rPr>
  </w:style>
  <w:style w:type="paragraph" w:customStyle="1" w:styleId="78781512">
    <w:name w:val="样式 样式 黑体 小四 段前: 7.8 磅 段后: 7.8 磅 行距: 1.5 倍行距1 + 首行缩进:  2 字符"/>
    <w:basedOn w:val="7878151"/>
    <w:qFormat/>
    <w:pPr>
      <w:ind w:firstLine="480"/>
    </w:pPr>
    <w:rPr>
      <w:szCs w:val="20"/>
    </w:rPr>
  </w:style>
  <w:style w:type="paragraph" w:customStyle="1" w:styleId="1DPWHeadCenterBoldh1">
    <w:name w:val="样式 标题 1DPW Head Center Boldh1 + 非加粗"/>
    <w:basedOn w:val="a1"/>
    <w:qFormat/>
    <w:pPr>
      <w:widowControl w:val="0"/>
    </w:pPr>
    <w:rPr>
      <w:rFonts w:ascii="Times New Roman" w:hAnsi="Times New Roman" w:cs="Times New Roman"/>
      <w:b/>
      <w:sz w:val="21"/>
    </w:rPr>
  </w:style>
  <w:style w:type="paragraph" w:customStyle="1" w:styleId="space0">
    <w:name w:val="space0"/>
    <w:basedOn w:val="a1"/>
    <w:qFormat/>
    <w:rPr>
      <w:rFonts w:ascii="Arial" w:eastAsia="Arial Unicode MS" w:hAnsi="Arial" w:cs="Arial"/>
      <w:lang w:val="en-GB" w:eastAsia="en-US"/>
    </w:rPr>
  </w:style>
  <w:style w:type="paragraph" w:customStyle="1" w:styleId="CharCharChar3CharCharCharChar">
    <w:name w:val="Char Char Char3 Char Char Char Char"/>
    <w:basedOn w:val="a1"/>
    <w:qFormat/>
    <w:pPr>
      <w:spacing w:after="160" w:line="240" w:lineRule="exact"/>
    </w:pPr>
    <w:rPr>
      <w:rFonts w:ascii="Verdana" w:eastAsia="Times New Roman" w:hAnsi="Verdana" w:cs="Arial"/>
      <w:sz w:val="22"/>
      <w:szCs w:val="20"/>
      <w:lang w:eastAsia="en-US"/>
    </w:rPr>
  </w:style>
  <w:style w:type="paragraph" w:customStyle="1" w:styleId="CharChar2CharCharCharCharCharCharCharCharCharCharCharCharCharChar">
    <w:name w:val="Char Char2 Char Char Char Char Char Char Char Char Char Char Char Char Char Char"/>
    <w:basedOn w:val="a1"/>
    <w:qFormat/>
    <w:pPr>
      <w:spacing w:after="160" w:line="240" w:lineRule="exact"/>
    </w:pPr>
    <w:rPr>
      <w:rFonts w:ascii="Times New Roman" w:eastAsia="华文楷体" w:hAnsi="Times New Roman" w:cs="Times New Roman"/>
      <w:sz w:val="20"/>
      <w:szCs w:val="20"/>
    </w:rPr>
  </w:style>
  <w:style w:type="paragraph" w:customStyle="1" w:styleId="CharChar1CharCharCharCharCharCharCharCharCharCharCharCharCharChar">
    <w:name w:val="Char Char1 Char Char Char Char Char Char Char Char Char Char Char Char Char Char"/>
    <w:basedOn w:val="a1"/>
    <w:qFormat/>
    <w:pPr>
      <w:spacing w:after="160" w:line="240" w:lineRule="exact"/>
    </w:pPr>
    <w:rPr>
      <w:rFonts w:ascii="Times New Roman" w:eastAsia="华文楷体" w:hAnsi="Times New Roman" w:cs="Times New Roman"/>
      <w:sz w:val="20"/>
      <w:szCs w:val="20"/>
    </w:rPr>
  </w:style>
  <w:style w:type="paragraph" w:customStyle="1" w:styleId="ListParagraph1">
    <w:name w:val="List Paragraph1"/>
    <w:basedOn w:val="a1"/>
    <w:qFormat/>
    <w:pPr>
      <w:ind w:left="720"/>
      <w:contextualSpacing/>
    </w:pPr>
    <w:rPr>
      <w:rFonts w:ascii="Times New Roman" w:eastAsia="华文楷体" w:hAnsi="Times New Roman" w:cs="Times New Roman"/>
    </w:rPr>
  </w:style>
  <w:style w:type="paragraph" w:customStyle="1" w:styleId="KWheading1">
    <w:name w:val="K&amp;W heading 1"/>
    <w:basedOn w:val="a1"/>
    <w:next w:val="a1"/>
    <w:qFormat/>
    <w:pPr>
      <w:keepNext/>
      <w:widowControl w:val="0"/>
      <w:numPr>
        <w:numId w:val="4"/>
      </w:numPr>
      <w:spacing w:after="280" w:line="280" w:lineRule="exact"/>
      <w:outlineLvl w:val="0"/>
    </w:pPr>
    <w:rPr>
      <w:rFonts w:ascii="Arial" w:eastAsia="楷体_GB2312" w:hAnsi="Arial" w:cs="Times New Roman"/>
      <w:b/>
      <w:szCs w:val="20"/>
      <w:lang w:eastAsia="en-US"/>
    </w:rPr>
  </w:style>
  <w:style w:type="paragraph" w:customStyle="1" w:styleId="KWheading2">
    <w:name w:val="K&amp;W heading 2"/>
    <w:basedOn w:val="a1"/>
    <w:next w:val="a1"/>
    <w:qFormat/>
    <w:pPr>
      <w:keepNext/>
      <w:widowControl w:val="0"/>
      <w:numPr>
        <w:ilvl w:val="1"/>
        <w:numId w:val="4"/>
      </w:numPr>
      <w:spacing w:after="280" w:line="280" w:lineRule="exact"/>
      <w:outlineLvl w:val="1"/>
    </w:pPr>
    <w:rPr>
      <w:rFonts w:ascii="Arial" w:eastAsia="楷体_GB2312" w:hAnsi="Arial" w:cs="Times New Roman"/>
      <w:sz w:val="20"/>
      <w:szCs w:val="20"/>
      <w:lang w:eastAsia="en-US"/>
    </w:rPr>
  </w:style>
  <w:style w:type="paragraph" w:customStyle="1" w:styleId="KWheading3">
    <w:name w:val="K&amp;W heading 3"/>
    <w:basedOn w:val="a1"/>
    <w:qFormat/>
    <w:pPr>
      <w:numPr>
        <w:ilvl w:val="2"/>
        <w:numId w:val="4"/>
      </w:numPr>
      <w:spacing w:after="280" w:line="280" w:lineRule="exact"/>
      <w:outlineLvl w:val="2"/>
    </w:pPr>
    <w:rPr>
      <w:rFonts w:ascii="Arial" w:eastAsia="楷体_GB2312" w:hAnsi="Arial" w:cs="Times New Roman"/>
      <w:sz w:val="20"/>
      <w:szCs w:val="20"/>
      <w:lang w:eastAsia="en-US"/>
    </w:rPr>
  </w:style>
  <w:style w:type="paragraph" w:customStyle="1" w:styleId="KWheading4">
    <w:name w:val="K&amp;W heading 4"/>
    <w:basedOn w:val="a1"/>
    <w:qFormat/>
    <w:pPr>
      <w:numPr>
        <w:ilvl w:val="3"/>
        <w:numId w:val="4"/>
      </w:numPr>
      <w:spacing w:after="280" w:line="280" w:lineRule="exact"/>
      <w:outlineLvl w:val="3"/>
    </w:pPr>
    <w:rPr>
      <w:rFonts w:ascii="Arial" w:eastAsia="楷体_GB2312" w:hAnsi="Arial" w:cs="Times New Roman"/>
      <w:sz w:val="20"/>
      <w:szCs w:val="20"/>
      <w:lang w:eastAsia="en-US"/>
    </w:rPr>
  </w:style>
  <w:style w:type="paragraph" w:customStyle="1" w:styleId="KWheading5">
    <w:name w:val="K&amp;W heading 5"/>
    <w:basedOn w:val="a1"/>
    <w:qFormat/>
    <w:pPr>
      <w:numPr>
        <w:ilvl w:val="4"/>
        <w:numId w:val="4"/>
      </w:numPr>
      <w:spacing w:after="280" w:line="280" w:lineRule="exact"/>
      <w:outlineLvl w:val="4"/>
    </w:pPr>
    <w:rPr>
      <w:rFonts w:ascii="Arial" w:eastAsia="楷体_GB2312" w:hAnsi="Arial" w:cs="Times New Roman"/>
      <w:sz w:val="20"/>
      <w:szCs w:val="20"/>
      <w:lang w:eastAsia="en-US"/>
    </w:rPr>
  </w:style>
  <w:style w:type="paragraph" w:customStyle="1" w:styleId="ParaChar">
    <w:name w:val="默认段落字体 Para Char"/>
    <w:basedOn w:val="a1"/>
    <w:qFormat/>
    <w:pPr>
      <w:widowControl w:val="0"/>
      <w:tabs>
        <w:tab w:val="left" w:pos="360"/>
      </w:tabs>
      <w:spacing w:before="312" w:after="312"/>
    </w:pPr>
    <w:rPr>
      <w:rFonts w:ascii="Times New Roman" w:hAnsi="Times New Roman" w:cs="Times New Roman"/>
      <w:kern w:val="2"/>
    </w:rPr>
  </w:style>
  <w:style w:type="paragraph" w:customStyle="1" w:styleId="DocumentMap1">
    <w:name w:val="Document Map1"/>
    <w:basedOn w:val="a1"/>
    <w:qFormat/>
    <w:pPr>
      <w:widowControl w:val="0"/>
      <w:shd w:val="clear" w:color="auto" w:fill="000080"/>
    </w:pPr>
    <w:rPr>
      <w:rFonts w:ascii="Times New Roman" w:hAnsi="Times New Roman" w:cs="Times New Roman"/>
      <w:sz w:val="20"/>
      <w:shd w:val="clear" w:color="auto" w:fill="000080"/>
    </w:rPr>
  </w:style>
  <w:style w:type="paragraph" w:customStyle="1" w:styleId="2f1">
    <w:name w:val="批注主题2"/>
    <w:basedOn w:val="af1"/>
    <w:next w:val="af1"/>
    <w:qFormat/>
    <w:pPr>
      <w:widowControl w:val="0"/>
    </w:pPr>
    <w:rPr>
      <w:rFonts w:ascii="Times New Roman" w:hAnsi="Times New Roman"/>
      <w:b/>
      <w:bCs/>
      <w:sz w:val="20"/>
      <w:szCs w:val="24"/>
    </w:rPr>
  </w:style>
  <w:style w:type="paragraph" w:customStyle="1" w:styleId="BodyTextIndent21">
    <w:name w:val="Body Text Indent 21"/>
    <w:basedOn w:val="a1"/>
    <w:qFormat/>
    <w:pPr>
      <w:widowControl w:val="0"/>
      <w:spacing w:after="100"/>
      <w:ind w:firstLine="480"/>
    </w:pPr>
    <w:rPr>
      <w:rFonts w:cs="Times New Roman"/>
      <w:szCs w:val="20"/>
    </w:rPr>
  </w:style>
  <w:style w:type="paragraph" w:customStyle="1" w:styleId="BodyTextIndent1">
    <w:name w:val="Body Text Indent1"/>
    <w:basedOn w:val="a1"/>
    <w:qFormat/>
    <w:pPr>
      <w:widowControl w:val="0"/>
      <w:ind w:firstLine="471"/>
    </w:pPr>
    <w:rPr>
      <w:rFonts w:ascii="Times New Roman" w:hAnsi="Times New Roman" w:cs="Times New Roman"/>
      <w:szCs w:val="20"/>
    </w:rPr>
  </w:style>
  <w:style w:type="paragraph" w:customStyle="1" w:styleId="BodyTextIndent31">
    <w:name w:val="Body Text Indent 31"/>
    <w:basedOn w:val="a1"/>
    <w:qFormat/>
    <w:pPr>
      <w:widowControl w:val="0"/>
      <w:adjustRightInd w:val="0"/>
      <w:spacing w:before="156"/>
      <w:ind w:firstLine="482"/>
    </w:pPr>
    <w:rPr>
      <w:rFonts w:cs="Times New Roman"/>
      <w:szCs w:val="20"/>
    </w:rPr>
  </w:style>
  <w:style w:type="paragraph" w:customStyle="1" w:styleId="Date1">
    <w:name w:val="Date1"/>
    <w:basedOn w:val="a1"/>
    <w:next w:val="a1"/>
    <w:qFormat/>
    <w:pPr>
      <w:widowControl w:val="0"/>
      <w:ind w:leftChars="2500" w:left="2500"/>
    </w:pPr>
    <w:rPr>
      <w:rFonts w:ascii="Times New Roman" w:hAnsi="Times New Roman" w:cs="Times New Roman"/>
      <w:sz w:val="20"/>
    </w:rPr>
  </w:style>
  <w:style w:type="paragraph" w:customStyle="1" w:styleId="PlainText1">
    <w:name w:val="Plain Text1"/>
    <w:basedOn w:val="a1"/>
    <w:qFormat/>
    <w:pPr>
      <w:widowControl w:val="0"/>
    </w:pPr>
    <w:rPr>
      <w:rFonts w:hAnsi="Courier New" w:cs="Times New Roman"/>
      <w:sz w:val="20"/>
      <w:szCs w:val="20"/>
    </w:rPr>
  </w:style>
  <w:style w:type="paragraph" w:customStyle="1" w:styleId="BodyText31">
    <w:name w:val="Body Text 31"/>
    <w:basedOn w:val="a1"/>
    <w:qFormat/>
    <w:pPr>
      <w:widowControl w:val="0"/>
      <w:jc w:val="right"/>
    </w:pPr>
    <w:rPr>
      <w:rFonts w:ascii="Times New Roman" w:hAnsi="Times New Roman" w:cs="Times New Roman"/>
      <w:sz w:val="18"/>
      <w:szCs w:val="20"/>
    </w:rPr>
  </w:style>
  <w:style w:type="paragraph" w:customStyle="1" w:styleId="BodyText21">
    <w:name w:val="Body Text 21"/>
    <w:basedOn w:val="a1"/>
    <w:qFormat/>
    <w:pPr>
      <w:widowControl w:val="0"/>
      <w:spacing w:after="120" w:line="480" w:lineRule="auto"/>
    </w:pPr>
    <w:rPr>
      <w:rFonts w:ascii="Times New Roman" w:hAnsi="Times New Roman" w:cs="Times New Roman"/>
      <w:sz w:val="20"/>
    </w:rPr>
  </w:style>
  <w:style w:type="paragraph" w:customStyle="1" w:styleId="NormalIndent1">
    <w:name w:val="Normal Indent1"/>
    <w:basedOn w:val="a1"/>
    <w:qFormat/>
    <w:pPr>
      <w:widowControl w:val="0"/>
      <w:spacing w:line="400" w:lineRule="exact"/>
      <w:ind w:firstLine="420"/>
    </w:pPr>
    <w:rPr>
      <w:rFonts w:ascii="Times New Roman" w:hAnsi="Times New Roman" w:cs="Times New Roman"/>
      <w:kern w:val="2"/>
      <w:sz w:val="21"/>
      <w:szCs w:val="20"/>
    </w:rPr>
  </w:style>
  <w:style w:type="paragraph" w:customStyle="1" w:styleId="afffffe">
    <w:name w:val="中文文本"/>
    <w:basedOn w:val="a1"/>
    <w:link w:val="Charf2"/>
    <w:qFormat/>
    <w:pPr>
      <w:widowControl w:val="0"/>
      <w:spacing w:afterLines="50"/>
    </w:pPr>
    <w:rPr>
      <w:rFonts w:ascii="Calibri" w:hAnsi="Calibri" w:cs="Times New Roman"/>
      <w:kern w:val="2"/>
      <w:sz w:val="21"/>
      <w:szCs w:val="22"/>
    </w:rPr>
  </w:style>
  <w:style w:type="paragraph" w:customStyle="1" w:styleId="affffff">
    <w:name w:val="自动更正"/>
    <w:qFormat/>
    <w:pPr>
      <w:widowControl w:val="0"/>
      <w:jc w:val="both"/>
    </w:pPr>
    <w:rPr>
      <w:rFonts w:ascii="Calibri" w:hAnsi="Calibri"/>
      <w:kern w:val="2"/>
      <w:sz w:val="21"/>
      <w:szCs w:val="22"/>
    </w:rPr>
  </w:style>
  <w:style w:type="paragraph" w:customStyle="1" w:styleId="affffff0">
    <w:name w:val="贾仟仞"/>
    <w:qFormat/>
    <w:pPr>
      <w:widowControl w:val="0"/>
      <w:jc w:val="both"/>
    </w:pPr>
    <w:rPr>
      <w:rFonts w:ascii="Calibri" w:hAnsi="Calibri"/>
      <w:kern w:val="2"/>
      <w:sz w:val="21"/>
      <w:szCs w:val="22"/>
    </w:rPr>
  </w:style>
  <w:style w:type="paragraph" w:customStyle="1" w:styleId="1fe">
    <w:name w:val="文档结构图1"/>
    <w:basedOn w:val="a1"/>
    <w:qFormat/>
    <w:pPr>
      <w:widowControl w:val="0"/>
      <w:shd w:val="clear" w:color="auto" w:fill="000080"/>
    </w:pPr>
    <w:rPr>
      <w:rFonts w:hAnsi="Calibri" w:cs="Times New Roman"/>
      <w:kern w:val="2"/>
      <w:sz w:val="18"/>
      <w:szCs w:val="18"/>
      <w:shd w:val="clear" w:color="auto" w:fill="000080"/>
    </w:rPr>
  </w:style>
  <w:style w:type="paragraph" w:customStyle="1" w:styleId="214">
    <w:name w:val="正文文本缩进 21"/>
    <w:basedOn w:val="a1"/>
    <w:qFormat/>
    <w:pPr>
      <w:widowControl w:val="0"/>
      <w:spacing w:after="100"/>
      <w:ind w:firstLine="480"/>
    </w:pPr>
    <w:rPr>
      <w:rFonts w:ascii="Calibri" w:hAnsi="Calibri" w:cs="Times New Roman"/>
      <w:kern w:val="2"/>
      <w:sz w:val="3276"/>
      <w:szCs w:val="3276"/>
    </w:rPr>
  </w:style>
  <w:style w:type="paragraph" w:customStyle="1" w:styleId="1ff">
    <w:name w:val="正文文本缩进1"/>
    <w:basedOn w:val="a1"/>
    <w:qFormat/>
    <w:pPr>
      <w:widowControl w:val="0"/>
      <w:ind w:firstLine="471"/>
    </w:pPr>
    <w:rPr>
      <w:rFonts w:ascii="Calibri" w:hAnsi="Calibri" w:cs="Times New Roman"/>
      <w:kern w:val="2"/>
      <w:sz w:val="3276"/>
      <w:szCs w:val="3276"/>
    </w:rPr>
  </w:style>
  <w:style w:type="paragraph" w:customStyle="1" w:styleId="314">
    <w:name w:val="正文文本缩进 31"/>
    <w:basedOn w:val="a1"/>
    <w:qFormat/>
    <w:pPr>
      <w:widowControl w:val="0"/>
      <w:adjustRightInd w:val="0"/>
      <w:spacing w:before="156"/>
      <w:ind w:firstLine="482"/>
    </w:pPr>
    <w:rPr>
      <w:rFonts w:ascii="Calibri" w:hAnsi="Calibri" w:cs="Times New Roman"/>
      <w:kern w:val="2"/>
      <w:sz w:val="16"/>
      <w:szCs w:val="16"/>
    </w:rPr>
  </w:style>
  <w:style w:type="paragraph" w:customStyle="1" w:styleId="1ff0">
    <w:name w:val="日期1"/>
    <w:basedOn w:val="a1"/>
    <w:next w:val="a1"/>
    <w:qFormat/>
    <w:pPr>
      <w:widowControl w:val="0"/>
      <w:ind w:leftChars="2500" w:left="2500"/>
    </w:pPr>
    <w:rPr>
      <w:rFonts w:ascii="Calibri" w:hAnsi="Calibri" w:cs="Times New Roman"/>
      <w:kern w:val="2"/>
      <w:sz w:val="3276"/>
      <w:szCs w:val="3276"/>
    </w:rPr>
  </w:style>
  <w:style w:type="paragraph" w:customStyle="1" w:styleId="315">
    <w:name w:val="正文文本 31"/>
    <w:basedOn w:val="a1"/>
    <w:qFormat/>
    <w:pPr>
      <w:widowControl w:val="0"/>
      <w:jc w:val="right"/>
    </w:pPr>
    <w:rPr>
      <w:rFonts w:ascii="Calibri" w:hAnsi="Calibri" w:cs="Times New Roman"/>
      <w:kern w:val="2"/>
      <w:sz w:val="16"/>
      <w:szCs w:val="16"/>
    </w:rPr>
  </w:style>
  <w:style w:type="paragraph" w:customStyle="1" w:styleId="215">
    <w:name w:val="正文文本 21"/>
    <w:basedOn w:val="a1"/>
    <w:qFormat/>
    <w:pPr>
      <w:widowControl w:val="0"/>
      <w:spacing w:after="120" w:line="480" w:lineRule="auto"/>
    </w:pPr>
    <w:rPr>
      <w:rFonts w:ascii="Calibri" w:hAnsi="Calibri" w:cs="Times New Roman"/>
      <w:kern w:val="2"/>
      <w:sz w:val="3276"/>
      <w:szCs w:val="3276"/>
    </w:rPr>
  </w:style>
  <w:style w:type="paragraph" w:customStyle="1" w:styleId="2f2">
    <w:name w:val="正文缩进2"/>
    <w:basedOn w:val="a1"/>
    <w:qFormat/>
    <w:pPr>
      <w:widowControl w:val="0"/>
      <w:spacing w:line="400" w:lineRule="exact"/>
      <w:ind w:firstLine="420"/>
    </w:pPr>
    <w:rPr>
      <w:rFonts w:ascii="Times New Roman" w:hAnsi="Times New Roman" w:cs="Times New Roman"/>
      <w:kern w:val="2"/>
      <w:sz w:val="21"/>
      <w:szCs w:val="20"/>
    </w:rPr>
  </w:style>
  <w:style w:type="paragraph" w:customStyle="1" w:styleId="KWBodytext">
    <w:name w:val="K&amp;W Body text"/>
    <w:basedOn w:val="a1"/>
    <w:qFormat/>
    <w:pPr>
      <w:spacing w:after="360" w:line="320" w:lineRule="atLeast"/>
    </w:pPr>
    <w:rPr>
      <w:rFonts w:ascii="Arial" w:eastAsia="楷体_GB2312" w:hAnsi="Arial" w:cs="Times New Roman"/>
      <w:szCs w:val="20"/>
      <w:lang w:eastAsia="en-US"/>
    </w:rPr>
  </w:style>
  <w:style w:type="paragraph" w:customStyle="1" w:styleId="Style149">
    <w:name w:val="_Style 149"/>
    <w:basedOn w:val="a1"/>
    <w:next w:val="a1"/>
    <w:qFormat/>
    <w:pPr>
      <w:widowControl w:val="0"/>
    </w:pPr>
    <w:rPr>
      <w:rFonts w:ascii="Times New Roman" w:hAnsi="Times New Roman" w:cs="Times New Roman"/>
      <w:kern w:val="2"/>
      <w:sz w:val="21"/>
    </w:rPr>
  </w:style>
  <w:style w:type="paragraph" w:customStyle="1" w:styleId="font3">
    <w:name w:val="font3"/>
    <w:basedOn w:val="a1"/>
    <w:qFormat/>
    <w:pPr>
      <w:spacing w:before="100" w:beforeAutospacing="1" w:after="100" w:afterAutospacing="1"/>
    </w:pPr>
    <w:rPr>
      <w:color w:val="000000"/>
      <w:sz w:val="18"/>
      <w:szCs w:val="18"/>
    </w:rPr>
  </w:style>
  <w:style w:type="paragraph" w:customStyle="1" w:styleId="et12">
    <w:name w:val="et12"/>
    <w:basedOn w:val="a1"/>
    <w:qFormat/>
    <w:pPr>
      <w:spacing w:before="100" w:beforeAutospacing="1" w:after="100" w:afterAutospacing="1"/>
      <w:textAlignment w:val="bottom"/>
    </w:pPr>
    <w:rPr>
      <w:color w:val="000000"/>
    </w:rPr>
  </w:style>
  <w:style w:type="paragraph" w:customStyle="1" w:styleId="et13">
    <w:name w:val="et13"/>
    <w:basedOn w:val="a1"/>
    <w:qFormat/>
    <w:pPr>
      <w:spacing w:before="100" w:beforeAutospacing="1" w:after="100" w:afterAutospacing="1"/>
      <w:textAlignment w:val="bottom"/>
    </w:pPr>
    <w:rPr>
      <w:color w:val="000000"/>
    </w:rPr>
  </w:style>
  <w:style w:type="paragraph" w:customStyle="1" w:styleId="et14">
    <w:name w:val="et14"/>
    <w:basedOn w:val="a1"/>
    <w:qFormat/>
    <w:pPr>
      <w:spacing w:before="100" w:beforeAutospacing="1" w:after="100" w:afterAutospacing="1"/>
      <w:textAlignment w:val="bottom"/>
    </w:pPr>
    <w:rPr>
      <w:rFonts w:ascii="Times New Roman" w:hAnsi="Times New Roman" w:cs="Times New Roman"/>
      <w:color w:val="000000"/>
    </w:rPr>
  </w:style>
  <w:style w:type="paragraph" w:customStyle="1" w:styleId="et15">
    <w:name w:val="et15"/>
    <w:basedOn w:val="a1"/>
    <w:qFormat/>
    <w:pPr>
      <w:spacing w:before="100" w:beforeAutospacing="1" w:after="100" w:afterAutospacing="1"/>
      <w:textAlignment w:val="bottom"/>
    </w:pPr>
    <w:rPr>
      <w:color w:val="000000"/>
    </w:rPr>
  </w:style>
  <w:style w:type="paragraph" w:customStyle="1" w:styleId="et16">
    <w:name w:val="et16"/>
    <w:basedOn w:val="a1"/>
    <w:qFormat/>
    <w:pPr>
      <w:spacing w:before="100" w:beforeAutospacing="1" w:after="100" w:afterAutospacing="1"/>
      <w:textAlignment w:val="bottom"/>
    </w:pPr>
    <w:rPr>
      <w:rFonts w:ascii="Times New Roman" w:hAnsi="Times New Roman" w:cs="Times New Roman"/>
      <w:color w:val="000000"/>
    </w:rPr>
  </w:style>
  <w:style w:type="paragraph" w:customStyle="1" w:styleId="et17">
    <w:name w:val="et17"/>
    <w:basedOn w:val="a1"/>
    <w:qFormat/>
    <w:pPr>
      <w:spacing w:before="100" w:beforeAutospacing="1" w:after="100" w:afterAutospacing="1"/>
      <w:textAlignment w:val="bottom"/>
    </w:pPr>
    <w:rPr>
      <w:rFonts w:ascii="Times New Roman" w:hAnsi="Times New Roman" w:cs="Times New Roman"/>
      <w:color w:val="000000"/>
    </w:rPr>
  </w:style>
  <w:style w:type="paragraph" w:customStyle="1" w:styleId="et18">
    <w:name w:val="et18"/>
    <w:basedOn w:val="a1"/>
    <w:qFormat/>
    <w:pPr>
      <w:spacing w:before="100" w:beforeAutospacing="1" w:after="100" w:afterAutospacing="1"/>
      <w:textAlignment w:val="bottom"/>
    </w:pPr>
    <w:rPr>
      <w:color w:val="000000"/>
    </w:rPr>
  </w:style>
  <w:style w:type="paragraph" w:customStyle="1" w:styleId="et19">
    <w:name w:val="et19"/>
    <w:basedOn w:val="a1"/>
    <w:qFormat/>
    <w:pPr>
      <w:spacing w:before="100" w:beforeAutospacing="1" w:after="100" w:afterAutospacing="1"/>
      <w:textAlignment w:val="bottom"/>
    </w:pPr>
    <w:rPr>
      <w:color w:val="000000"/>
    </w:rPr>
  </w:style>
  <w:style w:type="paragraph" w:customStyle="1" w:styleId="et20">
    <w:name w:val="et20"/>
    <w:basedOn w:val="a1"/>
    <w:qFormat/>
    <w:pPr>
      <w:spacing w:before="100" w:beforeAutospacing="1" w:after="100" w:afterAutospacing="1"/>
      <w:textAlignment w:val="bottom"/>
    </w:pPr>
    <w:rPr>
      <w:rFonts w:ascii="Times New Roman" w:hAnsi="Times New Roman" w:cs="Times New Roman"/>
      <w:color w:val="000000"/>
    </w:rPr>
  </w:style>
  <w:style w:type="paragraph" w:customStyle="1" w:styleId="et21">
    <w:name w:val="et21"/>
    <w:basedOn w:val="a1"/>
    <w:qFormat/>
    <w:pPr>
      <w:spacing w:before="100" w:beforeAutospacing="1" w:after="100" w:afterAutospacing="1"/>
      <w:textAlignment w:val="bottom"/>
    </w:pPr>
    <w:rPr>
      <w:rFonts w:ascii="Times New Roman" w:hAnsi="Times New Roman" w:cs="Times New Roman"/>
      <w:color w:val="000000"/>
    </w:rPr>
  </w:style>
  <w:style w:type="paragraph" w:customStyle="1" w:styleId="et22">
    <w:name w:val="et22"/>
    <w:basedOn w:val="a1"/>
    <w:qFormat/>
    <w:pPr>
      <w:spacing w:before="100" w:beforeAutospacing="1" w:after="100" w:afterAutospacing="1"/>
      <w:textAlignment w:val="bottom"/>
    </w:pPr>
    <w:rPr>
      <w:color w:val="000000"/>
    </w:rPr>
  </w:style>
  <w:style w:type="paragraph" w:customStyle="1" w:styleId="et23">
    <w:name w:val="et23"/>
    <w:basedOn w:val="a1"/>
    <w:qFormat/>
    <w:pPr>
      <w:spacing w:before="100" w:beforeAutospacing="1" w:after="100" w:afterAutospacing="1"/>
      <w:textAlignment w:val="bottom"/>
    </w:pPr>
    <w:rPr>
      <w:color w:val="000000"/>
    </w:rPr>
  </w:style>
  <w:style w:type="paragraph" w:customStyle="1" w:styleId="et24">
    <w:name w:val="et24"/>
    <w:basedOn w:val="a1"/>
    <w:qFormat/>
    <w:pPr>
      <w:spacing w:before="100" w:beforeAutospacing="1" w:after="100" w:afterAutospacing="1"/>
      <w:textAlignment w:val="bottom"/>
    </w:pPr>
    <w:rPr>
      <w:rFonts w:ascii="Times New Roman" w:hAnsi="Times New Roman" w:cs="Times New Roman"/>
      <w:color w:val="000000"/>
    </w:rPr>
  </w:style>
  <w:style w:type="paragraph" w:customStyle="1" w:styleId="et25">
    <w:name w:val="et25"/>
    <w:basedOn w:val="a1"/>
    <w:qFormat/>
    <w:pPr>
      <w:spacing w:before="100" w:beforeAutospacing="1" w:after="100" w:afterAutospacing="1"/>
      <w:textAlignment w:val="bottom"/>
    </w:pPr>
    <w:rPr>
      <w:rFonts w:ascii="Times New Roman" w:hAnsi="Times New Roman" w:cs="Times New Roman"/>
      <w:color w:val="000000"/>
    </w:rPr>
  </w:style>
  <w:style w:type="paragraph" w:customStyle="1" w:styleId="et26">
    <w:name w:val="et26"/>
    <w:basedOn w:val="a1"/>
    <w:qFormat/>
    <w:pPr>
      <w:spacing w:before="100" w:beforeAutospacing="1" w:after="100" w:afterAutospacing="1"/>
      <w:textAlignment w:val="bottom"/>
    </w:pPr>
    <w:rPr>
      <w:color w:val="000000"/>
    </w:rPr>
  </w:style>
  <w:style w:type="paragraph" w:customStyle="1" w:styleId="et27">
    <w:name w:val="et27"/>
    <w:basedOn w:val="a1"/>
    <w:qFormat/>
    <w:pPr>
      <w:spacing w:before="100" w:beforeAutospacing="1" w:after="100" w:afterAutospacing="1"/>
      <w:textAlignment w:val="bottom"/>
    </w:pPr>
    <w:rPr>
      <w:rFonts w:ascii="Times New Roman" w:hAnsi="Times New Roman" w:cs="Times New Roman"/>
      <w:color w:val="000000"/>
    </w:rPr>
  </w:style>
  <w:style w:type="paragraph" w:customStyle="1" w:styleId="et30">
    <w:name w:val="et30"/>
    <w:basedOn w:val="a1"/>
    <w:qFormat/>
    <w:pPr>
      <w:spacing w:before="100" w:beforeAutospacing="1" w:after="100" w:afterAutospacing="1"/>
      <w:textAlignment w:val="bottom"/>
    </w:pPr>
    <w:rPr>
      <w:rFonts w:ascii="Times New Roman" w:hAnsi="Times New Roman" w:cs="Times New Roman"/>
      <w:color w:val="000000"/>
    </w:rPr>
  </w:style>
  <w:style w:type="paragraph" w:customStyle="1" w:styleId="et41">
    <w:name w:val="et41"/>
    <w:basedOn w:val="a1"/>
    <w:qFormat/>
    <w:pPr>
      <w:spacing w:before="100" w:beforeAutospacing="1" w:after="100" w:afterAutospacing="1"/>
      <w:textAlignment w:val="bottom"/>
    </w:pPr>
    <w:rPr>
      <w:color w:val="000000"/>
    </w:rPr>
  </w:style>
  <w:style w:type="paragraph" w:customStyle="1" w:styleId="et54">
    <w:name w:val="et54"/>
    <w:basedOn w:val="a1"/>
    <w:qFormat/>
    <w:pPr>
      <w:spacing w:before="100" w:beforeAutospacing="1" w:after="100" w:afterAutospacing="1"/>
      <w:textAlignment w:val="bottom"/>
    </w:pPr>
    <w:rPr>
      <w:color w:val="000000"/>
    </w:rPr>
  </w:style>
  <w:style w:type="paragraph" w:customStyle="1" w:styleId="et77">
    <w:name w:val="et77"/>
    <w:basedOn w:val="a1"/>
    <w:qFormat/>
    <w:pPr>
      <w:spacing w:before="100" w:beforeAutospacing="1" w:after="100" w:afterAutospacing="1"/>
      <w:textAlignment w:val="bottom"/>
    </w:pPr>
    <w:rPr>
      <w:color w:val="000000"/>
    </w:rPr>
  </w:style>
  <w:style w:type="paragraph" w:customStyle="1" w:styleId="et78">
    <w:name w:val="et78"/>
    <w:basedOn w:val="a1"/>
    <w:qFormat/>
    <w:pPr>
      <w:spacing w:before="100" w:beforeAutospacing="1" w:after="100" w:afterAutospacing="1"/>
      <w:textAlignment w:val="bottom"/>
    </w:pPr>
    <w:rPr>
      <w:rFonts w:ascii="Times New Roman" w:hAnsi="Times New Roman" w:cs="Times New Roman"/>
      <w:color w:val="000000"/>
    </w:rPr>
  </w:style>
  <w:style w:type="paragraph" w:customStyle="1" w:styleId="et79">
    <w:name w:val="et79"/>
    <w:basedOn w:val="a1"/>
    <w:qFormat/>
    <w:pPr>
      <w:spacing w:before="100" w:beforeAutospacing="1" w:after="100" w:afterAutospacing="1"/>
      <w:textAlignment w:val="bottom"/>
    </w:pPr>
    <w:rPr>
      <w:rFonts w:ascii="Times New Roman" w:hAnsi="Times New Roman" w:cs="Times New Roman"/>
      <w:color w:val="000000"/>
    </w:rPr>
  </w:style>
  <w:style w:type="paragraph" w:customStyle="1" w:styleId="et96">
    <w:name w:val="et96"/>
    <w:basedOn w:val="a1"/>
    <w:qFormat/>
    <w:pPr>
      <w:spacing w:before="100" w:beforeAutospacing="1" w:after="100" w:afterAutospacing="1"/>
      <w:textAlignment w:val="bottom"/>
    </w:pPr>
    <w:rPr>
      <w:rFonts w:ascii="Times New Roman" w:hAnsi="Times New Roman" w:cs="Times New Roman"/>
      <w:color w:val="000000"/>
    </w:rPr>
  </w:style>
  <w:style w:type="paragraph" w:customStyle="1" w:styleId="et103">
    <w:name w:val="et103"/>
    <w:basedOn w:val="a1"/>
    <w:qFormat/>
    <w:pPr>
      <w:spacing w:before="100" w:beforeAutospacing="1" w:after="100" w:afterAutospacing="1"/>
      <w:textAlignment w:val="bottom"/>
    </w:pPr>
    <w:rPr>
      <w:color w:val="000000"/>
    </w:rPr>
  </w:style>
  <w:style w:type="paragraph" w:customStyle="1" w:styleId="et114">
    <w:name w:val="et114"/>
    <w:basedOn w:val="a1"/>
    <w:qFormat/>
    <w:pPr>
      <w:spacing w:before="100" w:beforeAutospacing="1" w:after="100" w:afterAutospacing="1"/>
      <w:textAlignment w:val="bottom"/>
    </w:pPr>
    <w:rPr>
      <w:rFonts w:ascii="Times New Roman" w:hAnsi="Times New Roman" w:cs="Times New Roman"/>
      <w:color w:val="000000"/>
    </w:rPr>
  </w:style>
  <w:style w:type="paragraph" w:customStyle="1" w:styleId="xl91">
    <w:name w:val="xl91"/>
    <w:basedOn w:val="a1"/>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18"/>
      <w:szCs w:val="18"/>
    </w:rPr>
  </w:style>
  <w:style w:type="paragraph" w:customStyle="1" w:styleId="xl92">
    <w:name w:val="xl92"/>
    <w:basedOn w:val="a1"/>
    <w:qFormat/>
    <w:pPr>
      <w:pBdr>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93">
    <w:name w:val="xl93"/>
    <w:basedOn w:val="a1"/>
    <w:qFormat/>
    <w:pPr>
      <w:spacing w:before="100" w:beforeAutospacing="1" w:after="100" w:afterAutospacing="1"/>
      <w:jc w:val="center"/>
      <w:textAlignment w:val="center"/>
    </w:pPr>
    <w:rPr>
      <w:b/>
      <w:bCs/>
      <w:color w:val="000000"/>
      <w:sz w:val="20"/>
      <w:szCs w:val="20"/>
    </w:rPr>
  </w:style>
  <w:style w:type="paragraph" w:customStyle="1" w:styleId="xl94">
    <w:name w:val="xl94"/>
    <w:basedOn w:val="a1"/>
    <w:qFormat/>
    <w:pPr>
      <w:pBdr>
        <w:left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95">
    <w:name w:val="xl95"/>
    <w:basedOn w:val="a1"/>
    <w:qFormat/>
    <w:pPr>
      <w:pBdr>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96">
    <w:name w:val="xl96"/>
    <w:basedOn w:val="a1"/>
    <w:qFormat/>
    <w:pPr>
      <w:pBdr>
        <w:left w:val="single" w:sz="4" w:space="0" w:color="auto"/>
      </w:pBdr>
      <w:spacing w:before="100" w:beforeAutospacing="1" w:after="100" w:afterAutospacing="1"/>
      <w:jc w:val="center"/>
      <w:textAlignment w:val="center"/>
    </w:pPr>
    <w:rPr>
      <w:b/>
      <w:bCs/>
      <w:color w:val="000000"/>
      <w:sz w:val="20"/>
      <w:szCs w:val="20"/>
    </w:rPr>
  </w:style>
  <w:style w:type="paragraph" w:customStyle="1" w:styleId="xl98">
    <w:name w:val="xl98"/>
    <w:basedOn w:val="a1"/>
    <w:qFormat/>
    <w:pPr>
      <w:spacing w:before="100" w:beforeAutospacing="1" w:after="100" w:afterAutospacing="1"/>
    </w:pPr>
    <w:rPr>
      <w:rFonts w:ascii="Times New Roman" w:hAnsi="Times New Roman" w:cs="Times New Roman"/>
      <w:sz w:val="18"/>
      <w:szCs w:val="18"/>
    </w:rPr>
  </w:style>
  <w:style w:type="paragraph" w:customStyle="1" w:styleId="xl99">
    <w:name w:val="xl99"/>
    <w:basedOn w:val="a1"/>
    <w:qFormat/>
    <w:pPr>
      <w:spacing w:before="100" w:beforeAutospacing="1" w:after="100" w:afterAutospacing="1"/>
      <w:textAlignment w:val="center"/>
    </w:pPr>
    <w:rPr>
      <w:color w:val="000000"/>
      <w:sz w:val="18"/>
      <w:szCs w:val="18"/>
    </w:rPr>
  </w:style>
  <w:style w:type="paragraph" w:customStyle="1" w:styleId="BalloonText1">
    <w:name w:val="Balloon Text1"/>
    <w:basedOn w:val="a1"/>
    <w:qFormat/>
    <w:pPr>
      <w:widowControl w:val="0"/>
    </w:pPr>
    <w:rPr>
      <w:rFonts w:ascii="Times New Roman" w:hAnsi="Times New Roman" w:cs="Times New Roman"/>
      <w:kern w:val="2"/>
      <w:sz w:val="18"/>
      <w:szCs w:val="20"/>
    </w:rPr>
  </w:style>
  <w:style w:type="paragraph" w:customStyle="1" w:styleId="2f3">
    <w:name w:val="批注框文本2"/>
    <w:basedOn w:val="a1"/>
    <w:qFormat/>
    <w:pPr>
      <w:widowControl w:val="0"/>
    </w:pPr>
    <w:rPr>
      <w:rFonts w:ascii="Times New Roman" w:hAnsi="Times New Roman" w:cs="Times New Roman"/>
      <w:kern w:val="2"/>
      <w:sz w:val="18"/>
      <w:szCs w:val="20"/>
    </w:rPr>
  </w:style>
  <w:style w:type="paragraph" w:customStyle="1" w:styleId="58">
    <w:name w:val="标题5"/>
    <w:basedOn w:val="a1"/>
    <w:qFormat/>
    <w:pPr>
      <w:keepNext/>
      <w:keepLines/>
      <w:widowControl w:val="0"/>
    </w:pPr>
    <w:rPr>
      <w:rFonts w:cs="Times New Roman"/>
      <w:b/>
      <w:kern w:val="2"/>
      <w:szCs w:val="28"/>
    </w:rPr>
  </w:style>
  <w:style w:type="paragraph" w:customStyle="1" w:styleId="93">
    <w:name w:val="列出段落9"/>
    <w:basedOn w:val="a1"/>
    <w:qFormat/>
    <w:pPr>
      <w:ind w:left="720"/>
      <w:contextualSpacing/>
    </w:pPr>
    <w:rPr>
      <w:rFonts w:ascii="Times New Roman" w:eastAsia="华文楷体" w:hAnsi="Times New Roman" w:cs="Times New Roman"/>
    </w:rPr>
  </w:style>
  <w:style w:type="paragraph" w:customStyle="1" w:styleId="2f4">
    <w:name w:val="文档结构图2"/>
    <w:basedOn w:val="a1"/>
    <w:qFormat/>
    <w:pPr>
      <w:widowControl w:val="0"/>
      <w:shd w:val="clear" w:color="auto" w:fill="000080"/>
    </w:pPr>
    <w:rPr>
      <w:rFonts w:ascii="Times New Roman" w:hAnsi="Times New Roman" w:cs="Times New Roman"/>
      <w:sz w:val="20"/>
      <w:shd w:val="clear" w:color="auto" w:fill="000080"/>
    </w:rPr>
  </w:style>
  <w:style w:type="paragraph" w:customStyle="1" w:styleId="220">
    <w:name w:val="正文文本缩进 22"/>
    <w:basedOn w:val="a1"/>
    <w:qFormat/>
    <w:pPr>
      <w:widowControl w:val="0"/>
      <w:spacing w:after="100"/>
      <w:ind w:firstLine="480"/>
    </w:pPr>
    <w:rPr>
      <w:rFonts w:cs="Times New Roman"/>
      <w:szCs w:val="20"/>
    </w:rPr>
  </w:style>
  <w:style w:type="paragraph" w:customStyle="1" w:styleId="2f5">
    <w:name w:val="正文文本缩进2"/>
    <w:basedOn w:val="a1"/>
    <w:qFormat/>
    <w:pPr>
      <w:widowControl w:val="0"/>
      <w:ind w:firstLine="471"/>
    </w:pPr>
    <w:rPr>
      <w:rFonts w:ascii="Times New Roman" w:hAnsi="Times New Roman" w:cs="Times New Roman"/>
      <w:szCs w:val="20"/>
    </w:rPr>
  </w:style>
  <w:style w:type="paragraph" w:customStyle="1" w:styleId="320">
    <w:name w:val="正文文本缩进 32"/>
    <w:basedOn w:val="a1"/>
    <w:qFormat/>
    <w:pPr>
      <w:widowControl w:val="0"/>
      <w:adjustRightInd w:val="0"/>
      <w:spacing w:before="156"/>
      <w:ind w:firstLine="482"/>
    </w:pPr>
    <w:rPr>
      <w:rFonts w:cs="Times New Roman"/>
      <w:szCs w:val="20"/>
    </w:rPr>
  </w:style>
  <w:style w:type="paragraph" w:customStyle="1" w:styleId="2f6">
    <w:name w:val="日期2"/>
    <w:basedOn w:val="a1"/>
    <w:next w:val="a1"/>
    <w:qFormat/>
    <w:pPr>
      <w:widowControl w:val="0"/>
      <w:ind w:leftChars="2500" w:left="2500"/>
    </w:pPr>
    <w:rPr>
      <w:rFonts w:ascii="Times New Roman" w:hAnsi="Times New Roman" w:cs="Times New Roman"/>
      <w:sz w:val="20"/>
    </w:rPr>
  </w:style>
  <w:style w:type="paragraph" w:customStyle="1" w:styleId="2f7">
    <w:name w:val="纯文本2"/>
    <w:basedOn w:val="a1"/>
    <w:qFormat/>
    <w:pPr>
      <w:widowControl w:val="0"/>
    </w:pPr>
    <w:rPr>
      <w:rFonts w:hAnsi="Courier New" w:cs="Times New Roman"/>
      <w:sz w:val="20"/>
      <w:szCs w:val="20"/>
    </w:rPr>
  </w:style>
  <w:style w:type="paragraph" w:customStyle="1" w:styleId="321">
    <w:name w:val="正文文本 32"/>
    <w:basedOn w:val="a1"/>
    <w:qFormat/>
    <w:pPr>
      <w:widowControl w:val="0"/>
      <w:jc w:val="right"/>
    </w:pPr>
    <w:rPr>
      <w:rFonts w:ascii="Times New Roman" w:hAnsi="Times New Roman" w:cs="Times New Roman"/>
      <w:sz w:val="18"/>
      <w:szCs w:val="20"/>
    </w:rPr>
  </w:style>
  <w:style w:type="paragraph" w:customStyle="1" w:styleId="221">
    <w:name w:val="正文文本 22"/>
    <w:basedOn w:val="a1"/>
    <w:qFormat/>
    <w:pPr>
      <w:widowControl w:val="0"/>
      <w:spacing w:after="120" w:line="480" w:lineRule="auto"/>
    </w:pPr>
    <w:rPr>
      <w:rFonts w:ascii="Times New Roman" w:hAnsi="Times New Roman" w:cs="Times New Roman"/>
      <w:sz w:val="20"/>
    </w:rPr>
  </w:style>
  <w:style w:type="paragraph" w:customStyle="1" w:styleId="3d">
    <w:name w:val="正文缩进3"/>
    <w:basedOn w:val="a1"/>
    <w:qFormat/>
    <w:pPr>
      <w:widowControl w:val="0"/>
      <w:spacing w:line="400" w:lineRule="exact"/>
      <w:ind w:firstLine="420"/>
    </w:pPr>
    <w:rPr>
      <w:rFonts w:ascii="Times New Roman" w:hAnsi="Times New Roman" w:cs="Times New Roman"/>
      <w:kern w:val="2"/>
      <w:sz w:val="21"/>
      <w:szCs w:val="20"/>
    </w:rPr>
  </w:style>
  <w:style w:type="paragraph" w:customStyle="1" w:styleId="3e">
    <w:name w:val="批注框文本3"/>
    <w:basedOn w:val="a1"/>
    <w:qFormat/>
    <w:pPr>
      <w:widowControl w:val="0"/>
    </w:pPr>
    <w:rPr>
      <w:rFonts w:ascii="Times New Roman" w:hAnsi="Times New Roman" w:cs="Times New Roman"/>
      <w:kern w:val="2"/>
      <w:sz w:val="18"/>
      <w:szCs w:val="20"/>
    </w:rPr>
  </w:style>
  <w:style w:type="paragraph" w:customStyle="1" w:styleId="affffff1">
    <w:name w:val="一级目录"/>
    <w:basedOn w:val="TOC1"/>
    <w:qFormat/>
    <w:pPr>
      <w:widowControl w:val="0"/>
      <w:tabs>
        <w:tab w:val="clear" w:pos="9016"/>
      </w:tabs>
      <w:spacing w:after="0"/>
      <w:jc w:val="distribute"/>
    </w:pPr>
    <w:rPr>
      <w:rFonts w:hAnsi="华文细黑"/>
      <w:caps w:val="0"/>
      <w:sz w:val="28"/>
      <w:szCs w:val="28"/>
    </w:rPr>
  </w:style>
  <w:style w:type="paragraph" w:customStyle="1" w:styleId="affffff2">
    <w:name w:val="二级目录"/>
    <w:basedOn w:val="TOC2"/>
    <w:qFormat/>
    <w:pPr>
      <w:widowControl w:val="0"/>
      <w:tabs>
        <w:tab w:val="clear" w:pos="9000"/>
      </w:tabs>
      <w:spacing w:beforeLines="50"/>
      <w:ind w:left="0"/>
      <w:jc w:val="distribute"/>
    </w:pPr>
    <w:rPr>
      <w:rFonts w:ascii="宋体" w:hAnsi="宋体" w:cs="Times New Roman"/>
      <w:szCs w:val="28"/>
    </w:rPr>
  </w:style>
  <w:style w:type="paragraph" w:customStyle="1" w:styleId="affffff3">
    <w:name w:val="表格"/>
    <w:basedOn w:val="a1"/>
    <w:link w:val="Charf3"/>
    <w:qFormat/>
    <w:pPr>
      <w:widowControl w:val="0"/>
      <w:contextualSpacing/>
      <w:jc w:val="center"/>
    </w:pPr>
    <w:rPr>
      <w:rFonts w:ascii="Times New Roman" w:hAnsi="Times New Roman" w:cs="Times New Roman"/>
      <w:sz w:val="20"/>
      <w:szCs w:val="20"/>
    </w:rPr>
  </w:style>
  <w:style w:type="paragraph" w:customStyle="1" w:styleId="ListParagraph2">
    <w:name w:val="List Paragraph2"/>
    <w:basedOn w:val="a1"/>
    <w:qFormat/>
    <w:pPr>
      <w:ind w:left="720"/>
      <w:contextualSpacing/>
    </w:pPr>
    <w:rPr>
      <w:rFonts w:ascii="Times New Roman" w:eastAsia="华文楷体" w:hAnsi="Times New Roman" w:cs="Times New Roman"/>
    </w:rPr>
  </w:style>
  <w:style w:type="paragraph" w:customStyle="1" w:styleId="DocumentMap2">
    <w:name w:val="Document Map2"/>
    <w:basedOn w:val="a1"/>
    <w:qFormat/>
    <w:pPr>
      <w:widowControl w:val="0"/>
      <w:shd w:val="clear" w:color="auto" w:fill="000080"/>
    </w:pPr>
    <w:rPr>
      <w:rFonts w:ascii="Times New Roman" w:hAnsi="Times New Roman" w:cs="Times New Roman"/>
      <w:sz w:val="20"/>
      <w:shd w:val="clear" w:color="auto" w:fill="000080"/>
    </w:rPr>
  </w:style>
  <w:style w:type="paragraph" w:customStyle="1" w:styleId="BodyTextIndent22">
    <w:name w:val="Body Text Indent 22"/>
    <w:basedOn w:val="a1"/>
    <w:qFormat/>
    <w:pPr>
      <w:widowControl w:val="0"/>
      <w:spacing w:after="100"/>
      <w:ind w:firstLine="480"/>
    </w:pPr>
    <w:rPr>
      <w:rFonts w:cs="Times New Roman"/>
      <w:szCs w:val="20"/>
    </w:rPr>
  </w:style>
  <w:style w:type="paragraph" w:customStyle="1" w:styleId="BodyTextIndent2">
    <w:name w:val="Body Text Indent2"/>
    <w:basedOn w:val="a1"/>
    <w:qFormat/>
    <w:pPr>
      <w:widowControl w:val="0"/>
      <w:ind w:firstLine="471"/>
    </w:pPr>
    <w:rPr>
      <w:rFonts w:ascii="Times New Roman" w:hAnsi="Times New Roman" w:cs="Times New Roman"/>
      <w:szCs w:val="20"/>
    </w:rPr>
  </w:style>
  <w:style w:type="paragraph" w:customStyle="1" w:styleId="BodyTextIndent32">
    <w:name w:val="Body Text Indent 32"/>
    <w:basedOn w:val="a1"/>
    <w:qFormat/>
    <w:pPr>
      <w:widowControl w:val="0"/>
      <w:adjustRightInd w:val="0"/>
      <w:spacing w:before="156"/>
      <w:ind w:firstLine="482"/>
    </w:pPr>
    <w:rPr>
      <w:rFonts w:cs="Times New Roman"/>
      <w:szCs w:val="20"/>
    </w:rPr>
  </w:style>
  <w:style w:type="paragraph" w:customStyle="1" w:styleId="Date2">
    <w:name w:val="Date2"/>
    <w:basedOn w:val="a1"/>
    <w:next w:val="a1"/>
    <w:qFormat/>
    <w:pPr>
      <w:widowControl w:val="0"/>
      <w:ind w:leftChars="2500" w:left="2500"/>
    </w:pPr>
    <w:rPr>
      <w:rFonts w:ascii="Times New Roman" w:hAnsi="Times New Roman" w:cs="Times New Roman"/>
      <w:sz w:val="20"/>
    </w:rPr>
  </w:style>
  <w:style w:type="paragraph" w:customStyle="1" w:styleId="PlainText2">
    <w:name w:val="Plain Text2"/>
    <w:basedOn w:val="a1"/>
    <w:qFormat/>
    <w:pPr>
      <w:widowControl w:val="0"/>
    </w:pPr>
    <w:rPr>
      <w:rFonts w:hAnsi="Courier New" w:cs="Times New Roman"/>
      <w:sz w:val="20"/>
      <w:szCs w:val="20"/>
    </w:rPr>
  </w:style>
  <w:style w:type="paragraph" w:customStyle="1" w:styleId="BodyText32">
    <w:name w:val="Body Text 32"/>
    <w:basedOn w:val="a1"/>
    <w:qFormat/>
    <w:pPr>
      <w:widowControl w:val="0"/>
      <w:jc w:val="right"/>
    </w:pPr>
    <w:rPr>
      <w:rFonts w:ascii="Times New Roman" w:hAnsi="Times New Roman" w:cs="Times New Roman"/>
      <w:sz w:val="18"/>
      <w:szCs w:val="20"/>
    </w:rPr>
  </w:style>
  <w:style w:type="paragraph" w:customStyle="1" w:styleId="BodyText22">
    <w:name w:val="Body Text 22"/>
    <w:basedOn w:val="a1"/>
    <w:qFormat/>
    <w:pPr>
      <w:widowControl w:val="0"/>
      <w:spacing w:after="120" w:line="480" w:lineRule="auto"/>
    </w:pPr>
    <w:rPr>
      <w:rFonts w:ascii="Times New Roman" w:hAnsi="Times New Roman" w:cs="Times New Roman"/>
      <w:sz w:val="20"/>
    </w:rPr>
  </w:style>
  <w:style w:type="paragraph" w:customStyle="1" w:styleId="NormalIndent2">
    <w:name w:val="Normal Indent2"/>
    <w:basedOn w:val="a1"/>
    <w:qFormat/>
    <w:pPr>
      <w:widowControl w:val="0"/>
      <w:spacing w:line="400" w:lineRule="exact"/>
      <w:ind w:firstLine="420"/>
    </w:pPr>
    <w:rPr>
      <w:rFonts w:ascii="Times New Roman" w:hAnsi="Times New Roman" w:cs="Times New Roman"/>
      <w:kern w:val="2"/>
      <w:sz w:val="21"/>
      <w:szCs w:val="20"/>
    </w:rPr>
  </w:style>
  <w:style w:type="paragraph" w:customStyle="1" w:styleId="BalloonText2">
    <w:name w:val="Balloon Text2"/>
    <w:basedOn w:val="a1"/>
    <w:qFormat/>
    <w:pPr>
      <w:widowControl w:val="0"/>
    </w:pPr>
    <w:rPr>
      <w:rFonts w:ascii="Times New Roman" w:hAnsi="Times New Roman" w:cs="Times New Roman"/>
      <w:kern w:val="2"/>
      <w:sz w:val="18"/>
      <w:szCs w:val="20"/>
    </w:rPr>
  </w:style>
  <w:style w:type="paragraph" w:customStyle="1" w:styleId="1ff1">
    <w:name w:val="标题 1（招股书）"/>
    <w:basedOn w:val="1"/>
    <w:uiPriority w:val="99"/>
    <w:qFormat/>
    <w:pPr>
      <w:keepNext w:val="0"/>
      <w:keepLines w:val="0"/>
      <w:pageBreakBefore/>
      <w:widowControl w:val="0"/>
      <w:spacing w:before="50" w:after="0" w:line="360" w:lineRule="auto"/>
      <w:jc w:val="center"/>
    </w:pPr>
    <w:rPr>
      <w:rFonts w:ascii="黑体" w:eastAsia="黑体" w:cs="Arial"/>
      <w:b w:val="0"/>
      <w:sz w:val="36"/>
      <w:szCs w:val="36"/>
    </w:rPr>
  </w:style>
  <w:style w:type="paragraph" w:customStyle="1" w:styleId="affffff4">
    <w:name w:val="目录标题"/>
    <w:basedOn w:val="1"/>
    <w:next w:val="a1"/>
    <w:uiPriority w:val="39"/>
    <w:qFormat/>
    <w:pPr>
      <w:spacing w:before="480" w:after="0" w:line="276" w:lineRule="auto"/>
      <w:outlineLvl w:val="9"/>
    </w:pPr>
    <w:rPr>
      <w:rFonts w:ascii="Cambria" w:hAnsi="Cambria"/>
      <w:color w:val="365F91"/>
      <w:kern w:val="0"/>
      <w:sz w:val="28"/>
      <w:szCs w:val="28"/>
    </w:rPr>
  </w:style>
  <w:style w:type="paragraph" w:customStyle="1" w:styleId="CharChar1CharCharCharCharCharCharCharCharCharCharCharCharCharCharCharCharCharCharCharCharCharCharCharCharCharCharCharCharCharCharCharCharCharCharCharCharCharChar10">
    <w:name w:val="Char Char1 Char Char Char Char Char Char Char Char Char Char Char Char Char Char Char Char Char Char Char Char Char Char Char Char Char Char Char Char Char Char Char Char Char Char Char Char Char Char10"/>
    <w:basedOn w:val="a1"/>
    <w:qFormat/>
    <w:pPr>
      <w:spacing w:after="160" w:line="240" w:lineRule="exact"/>
    </w:pPr>
    <w:rPr>
      <w:rFonts w:ascii="Verdana" w:eastAsia="Times New Roman" w:hAnsi="Verdana" w:cs="Arial"/>
      <w:sz w:val="22"/>
      <w:szCs w:val="20"/>
      <w:lang w:eastAsia="en-US"/>
    </w:rPr>
  </w:style>
  <w:style w:type="paragraph" w:customStyle="1" w:styleId="CharChar1CharCharCharCharCharChar3">
    <w:name w:val="Char Char1 Char Char Char Char Char Char3"/>
    <w:basedOn w:val="a1"/>
    <w:qFormat/>
    <w:pPr>
      <w:widowControl w:val="0"/>
    </w:pPr>
    <w:rPr>
      <w:rFonts w:ascii="Tahoma" w:hAnsi="Tahoma" w:cs="Times New Roman"/>
      <w:kern w:val="2"/>
      <w:szCs w:val="20"/>
    </w:rPr>
  </w:style>
  <w:style w:type="paragraph" w:customStyle="1" w:styleId="Char112">
    <w:name w:val="Char112"/>
    <w:basedOn w:val="a1"/>
    <w:qFormat/>
    <w:pPr>
      <w:spacing w:after="160" w:line="240" w:lineRule="exact"/>
    </w:pPr>
    <w:rPr>
      <w:rFonts w:ascii="Verdana" w:eastAsia="Times New Roman" w:hAnsi="Verdana" w:cs="Arial"/>
      <w:sz w:val="22"/>
      <w:szCs w:val="20"/>
      <w:lang w:eastAsia="en-US"/>
    </w:rPr>
  </w:style>
  <w:style w:type="paragraph" w:customStyle="1" w:styleId="CharCharChar3CharCharCharChar1">
    <w:name w:val="Char Char Char3 Char Char Char Char1"/>
    <w:basedOn w:val="a1"/>
    <w:qFormat/>
    <w:pPr>
      <w:spacing w:after="160" w:line="240" w:lineRule="exact"/>
    </w:pPr>
    <w:rPr>
      <w:rFonts w:ascii="Verdana" w:eastAsia="Times New Roman" w:hAnsi="Verdana" w:cs="Arial"/>
      <w:sz w:val="22"/>
      <w:szCs w:val="20"/>
      <w:lang w:eastAsia="en-US"/>
    </w:rPr>
  </w:style>
  <w:style w:type="paragraph" w:customStyle="1" w:styleId="CharCharCharChar10">
    <w:name w:val="Char Char Char Char10"/>
    <w:basedOn w:val="a1"/>
    <w:qFormat/>
    <w:pPr>
      <w:spacing w:after="160" w:line="240" w:lineRule="exact"/>
    </w:pPr>
    <w:rPr>
      <w:rFonts w:ascii="Verdana" w:eastAsia="Times New Roman" w:hAnsi="Verdana" w:cs="Arial"/>
      <w:sz w:val="22"/>
      <w:szCs w:val="20"/>
      <w:lang w:eastAsia="en-US"/>
    </w:rPr>
  </w:style>
  <w:style w:type="paragraph" w:customStyle="1" w:styleId="CharChar2CharCharCharCharCharCharCharCharCharCharCharCharCharChar1">
    <w:name w:val="Char Char2 Char Char Char Char Char Char Char Char Char Char Char Char Char Char1"/>
    <w:basedOn w:val="a1"/>
    <w:qFormat/>
    <w:pPr>
      <w:spacing w:after="160" w:line="240" w:lineRule="exact"/>
    </w:pPr>
    <w:rPr>
      <w:rFonts w:ascii="Times New Roman" w:eastAsia="华文楷体" w:hAnsi="Times New Roman" w:cs="Times New Roman"/>
      <w:sz w:val="20"/>
      <w:szCs w:val="20"/>
    </w:rPr>
  </w:style>
  <w:style w:type="paragraph" w:customStyle="1" w:styleId="CharChar1CharCharCharCharCharCharCharCharCharCharCharCharCharChar1">
    <w:name w:val="Char Char1 Char Char Char Char Char Char Char Char Char Char Char Char Char Char1"/>
    <w:basedOn w:val="a1"/>
    <w:qFormat/>
    <w:pPr>
      <w:spacing w:after="160" w:line="240" w:lineRule="exact"/>
    </w:pPr>
    <w:rPr>
      <w:rFonts w:ascii="Times New Roman" w:eastAsia="华文楷体" w:hAnsi="Times New Roman" w:cs="Times New Roman"/>
      <w:sz w:val="20"/>
      <w:szCs w:val="20"/>
    </w:rPr>
  </w:style>
  <w:style w:type="paragraph" w:customStyle="1" w:styleId="3f">
    <w:name w:val="批注主题3"/>
    <w:basedOn w:val="af1"/>
    <w:next w:val="af1"/>
    <w:qFormat/>
    <w:pPr>
      <w:widowControl w:val="0"/>
    </w:pPr>
    <w:rPr>
      <w:rFonts w:ascii="Times New Roman" w:hAnsi="Times New Roman"/>
      <w:b/>
      <w:bCs/>
      <w:sz w:val="20"/>
      <w:szCs w:val="24"/>
    </w:rPr>
  </w:style>
  <w:style w:type="paragraph" w:customStyle="1" w:styleId="4CharCharChar1Char">
    <w:name w:val="4 Char Char Char1 Char"/>
    <w:basedOn w:val="a1"/>
    <w:qFormat/>
    <w:pPr>
      <w:widowControl w:val="0"/>
      <w:ind w:firstLineChars="257" w:firstLine="617"/>
    </w:pPr>
    <w:rPr>
      <w:rFonts w:ascii="Times New Roman" w:hAnsi="Times New Roman" w:cs="Times New Roman"/>
      <w:kern w:val="2"/>
      <w:lang w:val="en-GB"/>
    </w:rPr>
  </w:style>
  <w:style w:type="paragraph" w:customStyle="1" w:styleId="affffff5">
    <w:name w:val="表格标题"/>
    <w:basedOn w:val="a1"/>
    <w:link w:val="Charf4"/>
    <w:qFormat/>
    <w:pPr>
      <w:widowControl w:val="0"/>
      <w:overflowPunct w:val="0"/>
      <w:autoSpaceDE w:val="0"/>
      <w:autoSpaceDN w:val="0"/>
      <w:adjustRightInd w:val="0"/>
      <w:snapToGrid w:val="0"/>
      <w:jc w:val="center"/>
    </w:pPr>
    <w:rPr>
      <w:rFonts w:ascii="Times New Roman" w:hAnsi="Times New Roman" w:cs="Times New Roman"/>
      <w:b/>
      <w:sz w:val="21"/>
      <w:szCs w:val="21"/>
    </w:rPr>
  </w:style>
  <w:style w:type="paragraph" w:customStyle="1" w:styleId="Style823">
    <w:name w:val="_Style 823"/>
    <w:basedOn w:val="a1"/>
    <w:uiPriority w:val="34"/>
    <w:qFormat/>
    <w:pPr>
      <w:ind w:firstLine="420"/>
    </w:pPr>
  </w:style>
  <w:style w:type="paragraph" w:customStyle="1" w:styleId="Style824">
    <w:name w:val="_Style 824"/>
    <w:basedOn w:val="a1"/>
    <w:next w:val="a1"/>
    <w:link w:val="z-Char3"/>
    <w:qFormat/>
    <w:pPr>
      <w:pBdr>
        <w:bottom w:val="single" w:sz="6" w:space="1" w:color="auto"/>
      </w:pBdr>
      <w:jc w:val="center"/>
    </w:pPr>
    <w:rPr>
      <w:rFonts w:ascii="Arial" w:hAnsi="Arial" w:cs="Times New Roman"/>
      <w:vanish/>
      <w:sz w:val="16"/>
      <w:szCs w:val="16"/>
    </w:rPr>
  </w:style>
  <w:style w:type="paragraph" w:customStyle="1" w:styleId="Style825">
    <w:name w:val="_Style 825"/>
    <w:basedOn w:val="a1"/>
    <w:next w:val="a1"/>
    <w:link w:val="z-Char2"/>
    <w:qFormat/>
    <w:pPr>
      <w:pBdr>
        <w:top w:val="single" w:sz="6" w:space="1" w:color="auto"/>
      </w:pBdr>
      <w:jc w:val="center"/>
    </w:pPr>
    <w:rPr>
      <w:rFonts w:ascii="Arial" w:hAnsi="Arial" w:cs="Times New Roman"/>
      <w:vanish/>
      <w:sz w:val="16"/>
      <w:szCs w:val="16"/>
    </w:rPr>
  </w:style>
  <w:style w:type="paragraph" w:customStyle="1" w:styleId="Style826">
    <w:name w:val="_Style 826"/>
    <w:hidden/>
    <w:uiPriority w:val="99"/>
    <w:qFormat/>
    <w:rPr>
      <w:kern w:val="2"/>
      <w:sz w:val="21"/>
      <w:szCs w:val="21"/>
    </w:rPr>
  </w:style>
  <w:style w:type="paragraph" w:customStyle="1" w:styleId="Style827">
    <w:name w:val="_Style 827"/>
    <w:basedOn w:val="1"/>
    <w:next w:val="a1"/>
    <w:uiPriority w:val="39"/>
    <w:qFormat/>
    <w:pPr>
      <w:spacing w:before="480" w:after="0" w:line="276" w:lineRule="auto"/>
      <w:outlineLvl w:val="9"/>
    </w:pPr>
    <w:rPr>
      <w:rFonts w:ascii="Cambria" w:hAnsi="Cambria"/>
      <w:color w:val="365F91"/>
      <w:kern w:val="0"/>
      <w:sz w:val="28"/>
      <w:szCs w:val="28"/>
    </w:rPr>
  </w:style>
  <w:style w:type="paragraph" w:customStyle="1" w:styleId="Style828">
    <w:name w:val="_Style 828"/>
    <w:qFormat/>
    <w:pPr>
      <w:widowControl w:val="0"/>
      <w:jc w:val="both"/>
    </w:pPr>
    <w:rPr>
      <w:kern w:val="2"/>
      <w:sz w:val="21"/>
      <w:szCs w:val="22"/>
    </w:rPr>
  </w:style>
  <w:style w:type="paragraph" w:customStyle="1" w:styleId="59">
    <w:name w:val="样式5"/>
    <w:basedOn w:val="46"/>
    <w:link w:val="5Char"/>
    <w:qFormat/>
    <w:pPr>
      <w:keepNext/>
      <w:keepLines/>
      <w:widowControl/>
      <w:tabs>
        <w:tab w:val="clear" w:pos="1008"/>
        <w:tab w:val="clear" w:pos="2580"/>
      </w:tabs>
      <w:spacing w:before="280" w:afterLines="0" w:line="312" w:lineRule="exact"/>
      <w:ind w:firstLineChars="200" w:firstLine="200"/>
      <w:jc w:val="left"/>
      <w:textAlignment w:val="auto"/>
    </w:pPr>
    <w:rPr>
      <w:rFonts w:ascii="宋体" w:eastAsia="宋体" w:hAnsi="宋体"/>
      <w:b/>
      <w:bCs/>
      <w:kern w:val="0"/>
      <w:szCs w:val="28"/>
    </w:rPr>
  </w:style>
  <w:style w:type="paragraph" w:customStyle="1" w:styleId="affffff6">
    <w:name w:val="小标题"/>
    <w:basedOn w:val="2"/>
    <w:link w:val="Charf5"/>
    <w:qFormat/>
    <w:pPr>
      <w:adjustRightInd w:val="0"/>
      <w:snapToGrid w:val="0"/>
      <w:spacing w:before="120" w:after="0" w:line="360" w:lineRule="auto"/>
      <w:textAlignment w:val="baseline"/>
    </w:pPr>
    <w:rPr>
      <w:rFonts w:ascii="Times New Roman" w:eastAsia="宋体" w:hAnsi="Times New Roman"/>
      <w:bCs w:val="0"/>
      <w:sz w:val="24"/>
      <w:szCs w:val="24"/>
    </w:rPr>
  </w:style>
  <w:style w:type="paragraph" w:customStyle="1" w:styleId="2f8">
    <w:name w:val="正文2"/>
    <w:basedOn w:val="a1"/>
    <w:next w:val="a1"/>
    <w:qFormat/>
    <w:pPr>
      <w:adjustRightInd w:val="0"/>
      <w:snapToGrid w:val="0"/>
    </w:pPr>
    <w:rPr>
      <w:rFonts w:ascii="Arial Narrow" w:eastAsia="仿宋_GB2312" w:hAnsi="Arial Narrow"/>
    </w:rPr>
  </w:style>
  <w:style w:type="paragraph" w:customStyle="1" w:styleId="130">
    <w:name w:val="样式13"/>
    <w:basedOn w:val="5"/>
    <w:link w:val="13Char"/>
    <w:qFormat/>
    <w:pPr>
      <w:numPr>
        <w:ilvl w:val="0"/>
        <w:numId w:val="0"/>
      </w:numPr>
      <w:tabs>
        <w:tab w:val="clear" w:pos="1008"/>
      </w:tabs>
      <w:suppressAutoHyphens/>
      <w:snapToGrid w:val="0"/>
      <w:spacing w:before="0" w:after="0" w:line="300" w:lineRule="auto"/>
      <w:ind w:firstLine="561"/>
    </w:pPr>
    <w:rPr>
      <w:rFonts w:ascii="仿宋_GB2312" w:eastAsia="仿宋_GB2312" w:hAnsi="Arial Narrow"/>
      <w:b w:val="0"/>
      <w:lang w:val="zh-CN"/>
    </w:rPr>
  </w:style>
  <w:style w:type="paragraph" w:customStyle="1" w:styleId="140">
    <w:name w:val="样式14"/>
    <w:basedOn w:val="a1"/>
    <w:link w:val="14Char"/>
    <w:qFormat/>
    <w:pPr>
      <w:pBdr>
        <w:bottom w:val="double" w:sz="4" w:space="1" w:color="auto"/>
      </w:pBdr>
      <w:suppressAutoHyphens/>
      <w:snapToGrid w:val="0"/>
      <w:spacing w:line="300" w:lineRule="auto"/>
      <w:ind w:firstLine="560"/>
    </w:pPr>
    <w:rPr>
      <w:rFonts w:ascii="Arial Narrow" w:eastAsia="仿宋_GB2312" w:hAnsi="Arial Narrow" w:cs="Times New Roman"/>
      <w:sz w:val="28"/>
      <w:szCs w:val="28"/>
      <w:lang w:val="zh-CN" w:eastAsia="ar-SA"/>
    </w:rPr>
  </w:style>
  <w:style w:type="paragraph" w:customStyle="1" w:styleId="152">
    <w:name w:val="样式15"/>
    <w:basedOn w:val="a1"/>
    <w:link w:val="15Char"/>
    <w:qFormat/>
    <w:pPr>
      <w:tabs>
        <w:tab w:val="left" w:pos="3114"/>
        <w:tab w:val="center" w:pos="4432"/>
      </w:tabs>
      <w:suppressAutoHyphens/>
      <w:snapToGrid w:val="0"/>
      <w:ind w:firstLine="560"/>
      <w:jc w:val="center"/>
    </w:pPr>
    <w:rPr>
      <w:rFonts w:ascii="Cambria" w:hAnsi="Cambria" w:cs="Times New Roman"/>
      <w:szCs w:val="21"/>
      <w:lang w:val="zh-CN" w:eastAsia="ar-SA"/>
    </w:rPr>
  </w:style>
  <w:style w:type="paragraph" w:customStyle="1" w:styleId="160">
    <w:name w:val="样式16"/>
    <w:basedOn w:val="aff"/>
    <w:link w:val="16Char"/>
    <w:qFormat/>
    <w:pPr>
      <w:pBdr>
        <w:top w:val="double" w:sz="2" w:space="1" w:color="000000"/>
      </w:pBdr>
      <w:tabs>
        <w:tab w:val="clear" w:pos="4153"/>
        <w:tab w:val="clear" w:pos="8306"/>
      </w:tabs>
      <w:suppressAutoHyphens/>
      <w:ind w:firstLine="560"/>
    </w:pPr>
    <w:rPr>
      <w:rFonts w:ascii="Arial Narrow" w:eastAsia="仿宋_GB2312" w:hAnsi="Arial Narrow"/>
      <w:lang w:val="zh-CN" w:eastAsia="ar-SA"/>
    </w:rPr>
  </w:style>
  <w:style w:type="paragraph" w:customStyle="1" w:styleId="affffff7">
    <w:name w:val="中企华"/>
    <w:basedOn w:val="a1"/>
    <w:link w:val="Charf6"/>
    <w:qFormat/>
    <w:pPr>
      <w:snapToGrid w:val="0"/>
      <w:spacing w:line="300" w:lineRule="auto"/>
      <w:ind w:firstLine="560"/>
    </w:pPr>
    <w:rPr>
      <w:rFonts w:ascii="Arial Narrow" w:eastAsia="仿宋_GB2312" w:hAnsi="Arial Narrow" w:cs="Times New Roman"/>
      <w:sz w:val="28"/>
      <w:szCs w:val="28"/>
    </w:rPr>
  </w:style>
  <w:style w:type="paragraph" w:customStyle="1" w:styleId="4b">
    <w:name w:val="标题4级"/>
    <w:link w:val="4Char0"/>
    <w:qFormat/>
    <w:pPr>
      <w:widowControl w:val="0"/>
      <w:spacing w:beforeLines="50" w:before="156" w:afterLines="50" w:after="156" w:line="360" w:lineRule="auto"/>
      <w:ind w:firstLineChars="200" w:firstLine="482"/>
      <w:textAlignment w:val="center"/>
      <w:outlineLvl w:val="3"/>
    </w:pPr>
    <w:rPr>
      <w:b/>
      <w:sz w:val="24"/>
      <w:szCs w:val="22"/>
    </w:rPr>
  </w:style>
  <w:style w:type="paragraph" w:customStyle="1" w:styleId="affffff8">
    <w:name w:val="图表"/>
    <w:next w:val="a1"/>
    <w:qFormat/>
    <w:pPr>
      <w:keepNext/>
      <w:jc w:val="right"/>
    </w:pPr>
    <w:rPr>
      <w:kern w:val="10"/>
      <w:sz w:val="21"/>
      <w:szCs w:val="18"/>
    </w:rPr>
  </w:style>
  <w:style w:type="paragraph" w:customStyle="1" w:styleId="affffff9">
    <w:name w:val="释义"/>
    <w:basedOn w:val="a1"/>
    <w:link w:val="Charf7"/>
    <w:qFormat/>
    <w:rPr>
      <w:rFonts w:ascii="Times New Roman" w:hAnsi="Times New Roman" w:cs="Times New Roman"/>
      <w:szCs w:val="21"/>
    </w:rPr>
  </w:style>
  <w:style w:type="paragraph" w:customStyle="1" w:styleId="affffffa">
    <w:name w:val="正文表格"/>
    <w:basedOn w:val="a1"/>
    <w:link w:val="Charf8"/>
    <w:qFormat/>
    <w:pPr>
      <w:autoSpaceDE w:val="0"/>
      <w:autoSpaceDN w:val="0"/>
      <w:spacing w:before="156" w:afterLines="50" w:after="156" w:line="276" w:lineRule="auto"/>
      <w:ind w:firstLine="480"/>
      <w:outlineLvl w:val="4"/>
    </w:pPr>
    <w:rPr>
      <w:rFonts w:ascii="Times New Roman" w:hAnsi="Times New Roman" w:cs="Times New Roman"/>
      <w:color w:val="000000"/>
    </w:rPr>
  </w:style>
  <w:style w:type="paragraph" w:customStyle="1" w:styleId="affffffb">
    <w:name w:val="中伦正文"/>
    <w:basedOn w:val="a1"/>
    <w:link w:val="Charf9"/>
    <w:qFormat/>
    <w:pPr>
      <w:spacing w:before="156" w:afterLines="50" w:after="156"/>
      <w:ind w:firstLine="480"/>
    </w:pPr>
    <w:rPr>
      <w:rFonts w:ascii="Times New Roman" w:hAnsi="Times New Roman" w:cs="Times New Roman"/>
    </w:rPr>
  </w:style>
  <w:style w:type="paragraph" w:customStyle="1" w:styleId="affffffc">
    <w:name w:val="第三级"/>
    <w:basedOn w:val="a1"/>
    <w:link w:val="Charfa"/>
    <w:qFormat/>
    <w:pPr>
      <w:keepNext/>
      <w:snapToGrid w:val="0"/>
      <w:spacing w:before="156"/>
      <w:outlineLvl w:val="2"/>
    </w:pPr>
    <w:rPr>
      <w:rFonts w:ascii="Times New Roman" w:hAnsi="Times New Roman" w:cs="Times New Roman"/>
      <w:b/>
    </w:rPr>
  </w:style>
  <w:style w:type="paragraph" w:customStyle="1" w:styleId="IPONormal">
    <w:name w:val="IPO Normal"/>
    <w:basedOn w:val="a1"/>
    <w:qFormat/>
    <w:rPr>
      <w:rFonts w:ascii="Times New Roman" w:hAnsi="Times New Roman"/>
      <w:kern w:val="24"/>
    </w:rPr>
  </w:style>
  <w:style w:type="paragraph" w:customStyle="1" w:styleId="affffffd">
    <w:name w:val="楷体样式"/>
    <w:basedOn w:val="a1"/>
    <w:link w:val="Charfb"/>
    <w:qFormat/>
    <w:pPr>
      <w:spacing w:afterLines="50" w:after="156"/>
    </w:pPr>
    <w:rPr>
      <w:rFonts w:ascii="Times New Roman" w:eastAsia="楷体_GB2312" w:hAnsi="Times New Roman" w:cs="Times New Roman"/>
    </w:rPr>
  </w:style>
  <w:style w:type="paragraph" w:customStyle="1" w:styleId="affffffe">
    <w:name w:val="招股书正文通用"/>
    <w:basedOn w:val="a1"/>
    <w:link w:val="Charfc"/>
    <w:qFormat/>
    <w:pPr>
      <w:spacing w:before="156"/>
    </w:pPr>
    <w:rPr>
      <w:rFonts w:ascii="Times New Roman" w:hAnsi="Times New Roman" w:cs="Times New Roman"/>
    </w:rPr>
  </w:style>
  <w:style w:type="paragraph" w:customStyle="1" w:styleId="216">
    <w:name w:val="列出段落21"/>
    <w:basedOn w:val="a1"/>
    <w:uiPriority w:val="34"/>
    <w:qFormat/>
    <w:pPr>
      <w:ind w:firstLine="420"/>
    </w:pPr>
    <w:rPr>
      <w:rFonts w:ascii="Times New Roman" w:hAnsi="Times New Roman"/>
    </w:rPr>
  </w:style>
  <w:style w:type="paragraph" w:customStyle="1" w:styleId="2f9">
    <w:name w:val="目录2"/>
    <w:basedOn w:val="a1"/>
    <w:link w:val="2Char0"/>
    <w:qFormat/>
    <w:pPr>
      <w:tabs>
        <w:tab w:val="right" w:leader="dot" w:pos="9017"/>
      </w:tabs>
      <w:ind w:leftChars="200" w:left="420"/>
    </w:pPr>
    <w:rPr>
      <w:rFonts w:ascii="Times New Roman" w:eastAsia="黑体" w:hAnsi="Times New Roman" w:cs="Times New Roman"/>
      <w:lang w:val="zh-CN"/>
    </w:rPr>
  </w:style>
  <w:style w:type="paragraph" w:customStyle="1" w:styleId="Style848">
    <w:name w:val="_Style 848"/>
    <w:basedOn w:val="a1"/>
    <w:next w:val="a1"/>
    <w:link w:val="Charfd"/>
    <w:uiPriority w:val="30"/>
    <w:qFormat/>
    <w:pPr>
      <w:pBdr>
        <w:bottom w:val="single" w:sz="4" w:space="4" w:color="4F81BD"/>
      </w:pBdr>
      <w:spacing w:before="200" w:after="280"/>
      <w:ind w:left="936" w:right="936"/>
    </w:pPr>
    <w:rPr>
      <w:rFonts w:cs="Times New Roman"/>
      <w:b/>
      <w:bCs/>
      <w:i/>
      <w:iCs/>
      <w:color w:val="4F81BD"/>
    </w:rPr>
  </w:style>
  <w:style w:type="paragraph" w:customStyle="1" w:styleId="z-2">
    <w:name w:val="z-窗体顶端2"/>
    <w:basedOn w:val="a1"/>
    <w:qFormat/>
    <w:rPr>
      <w:rFonts w:ascii="Arial" w:hAnsi="Arial" w:cs="Arial"/>
      <w:vanish/>
      <w:sz w:val="16"/>
      <w:szCs w:val="16"/>
    </w:rPr>
  </w:style>
  <w:style w:type="paragraph" w:customStyle="1" w:styleId="1ff2">
    <w:name w:val="目录标题1"/>
    <w:basedOn w:val="1"/>
    <w:next w:val="a1"/>
    <w:uiPriority w:val="39"/>
    <w:qFormat/>
    <w:pPr>
      <w:spacing w:before="480" w:after="0" w:line="276" w:lineRule="auto"/>
      <w:outlineLvl w:val="9"/>
    </w:pPr>
    <w:rPr>
      <w:rFonts w:ascii="Cambria" w:hAnsi="Cambria"/>
      <w:color w:val="365F91"/>
      <w:kern w:val="0"/>
      <w:sz w:val="28"/>
      <w:szCs w:val="28"/>
    </w:rPr>
  </w:style>
  <w:style w:type="paragraph" w:customStyle="1" w:styleId="l12">
    <w:name w:val="l12"/>
    <w:basedOn w:val="a1"/>
    <w:link w:val="l12Char"/>
    <w:qFormat/>
    <w:pPr>
      <w:jc w:val="right"/>
    </w:pPr>
    <w:rPr>
      <w:rFonts w:ascii="Arial" w:hAnsi="Arial" w:cs="Times New Roman"/>
      <w:szCs w:val="20"/>
      <w:lang w:val="en-GB" w:eastAsia="en-US"/>
    </w:rPr>
  </w:style>
  <w:style w:type="paragraph" w:customStyle="1" w:styleId="afffffff">
    <w:name w:val="楷体加粗"/>
    <w:basedOn w:val="a1"/>
    <w:link w:val="Charfe"/>
    <w:qFormat/>
    <w:pPr>
      <w:snapToGrid w:val="0"/>
      <w:spacing w:before="120"/>
      <w:ind w:firstLine="480"/>
    </w:pPr>
    <w:rPr>
      <w:rFonts w:ascii="楷体_GB2312" w:eastAsia="楷体_GB2312" w:hAnsi="Times New Roman" w:cs="Times New Roman"/>
      <w:b/>
    </w:rPr>
  </w:style>
  <w:style w:type="character" w:customStyle="1" w:styleId="11">
    <w:name w:val="标题 1 字符1"/>
    <w:link w:val="1"/>
    <w:uiPriority w:val="9"/>
    <w:qFormat/>
    <w:rPr>
      <w:rFonts w:ascii="宋体" w:eastAsia="宋体" w:hAnsi="宋体" w:cs="Times New Roman"/>
      <w:b/>
      <w:bCs/>
      <w:kern w:val="44"/>
      <w:sz w:val="44"/>
      <w:szCs w:val="44"/>
    </w:rPr>
  </w:style>
  <w:style w:type="character" w:customStyle="1" w:styleId="21">
    <w:name w:val="标题 2 字符1"/>
    <w:link w:val="2"/>
    <w:qFormat/>
    <w:rPr>
      <w:rFonts w:ascii="Arial" w:eastAsia="黑体" w:hAnsi="Arial" w:cs="Times New Roman"/>
      <w:b/>
      <w:bCs/>
      <w:kern w:val="0"/>
      <w:sz w:val="32"/>
      <w:szCs w:val="32"/>
    </w:rPr>
  </w:style>
  <w:style w:type="character" w:customStyle="1" w:styleId="31">
    <w:name w:val="标题 3 字符1"/>
    <w:link w:val="3"/>
    <w:qFormat/>
    <w:rPr>
      <w:rFonts w:ascii="宋体" w:eastAsia="宋体" w:hAnsi="宋体" w:cs="Times New Roman"/>
      <w:b/>
      <w:bCs/>
      <w:kern w:val="0"/>
      <w:sz w:val="32"/>
      <w:szCs w:val="32"/>
    </w:rPr>
  </w:style>
  <w:style w:type="character" w:customStyle="1" w:styleId="41">
    <w:name w:val="标题 4 字符1"/>
    <w:link w:val="4"/>
    <w:qFormat/>
    <w:rPr>
      <w:rFonts w:ascii="Arial" w:eastAsia="黑体" w:hAnsi="Arial" w:cs="Times New Roman"/>
      <w:b/>
      <w:kern w:val="0"/>
      <w:sz w:val="28"/>
      <w:szCs w:val="24"/>
    </w:rPr>
  </w:style>
  <w:style w:type="character" w:customStyle="1" w:styleId="51">
    <w:name w:val="标题 5 字符1"/>
    <w:link w:val="5"/>
    <w:qFormat/>
    <w:rPr>
      <w:rFonts w:ascii="宋体" w:hAnsi="宋体"/>
      <w:b/>
      <w:bCs/>
      <w:sz w:val="28"/>
      <w:szCs w:val="28"/>
    </w:rPr>
  </w:style>
  <w:style w:type="character" w:customStyle="1" w:styleId="61">
    <w:name w:val="标题 6 字符1"/>
    <w:link w:val="6"/>
    <w:qFormat/>
    <w:rPr>
      <w:rFonts w:ascii="Arial" w:eastAsia="黑体" w:hAnsi="Arial" w:cs="Times New Roman"/>
      <w:b/>
      <w:kern w:val="0"/>
      <w:sz w:val="24"/>
      <w:szCs w:val="24"/>
    </w:rPr>
  </w:style>
  <w:style w:type="character" w:customStyle="1" w:styleId="71">
    <w:name w:val="标题 7 字符1"/>
    <w:link w:val="7"/>
    <w:qFormat/>
    <w:rPr>
      <w:rFonts w:ascii="宋体" w:hAnsi="宋体"/>
      <w:b/>
      <w:bCs/>
      <w:sz w:val="24"/>
      <w:szCs w:val="24"/>
    </w:rPr>
  </w:style>
  <w:style w:type="character" w:customStyle="1" w:styleId="81">
    <w:name w:val="标题 8 字符1"/>
    <w:link w:val="8"/>
    <w:qFormat/>
    <w:rPr>
      <w:rFonts w:ascii="Arial" w:eastAsia="黑体" w:hAnsi="Arial"/>
      <w:sz w:val="24"/>
      <w:szCs w:val="24"/>
    </w:rPr>
  </w:style>
  <w:style w:type="character" w:customStyle="1" w:styleId="91">
    <w:name w:val="标题 9 字符1"/>
    <w:link w:val="9"/>
    <w:qFormat/>
    <w:rPr>
      <w:rFonts w:ascii="Arial" w:eastAsia="黑体" w:hAnsi="Arial"/>
      <w:sz w:val="24"/>
      <w:szCs w:val="21"/>
    </w:rPr>
  </w:style>
  <w:style w:type="character" w:customStyle="1" w:styleId="1a">
    <w:name w:val="页眉 字符1"/>
    <w:link w:val="aff1"/>
    <w:uiPriority w:val="99"/>
    <w:qFormat/>
    <w:rPr>
      <w:rFonts w:ascii="Calibri" w:eastAsia="宋体" w:hAnsi="Calibri" w:cs="Times New Roman"/>
      <w:kern w:val="0"/>
      <w:sz w:val="18"/>
      <w:szCs w:val="18"/>
    </w:rPr>
  </w:style>
  <w:style w:type="character" w:customStyle="1" w:styleId="19">
    <w:name w:val="页脚 字符1"/>
    <w:link w:val="aff"/>
    <w:uiPriority w:val="99"/>
    <w:qFormat/>
    <w:rPr>
      <w:rFonts w:ascii="Calibri" w:eastAsia="宋体" w:hAnsi="Calibri" w:cs="Times New Roman"/>
      <w:kern w:val="0"/>
      <w:sz w:val="18"/>
      <w:szCs w:val="18"/>
    </w:rPr>
  </w:style>
  <w:style w:type="character" w:customStyle="1" w:styleId="Char3">
    <w:name w:val="招股书正文 Char3"/>
    <w:link w:val="afffa"/>
    <w:qFormat/>
    <w:rPr>
      <w:rFonts w:ascii="Arial" w:hAnsi="Arial"/>
      <w:sz w:val="24"/>
      <w:szCs w:val="24"/>
      <w:lang w:bidi="ar-SA"/>
    </w:rPr>
  </w:style>
  <w:style w:type="character" w:customStyle="1" w:styleId="Char2a">
    <w:name w:val="招股书正文 Char2"/>
    <w:semiHidden/>
    <w:qFormat/>
    <w:rPr>
      <w:rFonts w:eastAsia="宋体"/>
      <w:kern w:val="2"/>
      <w:sz w:val="24"/>
      <w:szCs w:val="24"/>
      <w:lang w:val="en-US" w:eastAsia="zh-CN"/>
    </w:rPr>
  </w:style>
  <w:style w:type="character" w:customStyle="1" w:styleId="14">
    <w:name w:val="正文文本缩进 字符1"/>
    <w:link w:val="af7"/>
    <w:qFormat/>
    <w:rPr>
      <w:rFonts w:ascii="宋体" w:eastAsia="宋体" w:hAnsi="宋体" w:cs="Times New Roman"/>
      <w:kern w:val="0"/>
      <w:sz w:val="24"/>
      <w:szCs w:val="21"/>
    </w:rPr>
  </w:style>
  <w:style w:type="character" w:customStyle="1" w:styleId="2Char1">
    <w:name w:val="正文文字 2 Char1"/>
    <w:qFormat/>
    <w:rPr>
      <w:rFonts w:eastAsia="宋体"/>
      <w:kern w:val="2"/>
      <w:sz w:val="21"/>
      <w:szCs w:val="21"/>
      <w:lang w:val="en-US" w:eastAsia="zh-CN" w:bidi="ar-SA"/>
    </w:rPr>
  </w:style>
  <w:style w:type="character" w:customStyle="1" w:styleId="2Char2">
    <w:name w:val="正文文字 2 Char"/>
    <w:qFormat/>
    <w:rPr>
      <w:rFonts w:eastAsia="宋体"/>
      <w:kern w:val="2"/>
      <w:sz w:val="21"/>
      <w:szCs w:val="21"/>
      <w:lang w:val="en-US" w:eastAsia="zh-CN" w:bidi="ar-SA"/>
    </w:rPr>
  </w:style>
  <w:style w:type="character" w:customStyle="1" w:styleId="Charff">
    <w:name w:val="第三层 一、 Char"/>
    <w:qFormat/>
    <w:rPr>
      <w:rFonts w:ascii="宋体" w:eastAsia="黑体" w:hAnsi="宋体" w:cs="黑体"/>
      <w:kern w:val="2"/>
      <w:sz w:val="30"/>
      <w:szCs w:val="18"/>
      <w:lang w:val="en-US" w:eastAsia="zh-CN" w:bidi="ar-SA"/>
    </w:rPr>
  </w:style>
  <w:style w:type="character" w:customStyle="1" w:styleId="CharChar8">
    <w:name w:val="第二级 Char Char"/>
    <w:qFormat/>
    <w:rPr>
      <w:rFonts w:ascii="宋体" w:eastAsia="宋体" w:hAnsi="宋体"/>
      <w:b/>
      <w:kern w:val="2"/>
      <w:sz w:val="24"/>
      <w:szCs w:val="24"/>
      <w:lang w:val="en-US" w:eastAsia="zh-CN" w:bidi="ar-SA"/>
    </w:rPr>
  </w:style>
  <w:style w:type="character" w:customStyle="1" w:styleId="info1">
    <w:name w:val="info1"/>
    <w:qFormat/>
    <w:rPr>
      <w:rFonts w:ascii="宋体" w:eastAsia="宋体" w:hAnsi="宋体" w:hint="eastAsia"/>
      <w:sz w:val="21"/>
      <w:szCs w:val="21"/>
    </w:rPr>
  </w:style>
  <w:style w:type="character" w:customStyle="1" w:styleId="13">
    <w:name w:val="正文文本 字符1"/>
    <w:link w:val="af6"/>
    <w:qFormat/>
    <w:rPr>
      <w:rFonts w:ascii="宋体" w:eastAsia="宋体" w:hAnsi="宋体" w:cs="Times New Roman"/>
      <w:kern w:val="0"/>
      <w:sz w:val="24"/>
      <w:szCs w:val="21"/>
    </w:rPr>
  </w:style>
  <w:style w:type="character" w:customStyle="1" w:styleId="1c">
    <w:name w:val="脚注文本 字符1"/>
    <w:link w:val="aff6"/>
    <w:uiPriority w:val="99"/>
    <w:qFormat/>
    <w:rPr>
      <w:rFonts w:ascii="宋体" w:eastAsia="宋体" w:hAnsi="宋体" w:cs="Times New Roman"/>
      <w:kern w:val="0"/>
      <w:sz w:val="18"/>
      <w:szCs w:val="24"/>
    </w:rPr>
  </w:style>
  <w:style w:type="character" w:customStyle="1" w:styleId="Charff0">
    <w:name w:val="招股书－正文 Char"/>
    <w:qFormat/>
    <w:rPr>
      <w:rFonts w:ascii="Arial" w:eastAsia="宋体" w:hAnsi="Arial" w:cs="Arial"/>
      <w:kern w:val="2"/>
      <w:sz w:val="24"/>
      <w:szCs w:val="24"/>
      <w:lang w:val="en-US" w:eastAsia="zh-CN" w:bidi="ar-SA"/>
    </w:rPr>
  </w:style>
  <w:style w:type="character" w:customStyle="1" w:styleId="big">
    <w:name w:val="big"/>
    <w:qFormat/>
  </w:style>
  <w:style w:type="character" w:customStyle="1" w:styleId="a8">
    <w:name w:val="注释标题 字符"/>
    <w:link w:val="a7"/>
    <w:qFormat/>
    <w:rPr>
      <w:rFonts w:ascii="宋体" w:eastAsia="宋体" w:hAnsi="宋体" w:cs="Times New Roman"/>
      <w:kern w:val="0"/>
      <w:sz w:val="24"/>
      <w:szCs w:val="21"/>
    </w:rPr>
  </w:style>
  <w:style w:type="character" w:customStyle="1" w:styleId="16">
    <w:name w:val="日期 字符1"/>
    <w:link w:val="afc"/>
    <w:qFormat/>
    <w:rPr>
      <w:rFonts w:ascii="宋体" w:eastAsia="宋体" w:hAnsi="宋体" w:cs="Times New Roman"/>
      <w:kern w:val="0"/>
      <w:sz w:val="24"/>
      <w:szCs w:val="21"/>
    </w:rPr>
  </w:style>
  <w:style w:type="character" w:customStyle="1" w:styleId="CharChar1CharChar">
    <w:name w:val="招股书正文 Char Char1 Char Char"/>
    <w:semiHidden/>
    <w:qFormat/>
    <w:rPr>
      <w:rFonts w:eastAsia="宋体"/>
      <w:kern w:val="2"/>
      <w:sz w:val="24"/>
      <w:szCs w:val="24"/>
      <w:lang w:val="en-US" w:eastAsia="zh-CN"/>
    </w:rPr>
  </w:style>
  <w:style w:type="character" w:customStyle="1" w:styleId="CharChar1Char0">
    <w:name w:val="招股书修改 Char Char1 Char"/>
    <w:semiHidden/>
    <w:qFormat/>
    <w:rPr>
      <w:rFonts w:ascii="楷体_GB2312" w:eastAsia="楷体_GB2312" w:cs="楷体_GB2312"/>
      <w:b/>
      <w:bCs/>
      <w:kern w:val="2"/>
      <w:sz w:val="24"/>
      <w:szCs w:val="24"/>
      <w:lang w:val="en-US" w:eastAsia="zh-CN"/>
    </w:rPr>
  </w:style>
  <w:style w:type="character" w:customStyle="1" w:styleId="10">
    <w:name w:val="文档结构图 字符1"/>
    <w:link w:val="af0"/>
    <w:qFormat/>
    <w:rPr>
      <w:rFonts w:ascii="宋体" w:eastAsia="宋体" w:hAnsi="宋体" w:cs="Times New Roman"/>
      <w:kern w:val="0"/>
      <w:sz w:val="24"/>
      <w:szCs w:val="21"/>
      <w:shd w:val="clear" w:color="auto" w:fill="000080"/>
    </w:rPr>
  </w:style>
  <w:style w:type="character" w:customStyle="1" w:styleId="12">
    <w:name w:val="批注文字 字符1"/>
    <w:link w:val="af1"/>
    <w:qFormat/>
    <w:rPr>
      <w:rFonts w:ascii="宋体" w:eastAsia="宋体" w:hAnsi="宋体" w:cs="Times New Roman"/>
      <w:kern w:val="0"/>
      <w:sz w:val="24"/>
      <w:szCs w:val="21"/>
    </w:rPr>
  </w:style>
  <w:style w:type="character" w:customStyle="1" w:styleId="1e">
    <w:name w:val="批注主题 字符1"/>
    <w:link w:val="affd"/>
    <w:uiPriority w:val="99"/>
    <w:qFormat/>
    <w:rPr>
      <w:rFonts w:ascii="宋体" w:eastAsia="宋体" w:hAnsi="宋体" w:cs="Times New Roman"/>
      <w:b/>
      <w:bCs/>
      <w:kern w:val="0"/>
      <w:sz w:val="24"/>
      <w:szCs w:val="21"/>
    </w:rPr>
  </w:style>
  <w:style w:type="character" w:customStyle="1" w:styleId="18">
    <w:name w:val="批注框文本 字符1"/>
    <w:link w:val="afe"/>
    <w:qFormat/>
    <w:rPr>
      <w:rFonts w:ascii="宋体" w:eastAsia="宋体" w:hAnsi="宋体" w:cs="Times New Roman"/>
      <w:kern w:val="0"/>
      <w:sz w:val="18"/>
      <w:szCs w:val="18"/>
    </w:rPr>
  </w:style>
  <w:style w:type="character" w:customStyle="1" w:styleId="Charff1">
    <w:name w:val="第三次反馈修改 Char"/>
    <w:semiHidden/>
    <w:qFormat/>
    <w:rPr>
      <w:rFonts w:ascii="楷体_GB2312" w:eastAsia="楷体_GB2312" w:cs="楷体_GB2312"/>
      <w:b/>
      <w:bCs/>
      <w:kern w:val="2"/>
      <w:sz w:val="24"/>
      <w:szCs w:val="24"/>
      <w:lang w:val="en-US" w:eastAsia="zh-CN"/>
    </w:rPr>
  </w:style>
  <w:style w:type="character" w:customStyle="1" w:styleId="Charff2">
    <w:name w:val="Char"/>
    <w:semiHidden/>
    <w:qFormat/>
    <w:rPr>
      <w:rFonts w:eastAsia="宋体"/>
      <w:b/>
      <w:bCs/>
      <w:kern w:val="2"/>
      <w:sz w:val="30"/>
      <w:szCs w:val="30"/>
      <w:lang w:val="en-US" w:eastAsia="zh-CN"/>
    </w:rPr>
  </w:style>
  <w:style w:type="character" w:customStyle="1" w:styleId="Charff3">
    <w:name w:val="章 Char"/>
    <w:semiHidden/>
    <w:qFormat/>
    <w:rPr>
      <w:rFonts w:eastAsia="黑体"/>
      <w:b/>
      <w:bCs/>
      <w:kern w:val="2"/>
      <w:sz w:val="36"/>
      <w:szCs w:val="36"/>
      <w:lang w:val="en-US" w:eastAsia="zh-CN"/>
    </w:rPr>
  </w:style>
  <w:style w:type="character" w:customStyle="1" w:styleId="Char30">
    <w:name w:val="招股书修改 Char3"/>
    <w:semiHidden/>
    <w:qFormat/>
    <w:rPr>
      <w:rFonts w:ascii="楷体_GB2312" w:eastAsia="楷体_GB2312" w:cs="楷体_GB2312"/>
      <w:b/>
      <w:bCs/>
      <w:kern w:val="2"/>
      <w:sz w:val="24"/>
      <w:szCs w:val="24"/>
      <w:lang w:val="en-US" w:eastAsia="zh-CN"/>
    </w:rPr>
  </w:style>
  <w:style w:type="character" w:customStyle="1" w:styleId="15">
    <w:name w:val="纯文本 字符1"/>
    <w:link w:val="afb"/>
    <w:qFormat/>
    <w:rPr>
      <w:rFonts w:ascii="宋体" w:eastAsia="宋体" w:hAnsi="Courier New" w:cs="Times New Roman"/>
      <w:kern w:val="0"/>
      <w:sz w:val="24"/>
      <w:szCs w:val="21"/>
    </w:rPr>
  </w:style>
  <w:style w:type="character" w:customStyle="1" w:styleId="DeltaViewInsertion">
    <w:name w:val="DeltaView Insertion"/>
    <w:qFormat/>
    <w:rPr>
      <w:color w:val="191919"/>
      <w:spacing w:val="0"/>
      <w:u w:val="double"/>
    </w:rPr>
  </w:style>
  <w:style w:type="character" w:customStyle="1" w:styleId="311">
    <w:name w:val="正文文本缩进 3 字符1"/>
    <w:link w:val="35"/>
    <w:qFormat/>
    <w:rPr>
      <w:rFonts w:ascii="宋体" w:eastAsia="宋体" w:hAnsi="宋体" w:cs="Times New Roman"/>
      <w:kern w:val="0"/>
      <w:sz w:val="24"/>
      <w:szCs w:val="24"/>
    </w:rPr>
  </w:style>
  <w:style w:type="character" w:customStyle="1" w:styleId="210">
    <w:name w:val="正文文本缩进 2 字符1"/>
    <w:link w:val="24"/>
    <w:qFormat/>
    <w:rPr>
      <w:rFonts w:ascii="宋体" w:eastAsia="宋体" w:hAnsi="宋体" w:cs="Times New Roman"/>
      <w:color w:val="0000FF"/>
      <w:kern w:val="0"/>
      <w:sz w:val="24"/>
      <w:szCs w:val="24"/>
    </w:rPr>
  </w:style>
  <w:style w:type="character" w:customStyle="1" w:styleId="HTML2">
    <w:name w:val="HTML 预设格式 字符"/>
    <w:link w:val="HTML1"/>
    <w:uiPriority w:val="99"/>
    <w:qFormat/>
    <w:rPr>
      <w:rFonts w:ascii="黑体" w:eastAsia="黑体" w:hAnsi="Courier New" w:cs="Times New Roman"/>
      <w:kern w:val="0"/>
      <w:sz w:val="24"/>
      <w:szCs w:val="24"/>
    </w:rPr>
  </w:style>
  <w:style w:type="character" w:customStyle="1" w:styleId="211">
    <w:name w:val="正文文本 2 字符1"/>
    <w:link w:val="25"/>
    <w:qFormat/>
    <w:rPr>
      <w:rFonts w:ascii="Arial" w:eastAsia="宋体" w:hAnsi="Arial" w:cs="Times New Roman"/>
      <w:b/>
      <w:kern w:val="0"/>
      <w:sz w:val="24"/>
      <w:szCs w:val="24"/>
    </w:rPr>
  </w:style>
  <w:style w:type="character" w:customStyle="1" w:styleId="310">
    <w:name w:val="正文文本 3 字符1"/>
    <w:link w:val="32"/>
    <w:qFormat/>
    <w:rPr>
      <w:rFonts w:ascii="宋体" w:eastAsia="宋体" w:hAnsi="宋体" w:cs="Times New Roman"/>
      <w:kern w:val="0"/>
      <w:sz w:val="24"/>
      <w:szCs w:val="16"/>
      <w:lang w:eastAsia="en-US"/>
    </w:rPr>
  </w:style>
  <w:style w:type="character" w:customStyle="1" w:styleId="28">
    <w:name w:val="正文文本首行缩进 2 字符"/>
    <w:link w:val="27"/>
    <w:qFormat/>
    <w:rPr>
      <w:rFonts w:ascii="宋体" w:eastAsia="宋体" w:hAnsi="宋体" w:cs="Times New Roman"/>
      <w:kern w:val="0"/>
      <w:sz w:val="24"/>
      <w:szCs w:val="20"/>
      <w:lang w:eastAsia="en-US"/>
    </w:rPr>
  </w:style>
  <w:style w:type="character" w:customStyle="1" w:styleId="afff">
    <w:name w:val="正文文本首行缩进 字符"/>
    <w:link w:val="affe"/>
    <w:qFormat/>
    <w:rPr>
      <w:rFonts w:ascii="宋体" w:eastAsia="宋体" w:hAnsi="宋体" w:cs="Times New Roman"/>
      <w:kern w:val="0"/>
      <w:sz w:val="24"/>
      <w:szCs w:val="20"/>
      <w:lang w:eastAsia="en-US"/>
    </w:rPr>
  </w:style>
  <w:style w:type="character" w:customStyle="1" w:styleId="af5">
    <w:name w:val="结束语 字符"/>
    <w:link w:val="af4"/>
    <w:qFormat/>
    <w:rPr>
      <w:rFonts w:ascii="宋体" w:eastAsia="宋体" w:hAnsi="宋体" w:cs="Times New Roman"/>
      <w:kern w:val="0"/>
      <w:sz w:val="24"/>
      <w:szCs w:val="24"/>
      <w:lang w:eastAsia="en-US"/>
    </w:rPr>
  </w:style>
  <w:style w:type="character" w:customStyle="1" w:styleId="af3">
    <w:name w:val="称呼 字符"/>
    <w:link w:val="af2"/>
    <w:qFormat/>
    <w:rPr>
      <w:rFonts w:ascii="宋体" w:eastAsia="宋体" w:hAnsi="宋体" w:cs="Times New Roman"/>
      <w:kern w:val="0"/>
      <w:sz w:val="24"/>
      <w:szCs w:val="24"/>
      <w:lang w:eastAsia="en-US"/>
    </w:rPr>
  </w:style>
  <w:style w:type="character" w:customStyle="1" w:styleId="aff3">
    <w:name w:val="签名 字符"/>
    <w:link w:val="aff2"/>
    <w:qFormat/>
    <w:rPr>
      <w:rFonts w:ascii="宋体" w:eastAsia="宋体" w:hAnsi="宋体" w:cs="Times New Roman"/>
      <w:kern w:val="0"/>
      <w:sz w:val="24"/>
      <w:szCs w:val="24"/>
      <w:lang w:eastAsia="en-US"/>
    </w:rPr>
  </w:style>
  <w:style w:type="character" w:customStyle="1" w:styleId="1b">
    <w:name w:val="副标题 字符1"/>
    <w:link w:val="aff4"/>
    <w:qFormat/>
    <w:rPr>
      <w:rFonts w:ascii="宋体" w:eastAsia="宋体" w:hAnsi="宋体" w:cs="Times New Roman"/>
      <w:kern w:val="0"/>
      <w:sz w:val="24"/>
      <w:szCs w:val="24"/>
      <w:lang w:eastAsia="en-US"/>
    </w:rPr>
  </w:style>
  <w:style w:type="character" w:customStyle="1" w:styleId="1d">
    <w:name w:val="标题 字符1"/>
    <w:link w:val="affc"/>
    <w:qFormat/>
    <w:rPr>
      <w:rFonts w:ascii="宋体" w:eastAsia="宋体" w:hAnsi="宋体" w:cs="Times New Roman"/>
      <w:b/>
      <w:kern w:val="0"/>
      <w:sz w:val="24"/>
      <w:szCs w:val="24"/>
      <w:lang w:eastAsia="en-US"/>
    </w:rPr>
  </w:style>
  <w:style w:type="character" w:customStyle="1" w:styleId="CharCharChar1CharCharChar">
    <w:name w:val="招股书正文 Char Char Char1 Char Char Char"/>
    <w:semiHidden/>
    <w:qFormat/>
    <w:rPr>
      <w:rFonts w:eastAsia="宋体"/>
      <w:kern w:val="2"/>
      <w:sz w:val="24"/>
      <w:szCs w:val="24"/>
      <w:lang w:val="en-US" w:eastAsia="zh-CN"/>
    </w:rPr>
  </w:style>
  <w:style w:type="character" w:customStyle="1" w:styleId="z-Char">
    <w:name w:val="z-窗体顶端 Char"/>
    <w:link w:val="z-1"/>
    <w:qFormat/>
    <w:rPr>
      <w:rFonts w:ascii="Arial" w:eastAsia="宋体" w:hAnsi="Arial" w:cs="Times New Roman"/>
      <w:vanish/>
      <w:kern w:val="0"/>
      <w:sz w:val="16"/>
      <w:szCs w:val="16"/>
    </w:rPr>
  </w:style>
  <w:style w:type="character" w:customStyle="1" w:styleId="big1">
    <w:name w:val="big1"/>
    <w:qFormat/>
    <w:rPr>
      <w:sz w:val="22"/>
      <w:szCs w:val="22"/>
    </w:rPr>
  </w:style>
  <w:style w:type="character" w:customStyle="1" w:styleId="z-Char0">
    <w:name w:val="z-窗体底端 Char"/>
    <w:link w:val="z-10"/>
    <w:qFormat/>
    <w:rPr>
      <w:rFonts w:ascii="Arial" w:eastAsia="宋体" w:hAnsi="Arial" w:cs="Times New Roman"/>
      <w:vanish/>
      <w:kern w:val="0"/>
      <w:sz w:val="16"/>
      <w:szCs w:val="16"/>
    </w:rPr>
  </w:style>
  <w:style w:type="character" w:customStyle="1" w:styleId="bfont">
    <w:name w:val="bfont"/>
    <w:qFormat/>
  </w:style>
  <w:style w:type="character" w:customStyle="1" w:styleId="apple-style-span">
    <w:name w:val="apple-style-span"/>
    <w:qFormat/>
  </w:style>
  <w:style w:type="character" w:customStyle="1" w:styleId="newstitle">
    <w:name w:val="news_title"/>
    <w:qFormat/>
  </w:style>
  <w:style w:type="character" w:customStyle="1" w:styleId="Char40">
    <w:name w:val="Char4"/>
    <w:semiHidden/>
    <w:qFormat/>
    <w:rPr>
      <w:rFonts w:eastAsia="宋体"/>
      <w:b/>
      <w:bCs/>
      <w:kern w:val="2"/>
      <w:sz w:val="30"/>
      <w:szCs w:val="30"/>
      <w:lang w:val="en-US" w:eastAsia="zh-CN"/>
    </w:rPr>
  </w:style>
  <w:style w:type="character" w:customStyle="1" w:styleId="1Char1">
    <w:name w:val="标题 1 Char1"/>
    <w:uiPriority w:val="9"/>
    <w:qFormat/>
    <w:rPr>
      <w:rFonts w:ascii="Times New Roman" w:eastAsia="宋体" w:hAnsi="Times New Roman" w:cs="Times New Roman"/>
      <w:b/>
      <w:bCs/>
      <w:kern w:val="44"/>
      <w:sz w:val="44"/>
      <w:szCs w:val="44"/>
    </w:rPr>
  </w:style>
  <w:style w:type="character" w:customStyle="1" w:styleId="2Char10">
    <w:name w:val="标题 2 Char1"/>
    <w:qFormat/>
    <w:rPr>
      <w:rFonts w:ascii="Cambria" w:eastAsia="宋体" w:hAnsi="Cambria" w:cs="Times New Roman"/>
      <w:b/>
      <w:bCs/>
      <w:kern w:val="2"/>
      <w:sz w:val="32"/>
      <w:szCs w:val="32"/>
    </w:rPr>
  </w:style>
  <w:style w:type="character" w:customStyle="1" w:styleId="3Char1">
    <w:name w:val="标题 3 Char1"/>
    <w:qFormat/>
    <w:rPr>
      <w:rFonts w:ascii="Times New Roman" w:eastAsia="宋体" w:hAnsi="Times New Roman" w:cs="Times New Roman"/>
      <w:b/>
      <w:bCs/>
      <w:kern w:val="2"/>
      <w:sz w:val="32"/>
      <w:szCs w:val="32"/>
    </w:rPr>
  </w:style>
  <w:style w:type="character" w:customStyle="1" w:styleId="4Char1">
    <w:name w:val="标题 4 Char1"/>
    <w:qFormat/>
    <w:rPr>
      <w:rFonts w:ascii="Cambria" w:eastAsia="宋体" w:hAnsi="Cambria" w:cs="Times New Roman"/>
      <w:b/>
      <w:bCs/>
      <w:kern w:val="2"/>
      <w:sz w:val="28"/>
      <w:szCs w:val="28"/>
    </w:rPr>
  </w:style>
  <w:style w:type="character" w:customStyle="1" w:styleId="5Char1">
    <w:name w:val="标题 5 Char1"/>
    <w:qFormat/>
    <w:rPr>
      <w:rFonts w:ascii="Times New Roman" w:eastAsia="宋体" w:hAnsi="Times New Roman" w:cs="Times New Roman"/>
      <w:b/>
      <w:bCs/>
      <w:kern w:val="2"/>
      <w:sz w:val="28"/>
      <w:szCs w:val="28"/>
    </w:rPr>
  </w:style>
  <w:style w:type="character" w:customStyle="1" w:styleId="6Char1">
    <w:name w:val="标题 6 Char1"/>
    <w:semiHidden/>
    <w:qFormat/>
    <w:rPr>
      <w:rFonts w:ascii="Cambria" w:eastAsia="宋体" w:hAnsi="Cambria" w:cs="Times New Roman"/>
      <w:b/>
      <w:bCs/>
      <w:kern w:val="2"/>
      <w:sz w:val="24"/>
      <w:szCs w:val="24"/>
    </w:rPr>
  </w:style>
  <w:style w:type="character" w:customStyle="1" w:styleId="7Char1">
    <w:name w:val="标题 7 Char1"/>
    <w:semiHidden/>
    <w:qFormat/>
    <w:rPr>
      <w:rFonts w:ascii="Times New Roman" w:eastAsia="宋体" w:hAnsi="Times New Roman" w:cs="Times New Roman"/>
      <w:b/>
      <w:bCs/>
      <w:kern w:val="2"/>
      <w:sz w:val="24"/>
      <w:szCs w:val="24"/>
    </w:rPr>
  </w:style>
  <w:style w:type="character" w:customStyle="1" w:styleId="8Char1">
    <w:name w:val="标题 8 Char1"/>
    <w:semiHidden/>
    <w:qFormat/>
    <w:rPr>
      <w:rFonts w:ascii="Cambria" w:eastAsia="宋体" w:hAnsi="Cambria" w:cs="Times New Roman"/>
      <w:kern w:val="2"/>
      <w:sz w:val="24"/>
      <w:szCs w:val="24"/>
    </w:rPr>
  </w:style>
  <w:style w:type="character" w:customStyle="1" w:styleId="9Char1">
    <w:name w:val="标题 9 Char1"/>
    <w:semiHidden/>
    <w:qFormat/>
    <w:rPr>
      <w:rFonts w:ascii="Cambria" w:eastAsia="宋体" w:hAnsi="Cambria" w:cs="Times New Roman"/>
      <w:kern w:val="2"/>
      <w:sz w:val="21"/>
      <w:szCs w:val="21"/>
    </w:rPr>
  </w:style>
  <w:style w:type="character" w:customStyle="1" w:styleId="Char13">
    <w:name w:val="结束语 Char1"/>
    <w:qFormat/>
    <w:rPr>
      <w:kern w:val="2"/>
      <w:sz w:val="21"/>
      <w:szCs w:val="21"/>
    </w:rPr>
  </w:style>
  <w:style w:type="character" w:customStyle="1" w:styleId="Char15">
    <w:name w:val="签名 Char1"/>
    <w:qFormat/>
    <w:rPr>
      <w:kern w:val="2"/>
      <w:sz w:val="21"/>
      <w:szCs w:val="21"/>
    </w:rPr>
  </w:style>
  <w:style w:type="character" w:customStyle="1" w:styleId="Char1a">
    <w:name w:val="正文文本 Char1"/>
    <w:qFormat/>
    <w:rPr>
      <w:kern w:val="2"/>
      <w:sz w:val="21"/>
      <w:szCs w:val="21"/>
    </w:rPr>
  </w:style>
  <w:style w:type="character" w:customStyle="1" w:styleId="Char1b">
    <w:name w:val="正文首行缩进 Char1"/>
    <w:qFormat/>
  </w:style>
  <w:style w:type="character" w:customStyle="1" w:styleId="2Char11">
    <w:name w:val="正文首行缩进 2 Char1"/>
    <w:qFormat/>
  </w:style>
  <w:style w:type="character" w:customStyle="1" w:styleId="2Char12">
    <w:name w:val="正文文本 2 Char1"/>
    <w:qFormat/>
    <w:rPr>
      <w:kern w:val="2"/>
      <w:sz w:val="21"/>
      <w:szCs w:val="21"/>
    </w:rPr>
  </w:style>
  <w:style w:type="character" w:customStyle="1" w:styleId="3Char10">
    <w:name w:val="正文文本 3 Char1"/>
    <w:qFormat/>
    <w:rPr>
      <w:kern w:val="2"/>
      <w:sz w:val="16"/>
      <w:szCs w:val="16"/>
    </w:rPr>
  </w:style>
  <w:style w:type="character" w:customStyle="1" w:styleId="2Char13">
    <w:name w:val="正文文本缩进 2 Char1"/>
    <w:qFormat/>
    <w:rPr>
      <w:kern w:val="2"/>
      <w:sz w:val="21"/>
      <w:szCs w:val="21"/>
    </w:rPr>
  </w:style>
  <w:style w:type="character" w:customStyle="1" w:styleId="3Char11">
    <w:name w:val="正文文本缩进 3 Char1"/>
    <w:qFormat/>
    <w:rPr>
      <w:kern w:val="2"/>
      <w:sz w:val="16"/>
      <w:szCs w:val="16"/>
    </w:rPr>
  </w:style>
  <w:style w:type="character" w:customStyle="1" w:styleId="Char31">
    <w:name w:val="Char3"/>
    <w:semiHidden/>
    <w:qFormat/>
    <w:rPr>
      <w:rFonts w:eastAsia="宋体"/>
      <w:b/>
      <w:bCs/>
      <w:kern w:val="2"/>
      <w:sz w:val="30"/>
      <w:szCs w:val="30"/>
      <w:lang w:val="en-US" w:eastAsia="zh-CN"/>
    </w:rPr>
  </w:style>
  <w:style w:type="character" w:customStyle="1" w:styleId="17">
    <w:name w:val="尾注文本 字符1"/>
    <w:link w:val="afd"/>
    <w:qFormat/>
    <w:rPr>
      <w:rFonts w:ascii="宋体" w:eastAsia="宋体" w:hAnsi="宋体" w:cs="Times New Roman"/>
      <w:kern w:val="0"/>
      <w:sz w:val="24"/>
      <w:szCs w:val="21"/>
    </w:rPr>
  </w:style>
  <w:style w:type="character" w:customStyle="1" w:styleId="Heading3Char">
    <w:name w:val="Heading 3 Char"/>
    <w:uiPriority w:val="99"/>
    <w:semiHidden/>
    <w:qFormat/>
    <w:locked/>
    <w:rPr>
      <w:b/>
      <w:bCs/>
      <w:sz w:val="32"/>
      <w:szCs w:val="32"/>
    </w:rPr>
  </w:style>
  <w:style w:type="character" w:customStyle="1" w:styleId="FootnoteTextChar1">
    <w:name w:val="Footnote Text Char1"/>
    <w:uiPriority w:val="99"/>
    <w:qFormat/>
    <w:locked/>
    <w:rPr>
      <w:rFonts w:eastAsia="宋体"/>
      <w:sz w:val="18"/>
      <w:szCs w:val="18"/>
    </w:rPr>
  </w:style>
  <w:style w:type="character" w:customStyle="1" w:styleId="Char2b">
    <w:name w:val="页脚 Char2"/>
    <w:qFormat/>
    <w:rPr>
      <w:rFonts w:eastAsia="华文仿宋"/>
      <w:kern w:val="2"/>
      <w:sz w:val="18"/>
      <w:szCs w:val="18"/>
      <w:lang w:val="en-US" w:eastAsia="zh-CN" w:bidi="ar-SA"/>
    </w:rPr>
  </w:style>
  <w:style w:type="character" w:customStyle="1" w:styleId="Charff4">
    <w:name w:val="金龙_第二级 Char"/>
    <w:qFormat/>
    <w:rPr>
      <w:rFonts w:ascii="FIMOFO+MSung-Light" w:eastAsia="Times New Roman Bold" w:hAnsi="FIMOFO+MSung-Light" w:cs="@'宋体"/>
      <w:b/>
      <w:bCs/>
      <w:kern w:val="2"/>
      <w:sz w:val="24"/>
      <w:szCs w:val="24"/>
      <w:lang w:val="en-US" w:eastAsia="zh-CN" w:bidi="ar-SA"/>
    </w:rPr>
  </w:style>
  <w:style w:type="character" w:customStyle="1" w:styleId="Char1c">
    <w:name w:val="脚注文本 Char1"/>
    <w:uiPriority w:val="99"/>
    <w:semiHidden/>
    <w:qFormat/>
    <w:rPr>
      <w:rFonts w:eastAsia="华文仿宋"/>
      <w:kern w:val="2"/>
      <w:sz w:val="18"/>
      <w:lang w:val="en-US" w:eastAsia="zh-CN" w:bidi="ar-SA"/>
    </w:rPr>
  </w:style>
  <w:style w:type="character" w:customStyle="1" w:styleId="Char1d">
    <w:name w:val="第三层 一、 Char1"/>
    <w:qFormat/>
    <w:rPr>
      <w:rFonts w:ascii="华文仿宋" w:eastAsia="MS Sans Serif" w:hAnsi="华文仿宋" w:cs="MS Sans Serif"/>
      <w:kern w:val="2"/>
      <w:sz w:val="30"/>
      <w:szCs w:val="18"/>
      <w:lang w:val="en-US" w:eastAsia="zh-CN" w:bidi="ar-SA"/>
    </w:rPr>
  </w:style>
  <w:style w:type="character" w:customStyle="1" w:styleId="Char1e">
    <w:name w:val="招股书－正文 Char1"/>
    <w:qFormat/>
    <w:rPr>
      <w:rFonts w:ascii="FIMOFO+MSung-Light" w:eastAsia="华文仿宋" w:hAnsi="FIMOFO+MSung-Light" w:cs="FIMOFO+MSung-Light"/>
      <w:kern w:val="2"/>
      <w:sz w:val="24"/>
      <w:szCs w:val="24"/>
      <w:lang w:val="en-US" w:eastAsia="zh-CN" w:bidi="ar-SA"/>
    </w:rPr>
  </w:style>
  <w:style w:type="character" w:customStyle="1" w:styleId="Char1f">
    <w:name w:val="批注文字 Char1"/>
    <w:uiPriority w:val="99"/>
    <w:qFormat/>
    <w:rPr>
      <w:rFonts w:eastAsia="华文仿宋"/>
      <w:kern w:val="2"/>
      <w:sz w:val="21"/>
      <w:szCs w:val="21"/>
      <w:lang w:val="en-US" w:eastAsia="zh-CN" w:bidi="ar-SA"/>
    </w:rPr>
  </w:style>
  <w:style w:type="character" w:customStyle="1" w:styleId="Char130">
    <w:name w:val="Char13"/>
    <w:semiHidden/>
    <w:qFormat/>
    <w:rPr>
      <w:rFonts w:ascii="FIMOFO+MSung-Light" w:eastAsia="华文仿宋" w:hAnsi="FIMOFO+MSung-Light" w:cs="@'宋体"/>
      <w:b/>
      <w:bCs/>
      <w:kern w:val="2"/>
      <w:sz w:val="30"/>
      <w:szCs w:val="30"/>
      <w:lang w:val="en-US" w:eastAsia="zh-CN" w:bidi="th-TH"/>
    </w:rPr>
  </w:style>
  <w:style w:type="character" w:customStyle="1" w:styleId="bti3CharChar3">
    <w:name w:val="bti3 Char Char3"/>
    <w:qFormat/>
    <w:rPr>
      <w:rFonts w:ascii="华文仿宋" w:eastAsia="华文仿宋" w:hAnsi="FIMOFO+MSung-Light" w:cs="@'宋体"/>
      <w:kern w:val="2"/>
      <w:sz w:val="24"/>
      <w:szCs w:val="24"/>
      <w:lang w:val="en-US" w:eastAsia="zh-CN" w:bidi="ar-SA"/>
    </w:rPr>
  </w:style>
  <w:style w:type="character" w:customStyle="1" w:styleId="Char1f0">
    <w:name w:val="纯文本 Char1"/>
    <w:qFormat/>
    <w:rPr>
      <w:rFonts w:ascii="华文仿宋" w:eastAsia="华文仿宋" w:hAnsi="Zurich Cn BT"/>
      <w:kern w:val="2"/>
      <w:sz w:val="21"/>
      <w:szCs w:val="21"/>
      <w:lang w:val="en-US" w:eastAsia="zh-CN" w:bidi="ar-SA"/>
    </w:rPr>
  </w:style>
  <w:style w:type="character" w:customStyle="1" w:styleId="Char1f1">
    <w:name w:val="副标题 Char1"/>
    <w:qFormat/>
    <w:rPr>
      <w:rFonts w:eastAsia="华文仿宋"/>
      <w:sz w:val="24"/>
      <w:lang w:val="en-US" w:eastAsia="en-US" w:bidi="ar-SA"/>
    </w:rPr>
  </w:style>
  <w:style w:type="character" w:customStyle="1" w:styleId="Char1f2">
    <w:name w:val="标题 Char1"/>
    <w:qFormat/>
    <w:rPr>
      <w:rFonts w:eastAsia="华文仿宋"/>
      <w:b/>
      <w:sz w:val="24"/>
      <w:lang w:val="en-US" w:eastAsia="en-US" w:bidi="ar-SA"/>
    </w:rPr>
  </w:style>
  <w:style w:type="character" w:customStyle="1" w:styleId="da">
    <w:name w:val="da"/>
    <w:qFormat/>
    <w:rPr>
      <w:rFonts w:ascii="FIMOFO+MSung-Light" w:eastAsia="华文仿宋" w:hAnsi="FIMOFO+MSung-Light" w:cs="FIMOFO+MSung-Light"/>
      <w:sz w:val="22"/>
      <w:lang w:val="en-US" w:eastAsia="en-US" w:bidi="ar-SA"/>
    </w:rPr>
  </w:style>
  <w:style w:type="character" w:customStyle="1" w:styleId="content">
    <w:name w:val="content"/>
    <w:qFormat/>
    <w:rPr>
      <w:rFonts w:ascii="FIMOFO+MSung-Light" w:eastAsia="华文仿宋" w:hAnsi="FIMOFO+MSung-Light" w:cs="FIMOFO+MSung-Light"/>
      <w:sz w:val="22"/>
      <w:lang w:val="en-US" w:eastAsia="en-US" w:bidi="ar-SA"/>
    </w:rPr>
  </w:style>
  <w:style w:type="character" w:customStyle="1" w:styleId="vmedium1">
    <w:name w:val="v_medium1"/>
    <w:qFormat/>
    <w:rPr>
      <w:rFonts w:ascii="华文楷体" w:eastAsia="华文仿宋" w:hAnsi="华文楷体" w:cs="FIMOFO+MSung-Light" w:hint="default"/>
      <w:sz w:val="27"/>
      <w:szCs w:val="27"/>
      <w:lang w:val="en-US" w:eastAsia="en-US" w:bidi="ar-SA"/>
    </w:rPr>
  </w:style>
  <w:style w:type="character" w:customStyle="1" w:styleId="f41">
    <w:name w:val="f41"/>
    <w:qFormat/>
    <w:rPr>
      <w:rFonts w:ascii="FIMOFO+MSung-Light" w:eastAsia="华文仿宋" w:hAnsi="FIMOFO+MSung-Light" w:cs="FIMOFO+MSung-Light"/>
      <w:b/>
      <w:bCs/>
      <w:sz w:val="30"/>
      <w:szCs w:val="30"/>
      <w:lang w:val="en-US" w:eastAsia="en-US" w:bidi="ar-SA"/>
    </w:rPr>
  </w:style>
  <w:style w:type="character" w:customStyle="1" w:styleId="bti3CharChar">
    <w:name w:val="bti3 Char Char"/>
    <w:qFormat/>
    <w:rPr>
      <w:rFonts w:ascii="华文仿宋" w:eastAsia="华文仿宋" w:hAnsi="FIMOFO+MSung-Light" w:cs="@'宋体"/>
      <w:kern w:val="2"/>
      <w:sz w:val="24"/>
      <w:szCs w:val="24"/>
      <w:lang w:val="en-US" w:eastAsia="zh-CN" w:bidi="ar-SA"/>
    </w:rPr>
  </w:style>
  <w:style w:type="character" w:customStyle="1" w:styleId="Char1f3">
    <w:name w:val="第四层 （一） Char1"/>
    <w:qFormat/>
    <w:rPr>
      <w:rFonts w:ascii="FIMOFO+MSung-Light" w:eastAsia="Times New Roman Bold" w:hAnsi="FIMOFO+MSung-Light" w:cs="@'宋体"/>
      <w:b/>
      <w:bCs/>
      <w:kern w:val="2"/>
      <w:sz w:val="24"/>
      <w:szCs w:val="24"/>
      <w:lang w:val="en-US" w:eastAsia="zh-CN" w:bidi="ar-SA"/>
    </w:rPr>
  </w:style>
  <w:style w:type="character" w:customStyle="1" w:styleId="Charff5">
    <w:name w:val="金龙单位 Char"/>
    <w:qFormat/>
    <w:rPr>
      <w:rFonts w:ascii="FIMOFO+MSung-Light" w:eastAsia="华文仿宋" w:hAnsi="华文仿宋" w:cs="@'宋体"/>
      <w:kern w:val="2"/>
      <w:sz w:val="18"/>
      <w:szCs w:val="18"/>
      <w:lang w:val="en-US" w:eastAsia="zh-CN" w:bidi="ar-SA"/>
    </w:rPr>
  </w:style>
  <w:style w:type="character" w:customStyle="1" w:styleId="bti3CharChar1">
    <w:name w:val="bti3 Char Char1"/>
    <w:qFormat/>
    <w:rPr>
      <w:rFonts w:ascii="华文仿宋" w:eastAsia="华文仿宋" w:hAnsi="FIMOFO+MSung-Light" w:cs="@'宋体"/>
      <w:kern w:val="2"/>
      <w:sz w:val="24"/>
      <w:szCs w:val="24"/>
      <w:lang w:val="en-US" w:eastAsia="zh-CN" w:bidi="ar-SA"/>
    </w:rPr>
  </w:style>
  <w:style w:type="character" w:customStyle="1" w:styleId="bti3CharChar2">
    <w:name w:val="bti3 Char Char2"/>
    <w:qFormat/>
    <w:rPr>
      <w:rFonts w:ascii="华文仿宋" w:eastAsia="华文仿宋" w:hAnsi="FIMOFO+MSung-Light" w:cs="@'宋体"/>
      <w:kern w:val="2"/>
      <w:sz w:val="24"/>
      <w:szCs w:val="24"/>
      <w:lang w:val="en-US" w:eastAsia="zh-CN" w:bidi="ar-SA"/>
    </w:rPr>
  </w:style>
  <w:style w:type="character" w:customStyle="1" w:styleId="Char1f4">
    <w:name w:val="注释标题 Char1"/>
    <w:qFormat/>
    <w:rPr>
      <w:rFonts w:eastAsia="华文仿宋"/>
      <w:kern w:val="2"/>
      <w:sz w:val="21"/>
      <w:szCs w:val="21"/>
      <w:lang w:val="en-US" w:eastAsia="zh-CN" w:bidi="ar-SA"/>
    </w:rPr>
  </w:style>
  <w:style w:type="character" w:customStyle="1" w:styleId="Char1f5">
    <w:name w:val="页眉 Char1"/>
    <w:uiPriority w:val="99"/>
    <w:qFormat/>
    <w:rPr>
      <w:rFonts w:eastAsia="华文仿宋"/>
      <w:kern w:val="2"/>
      <w:sz w:val="18"/>
      <w:szCs w:val="18"/>
      <w:lang w:val="en-US" w:eastAsia="zh-CN" w:bidi="ar-SA"/>
    </w:rPr>
  </w:style>
  <w:style w:type="character" w:customStyle="1" w:styleId="Char1f6">
    <w:name w:val="日期 Char1"/>
    <w:qFormat/>
    <w:rPr>
      <w:rFonts w:eastAsia="华文仿宋"/>
      <w:kern w:val="2"/>
      <w:sz w:val="21"/>
      <w:szCs w:val="21"/>
      <w:lang w:val="en-US" w:eastAsia="zh-CN" w:bidi="ar-SA"/>
    </w:rPr>
  </w:style>
  <w:style w:type="character" w:customStyle="1" w:styleId="Char1f7">
    <w:name w:val="文档结构图 Char1"/>
    <w:qFormat/>
    <w:rPr>
      <w:rFonts w:eastAsia="华文仿宋"/>
      <w:kern w:val="2"/>
      <w:sz w:val="21"/>
      <w:szCs w:val="24"/>
      <w:lang w:val="en-US" w:eastAsia="zh-CN" w:bidi="ar-SA"/>
    </w:rPr>
  </w:style>
  <w:style w:type="character" w:customStyle="1" w:styleId="ofootCharChar3">
    <w:name w:val="ofoot Char Char3"/>
    <w:qFormat/>
    <w:rPr>
      <w:rFonts w:eastAsia="华文仿宋"/>
      <w:kern w:val="2"/>
      <w:sz w:val="18"/>
      <w:szCs w:val="18"/>
      <w:lang w:val="en-US" w:eastAsia="zh-CN" w:bidi="ar-SA"/>
    </w:rPr>
  </w:style>
  <w:style w:type="character" w:customStyle="1" w:styleId="217">
    <w:name w:val="正文文字 21"/>
    <w:qFormat/>
    <w:rPr>
      <w:rFonts w:eastAsia="华文仿宋"/>
      <w:kern w:val="2"/>
      <w:sz w:val="21"/>
      <w:szCs w:val="21"/>
      <w:lang w:val="en-US" w:eastAsia="zh-CN" w:bidi="ar-SA"/>
    </w:rPr>
  </w:style>
  <w:style w:type="character" w:customStyle="1" w:styleId="Char14Char">
    <w:name w:val="Char14 Char"/>
    <w:semiHidden/>
    <w:qFormat/>
    <w:rPr>
      <w:rFonts w:eastAsia="华文仿宋"/>
      <w:kern w:val="2"/>
      <w:sz w:val="18"/>
      <w:szCs w:val="18"/>
      <w:lang w:val="en-US" w:eastAsia="zh-CN" w:bidi="ar-SA"/>
    </w:rPr>
  </w:style>
  <w:style w:type="character" w:customStyle="1" w:styleId="HTMLChar1">
    <w:name w:val="HTML 预设格式 Char1"/>
    <w:uiPriority w:val="99"/>
    <w:qFormat/>
    <w:rPr>
      <w:rFonts w:ascii="MS Sans Serif" w:eastAsia="MS Sans Serif" w:hAnsi="Zurich Cn BT" w:cs="Zurich Cn BT"/>
      <w:lang w:val="en-US" w:eastAsia="zh-CN" w:bidi="ar-SA"/>
    </w:rPr>
  </w:style>
  <w:style w:type="character" w:customStyle="1" w:styleId="Char1f8">
    <w:name w:val="称呼 Char1"/>
    <w:qFormat/>
    <w:rPr>
      <w:rFonts w:eastAsia="华文仿宋"/>
      <w:sz w:val="24"/>
      <w:lang w:val="en-US" w:eastAsia="en-US" w:bidi="ar-SA"/>
    </w:rPr>
  </w:style>
  <w:style w:type="character" w:customStyle="1" w:styleId="z-Char1">
    <w:name w:val="z-窗体顶端 Char1"/>
    <w:qFormat/>
    <w:rPr>
      <w:rFonts w:ascii="FIMOFO+MSung-Light" w:eastAsia="华文仿宋" w:hAnsi="FIMOFO+MSung-Light" w:cs="FIMOFO+MSung-Light"/>
      <w:vanish/>
      <w:sz w:val="16"/>
      <w:szCs w:val="16"/>
      <w:lang w:val="en-US" w:eastAsia="zh-CN" w:bidi="ar-SA"/>
    </w:rPr>
  </w:style>
  <w:style w:type="character" w:customStyle="1" w:styleId="CharChara">
    <w:name w:val="图表标题 Char Char"/>
    <w:qFormat/>
    <w:rPr>
      <w:rFonts w:eastAsia="Times New Roman Bold"/>
      <w:bCs/>
      <w:color w:val="000000"/>
      <w:lang w:val="en-US" w:eastAsia="zh-CN" w:bidi="ar-SA"/>
    </w:rPr>
  </w:style>
  <w:style w:type="character" w:customStyle="1" w:styleId="CharCharb">
    <w:name w:val="热点正文 Char Char"/>
    <w:qFormat/>
    <w:rPr>
      <w:rFonts w:eastAsia="Times New Roman Bold" w:cs="华文仿宋"/>
      <w:kern w:val="2"/>
      <w:sz w:val="21"/>
      <w:szCs w:val="24"/>
      <w:lang w:val="en-US" w:eastAsia="zh-CN" w:bidi="ar-SA"/>
    </w:rPr>
  </w:style>
  <w:style w:type="character" w:customStyle="1" w:styleId="CharCharChar12">
    <w:name w:val="Char Char Char12"/>
    <w:semiHidden/>
    <w:qFormat/>
    <w:rPr>
      <w:rFonts w:eastAsia="华文仿宋"/>
      <w:kern w:val="2"/>
      <w:sz w:val="21"/>
      <w:szCs w:val="21"/>
      <w:lang w:val="en-US" w:eastAsia="zh-CN" w:bidi="ar-SA"/>
    </w:rPr>
  </w:style>
  <w:style w:type="character" w:customStyle="1" w:styleId="Char1f9">
    <w:name w:val="页脚 Char1"/>
    <w:uiPriority w:val="99"/>
    <w:qFormat/>
    <w:rPr>
      <w:rFonts w:eastAsia="华文仿宋"/>
      <w:kern w:val="2"/>
      <w:sz w:val="18"/>
      <w:szCs w:val="18"/>
      <w:lang w:val="en-US" w:eastAsia="zh-CN" w:bidi="ar-SA"/>
    </w:rPr>
  </w:style>
  <w:style w:type="character" w:customStyle="1" w:styleId="CharChar23">
    <w:name w:val="Char Char23"/>
    <w:qFormat/>
    <w:rPr>
      <w:rFonts w:eastAsia="华文仿宋"/>
      <w:kern w:val="2"/>
      <w:sz w:val="18"/>
      <w:szCs w:val="18"/>
      <w:lang w:val="en-US" w:eastAsia="zh-CN" w:bidi="ar-SA"/>
    </w:rPr>
  </w:style>
  <w:style w:type="character" w:customStyle="1" w:styleId="Char1fa">
    <w:name w:val="批注主题 Char1"/>
    <w:uiPriority w:val="99"/>
    <w:qFormat/>
    <w:rPr>
      <w:rFonts w:eastAsia="华文仿宋"/>
      <w:kern w:val="2"/>
      <w:sz w:val="21"/>
      <w:szCs w:val="21"/>
      <w:lang w:val="en-US" w:eastAsia="zh-CN" w:bidi="ar-SA"/>
    </w:rPr>
  </w:style>
  <w:style w:type="character" w:customStyle="1" w:styleId="shorttext">
    <w:name w:val="short_text"/>
    <w:qFormat/>
  </w:style>
  <w:style w:type="character" w:customStyle="1" w:styleId="DPWfdChar">
    <w:name w:val="DPW fd Char"/>
    <w:qFormat/>
    <w:rPr>
      <w:rFonts w:eastAsia="华文仿宋"/>
      <w:lang w:val="en-US" w:eastAsia="en-US" w:bidi="ar-SA"/>
    </w:rPr>
  </w:style>
  <w:style w:type="character" w:customStyle="1" w:styleId="DPWfdPFChar">
    <w:name w:val="DPW fd PF Char"/>
    <w:qFormat/>
    <w:rPr>
      <w:rFonts w:eastAsia="华文仿宋"/>
      <w:lang w:val="en-US" w:eastAsia="en-US" w:bidi="ar-SA"/>
    </w:rPr>
  </w:style>
  <w:style w:type="character" w:customStyle="1" w:styleId="DPWfdtblftn10Char">
    <w:name w:val="DPWfd tbl ftn10 Char"/>
    <w:qFormat/>
    <w:rPr>
      <w:rFonts w:eastAsia="华文仿宋"/>
      <w:lang w:val="en-US" w:eastAsia="en-US" w:bidi="ar-SA"/>
    </w:rPr>
  </w:style>
  <w:style w:type="character" w:customStyle="1" w:styleId="Char15Char2">
    <w:name w:val="Char15 Char2"/>
    <w:qFormat/>
    <w:locked/>
    <w:rPr>
      <w:rFonts w:eastAsia="华文仿宋"/>
      <w:sz w:val="24"/>
      <w:szCs w:val="24"/>
      <w:lang w:val="en-US" w:eastAsia="zh-CN" w:bidi="ar-SA"/>
    </w:rPr>
  </w:style>
  <w:style w:type="character" w:customStyle="1" w:styleId="CharChar16">
    <w:name w:val="Char Char16"/>
    <w:qFormat/>
    <w:rPr>
      <w:rFonts w:eastAsia="华文仿宋"/>
      <w:sz w:val="24"/>
      <w:szCs w:val="24"/>
      <w:lang w:val="en-US" w:eastAsia="zh-CN" w:bidi="ar-SA"/>
    </w:rPr>
  </w:style>
  <w:style w:type="character" w:customStyle="1" w:styleId="BodyChar">
    <w:name w:val="_Body Char"/>
    <w:qFormat/>
    <w:rPr>
      <w:rFonts w:ascii="FIMOFO+MSung-Light" w:eastAsia="楷体_GB2312" w:hAnsi="FIMOFO+MSung-Light"/>
      <w:kern w:val="2"/>
      <w:sz w:val="24"/>
      <w:szCs w:val="24"/>
      <w:lang w:val="en-US" w:eastAsia="zh-CN" w:bidi="ar-SA"/>
    </w:rPr>
  </w:style>
  <w:style w:type="character" w:customStyle="1" w:styleId="CharChar14">
    <w:name w:val="普通文字 Char Char1"/>
    <w:qFormat/>
    <w:rPr>
      <w:rFonts w:ascii="Zurich Cn BT" w:eastAsia="华文仿宋" w:hAnsi="Zurich Cn BT"/>
      <w:sz w:val="21"/>
      <w:lang w:val="en-US" w:eastAsia="zh-CN" w:bidi="ar-SA"/>
    </w:rPr>
  </w:style>
  <w:style w:type="character" w:customStyle="1" w:styleId="CharChar28">
    <w:name w:val="Char Char28"/>
    <w:qFormat/>
    <w:rPr>
      <w:rFonts w:ascii="仿宋_GB2312" w:hAnsi="仿宋_GB2312"/>
      <w:sz w:val="24"/>
      <w:szCs w:val="24"/>
    </w:rPr>
  </w:style>
  <w:style w:type="character" w:customStyle="1" w:styleId="2CharChar">
    <w:name w:val="标题 2 Char Char"/>
    <w:qFormat/>
    <w:rPr>
      <w:rFonts w:ascii="FIMOFO+MSung-Light" w:eastAsia="MS Sans Serif" w:hAnsi="FIMOFO+MSung-Light"/>
      <w:b/>
      <w:bCs/>
      <w:sz w:val="32"/>
      <w:szCs w:val="32"/>
      <w:lang w:val="en-US" w:eastAsia="zh-CN" w:bidi="ar-SA"/>
    </w:rPr>
  </w:style>
  <w:style w:type="character" w:customStyle="1" w:styleId="CharChar25">
    <w:name w:val="Char Char25"/>
    <w:qFormat/>
    <w:rPr>
      <w:rFonts w:ascii="MS Sans Serif" w:eastAsia="MS Sans Serif" w:hAnsi="仿宋_GB2312"/>
      <w:sz w:val="18"/>
      <w:szCs w:val="18"/>
    </w:rPr>
  </w:style>
  <w:style w:type="character" w:customStyle="1" w:styleId="Char1CharChar">
    <w:name w:val="Char1 Char Char"/>
    <w:qFormat/>
    <w:rPr>
      <w:rFonts w:ascii="MS Sans Serif" w:eastAsia="MS Sans Serif"/>
      <w:sz w:val="24"/>
      <w:szCs w:val="24"/>
      <w:lang w:val="en-US" w:eastAsia="zh-CN" w:bidi="ar-SA"/>
    </w:rPr>
  </w:style>
  <w:style w:type="character" w:customStyle="1" w:styleId="CharChar24">
    <w:name w:val="Char Char24"/>
    <w:qFormat/>
    <w:rPr>
      <w:rFonts w:ascii="仿宋_GB2312" w:hAnsi="仿宋_GB2312"/>
      <w:sz w:val="24"/>
      <w:szCs w:val="24"/>
    </w:rPr>
  </w:style>
  <w:style w:type="character" w:customStyle="1" w:styleId="Char5CharChar1">
    <w:name w:val="Char5 Char Char1"/>
    <w:qFormat/>
    <w:rPr>
      <w:rFonts w:ascii="MS Sans Serif" w:eastAsia="MS Sans Serif"/>
      <w:b/>
      <w:sz w:val="28"/>
      <w:szCs w:val="28"/>
      <w:lang w:val="en-US" w:eastAsia="zh-CN" w:bidi="ar-SA"/>
    </w:rPr>
  </w:style>
  <w:style w:type="character" w:customStyle="1" w:styleId="Char6CharChar">
    <w:name w:val="Char6 Char Char"/>
    <w:qFormat/>
    <w:rPr>
      <w:rFonts w:ascii="FIMOFO+MSung-Light" w:eastAsia="MS Sans Serif" w:hAnsi="FIMOFO+MSung-Light"/>
      <w:b/>
      <w:bCs/>
      <w:sz w:val="32"/>
      <w:szCs w:val="32"/>
      <w:lang w:val="en-US" w:eastAsia="zh-CN" w:bidi="ar-SA"/>
    </w:rPr>
  </w:style>
  <w:style w:type="character" w:customStyle="1" w:styleId="CharChar29">
    <w:name w:val="Char Char29"/>
    <w:qFormat/>
    <w:rPr>
      <w:rFonts w:ascii="MS Sans Serif" w:eastAsia="MS Sans Serif" w:hAnsi="仿宋_GB2312"/>
      <w:b/>
      <w:sz w:val="32"/>
      <w:szCs w:val="32"/>
    </w:rPr>
  </w:style>
  <w:style w:type="character" w:customStyle="1" w:styleId="Char6CharChar1">
    <w:name w:val="Char6 Char Char1"/>
    <w:qFormat/>
    <w:rPr>
      <w:rFonts w:ascii="FIMOFO+MSung-Light" w:eastAsia="MS Sans Serif" w:hAnsi="FIMOFO+MSung-Light"/>
      <w:b/>
      <w:bCs/>
      <w:sz w:val="32"/>
      <w:szCs w:val="32"/>
      <w:lang w:val="en-US" w:eastAsia="zh-CN" w:bidi="ar-SA"/>
    </w:rPr>
  </w:style>
  <w:style w:type="character" w:customStyle="1" w:styleId="Char1CharChar1">
    <w:name w:val="Char1 Char Char1"/>
    <w:qFormat/>
    <w:rPr>
      <w:rFonts w:ascii="MS Sans Serif" w:eastAsia="MS Sans Serif"/>
      <w:sz w:val="24"/>
      <w:szCs w:val="24"/>
      <w:lang w:val="en-US" w:eastAsia="zh-CN" w:bidi="ar-SA"/>
    </w:rPr>
  </w:style>
  <w:style w:type="character" w:customStyle="1" w:styleId="3CharChar">
    <w:name w:val="标题 3 Char Char"/>
    <w:qFormat/>
    <w:rPr>
      <w:rFonts w:ascii="MS Sans Serif" w:eastAsia="MS Sans Serif"/>
      <w:b/>
      <w:sz w:val="28"/>
      <w:szCs w:val="28"/>
      <w:lang w:val="en-US" w:eastAsia="zh-CN" w:bidi="ar-SA"/>
    </w:rPr>
  </w:style>
  <w:style w:type="character" w:customStyle="1" w:styleId="CharChar17">
    <w:name w:val="Char Char17"/>
    <w:qFormat/>
    <w:rPr>
      <w:rFonts w:eastAsia="华文仿宋"/>
      <w:sz w:val="24"/>
      <w:szCs w:val="24"/>
      <w:lang w:val="en-US" w:eastAsia="zh-CN" w:bidi="ar-SA"/>
    </w:rPr>
  </w:style>
  <w:style w:type="character" w:customStyle="1" w:styleId="CharChar21">
    <w:name w:val="Char Char21"/>
    <w:qFormat/>
    <w:rPr>
      <w:rFonts w:ascii="MS Sans Serif" w:eastAsia="MS Sans Serif"/>
      <w:b/>
      <w:sz w:val="32"/>
      <w:szCs w:val="32"/>
      <w:lang w:val="en-US" w:eastAsia="zh-CN" w:bidi="ar-SA"/>
    </w:rPr>
  </w:style>
  <w:style w:type="character" w:customStyle="1" w:styleId="songblack12line251">
    <w:name w:val="song_black12line251"/>
    <w:qFormat/>
    <w:rPr>
      <w:rFonts w:ascii="华文仿宋" w:eastAsia="华文仿宋" w:hAnsi="华文仿宋" w:hint="eastAsia"/>
      <w:color w:val="000000"/>
      <w:sz w:val="20"/>
      <w:szCs w:val="20"/>
      <w:u w:val="none"/>
    </w:rPr>
  </w:style>
  <w:style w:type="character" w:customStyle="1" w:styleId="Char4CharChar">
    <w:name w:val="Char4 Char Char"/>
    <w:qFormat/>
    <w:rPr>
      <w:rFonts w:eastAsia="华文仿宋"/>
      <w:b/>
      <w:bCs/>
      <w:sz w:val="24"/>
      <w:szCs w:val="24"/>
      <w:lang w:val="en-US" w:eastAsia="zh-CN" w:bidi="ar-SA"/>
    </w:rPr>
  </w:style>
  <w:style w:type="character" w:customStyle="1" w:styleId="1Char">
    <w:name w:val="样式1 Char"/>
    <w:link w:val="1f1"/>
    <w:qFormat/>
    <w:rPr>
      <w:rFonts w:ascii="宋体" w:eastAsia="黑体" w:hAnsi="宋体" w:cs="Times New Roman"/>
      <w:b/>
      <w:bCs/>
      <w:sz w:val="28"/>
      <w:szCs w:val="28"/>
    </w:rPr>
  </w:style>
  <w:style w:type="character" w:customStyle="1" w:styleId="Char5CharChar">
    <w:name w:val="Char5 Char Char"/>
    <w:qFormat/>
    <w:rPr>
      <w:rFonts w:ascii="MS Sans Serif" w:eastAsia="MS Sans Serif"/>
      <w:b/>
      <w:sz w:val="28"/>
      <w:szCs w:val="28"/>
      <w:lang w:val="en-US" w:eastAsia="zh-CN" w:bidi="ar-SA"/>
    </w:rPr>
  </w:style>
  <w:style w:type="character" w:customStyle="1" w:styleId="CharChar18">
    <w:name w:val="Char Char18"/>
    <w:qFormat/>
    <w:rPr>
      <w:rFonts w:ascii="FIMOFO+MSung-Light" w:eastAsia="华文仿宋" w:hAnsi="FIMOFO+MSung-Light" w:cs="FIMOFO+MSung-Light"/>
      <w:b/>
      <w:bCs/>
      <w:sz w:val="32"/>
      <w:szCs w:val="32"/>
      <w:lang w:val="en-US" w:eastAsia="zh-CN" w:bidi="ar-SA"/>
    </w:rPr>
  </w:style>
  <w:style w:type="character" w:customStyle="1" w:styleId="CharChar27">
    <w:name w:val="Char Char27"/>
    <w:qFormat/>
    <w:rPr>
      <w:rFonts w:ascii="FIMOFO+MSung-Light" w:hAnsi="FIMOFO+MSung-Light" w:cs="FIMOFO+MSung-Light"/>
      <w:b/>
      <w:bCs/>
      <w:sz w:val="32"/>
      <w:szCs w:val="32"/>
    </w:rPr>
  </w:style>
  <w:style w:type="character" w:customStyle="1" w:styleId="CharChar120">
    <w:name w:val="Char Char12"/>
    <w:qFormat/>
    <w:rPr>
      <w:rFonts w:ascii="MS Sans Serif" w:eastAsia="MS Sans Serif"/>
      <w:b/>
      <w:bCs/>
      <w:kern w:val="2"/>
      <w:sz w:val="24"/>
      <w:szCs w:val="24"/>
      <w:lang w:val="en-US" w:eastAsia="zh-CN" w:bidi="ar-SA"/>
    </w:rPr>
  </w:style>
  <w:style w:type="character" w:customStyle="1" w:styleId="CharChar130">
    <w:name w:val="Char Char13"/>
    <w:qFormat/>
    <w:rPr>
      <w:rFonts w:ascii="MS Sans Serif" w:eastAsia="MS Sans Serif"/>
      <w:sz w:val="18"/>
      <w:szCs w:val="18"/>
      <w:lang w:val="en-US" w:eastAsia="zh-CN" w:bidi="ar-SA"/>
    </w:rPr>
  </w:style>
  <w:style w:type="character" w:customStyle="1" w:styleId="CharChar19">
    <w:name w:val="Char Char19"/>
    <w:qFormat/>
    <w:rPr>
      <w:rFonts w:eastAsia="华文仿宋"/>
      <w:sz w:val="24"/>
      <w:szCs w:val="24"/>
      <w:lang w:val="en-US" w:eastAsia="zh-CN" w:bidi="ar-SA"/>
    </w:rPr>
  </w:style>
  <w:style w:type="character" w:customStyle="1" w:styleId="CharChar15">
    <w:name w:val="Char Char15"/>
    <w:qFormat/>
    <w:rPr>
      <w:rFonts w:ascii="MS Sans Serif" w:eastAsia="MS Sans Serif"/>
      <w:sz w:val="18"/>
      <w:szCs w:val="18"/>
      <w:lang w:val="en-US" w:eastAsia="zh-CN" w:bidi="ar-SA"/>
    </w:rPr>
  </w:style>
  <w:style w:type="character" w:customStyle="1" w:styleId="CharChar110">
    <w:name w:val="Char Char11"/>
    <w:qFormat/>
    <w:rPr>
      <w:rFonts w:ascii="MS Sans Serif" w:eastAsia="MS Sans Serif"/>
      <w:sz w:val="24"/>
      <w:szCs w:val="24"/>
      <w:lang w:val="en-US" w:eastAsia="zh-CN" w:bidi="ar-SA"/>
    </w:rPr>
  </w:style>
  <w:style w:type="character" w:customStyle="1" w:styleId="Char4CharChar1">
    <w:name w:val="Char4 Char Char1"/>
    <w:qFormat/>
    <w:rPr>
      <w:rFonts w:eastAsia="华文仿宋"/>
      <w:b/>
      <w:bCs/>
      <w:sz w:val="24"/>
      <w:szCs w:val="24"/>
      <w:lang w:val="en-US" w:eastAsia="zh-CN" w:bidi="ar-SA"/>
    </w:rPr>
  </w:style>
  <w:style w:type="character" w:customStyle="1" w:styleId="CharChar200">
    <w:name w:val="Char Char20"/>
    <w:qFormat/>
    <w:rPr>
      <w:rFonts w:eastAsia="华文仿宋"/>
      <w:kern w:val="2"/>
      <w:sz w:val="24"/>
      <w:szCs w:val="24"/>
      <w:lang w:val="en-US" w:eastAsia="zh-CN" w:bidi="ar-SA"/>
    </w:rPr>
  </w:style>
  <w:style w:type="character" w:customStyle="1" w:styleId="CharChar22">
    <w:name w:val="Char Char22"/>
    <w:qFormat/>
    <w:rPr>
      <w:rFonts w:ascii="MS Sans Serif" w:eastAsia="MS Sans Serif" w:hAnsi="仿宋_GB2312"/>
      <w:sz w:val="18"/>
      <w:szCs w:val="18"/>
    </w:rPr>
  </w:style>
  <w:style w:type="character" w:customStyle="1" w:styleId="Level3-iChar2">
    <w:name w:val="Level 3 - i Char2"/>
    <w:qFormat/>
    <w:rPr>
      <w:rFonts w:eastAsia="华文仿宋"/>
      <w:kern w:val="2"/>
      <w:sz w:val="24"/>
      <w:szCs w:val="24"/>
      <w:lang w:val="en-US" w:eastAsia="zh-CN" w:bidi="ar-SA"/>
    </w:rPr>
  </w:style>
  <w:style w:type="character" w:customStyle="1" w:styleId="style51">
    <w:name w:val="style51"/>
    <w:qFormat/>
    <w:rPr>
      <w:color w:val="FFFFFF"/>
    </w:rPr>
  </w:style>
  <w:style w:type="character" w:customStyle="1" w:styleId="Char1CharChar2">
    <w:name w:val="Char1 Char Char2"/>
    <w:qFormat/>
    <w:rPr>
      <w:rFonts w:ascii="MS Sans Serif" w:eastAsia="MS Sans Serif"/>
      <w:sz w:val="24"/>
      <w:szCs w:val="24"/>
      <w:lang w:val="en-US" w:eastAsia="zh-CN" w:bidi="ar-SA"/>
    </w:rPr>
  </w:style>
  <w:style w:type="character" w:customStyle="1" w:styleId="apple-converted-space">
    <w:name w:val="apple-converted-space"/>
    <w:qFormat/>
  </w:style>
  <w:style w:type="character" w:customStyle="1" w:styleId="316">
    <w:name w:val="无格式表格 31"/>
    <w:qFormat/>
    <w:rPr>
      <w:i/>
      <w:iCs/>
      <w:color w:val="808080"/>
    </w:rPr>
  </w:style>
  <w:style w:type="character" w:customStyle="1" w:styleId="CharChar140">
    <w:name w:val="Char Char14"/>
    <w:qFormat/>
    <w:rPr>
      <w:rFonts w:ascii="MS Sans Serif" w:eastAsia="MS Sans Serif"/>
      <w:sz w:val="18"/>
      <w:szCs w:val="18"/>
      <w:lang w:val="en-US" w:eastAsia="zh-CN" w:bidi="ar-SA"/>
    </w:rPr>
  </w:style>
  <w:style w:type="character" w:customStyle="1" w:styleId="2Char20">
    <w:name w:val="正文文本 2 Char2"/>
    <w:qFormat/>
    <w:rPr>
      <w:rFonts w:eastAsia="华文仿宋"/>
      <w:sz w:val="24"/>
      <w:szCs w:val="24"/>
      <w:lang w:val="en-US" w:eastAsia="zh-CN" w:bidi="ar-SA"/>
    </w:rPr>
  </w:style>
  <w:style w:type="character" w:customStyle="1" w:styleId="CharChar80">
    <w:name w:val="Char Char8"/>
    <w:qFormat/>
    <w:rPr>
      <w:rFonts w:eastAsia="华文仿宋"/>
      <w:sz w:val="24"/>
      <w:szCs w:val="24"/>
    </w:rPr>
  </w:style>
  <w:style w:type="character" w:customStyle="1" w:styleId="Char1fb">
    <w:name w:val="普通文字 Char1"/>
    <w:qFormat/>
    <w:rPr>
      <w:rFonts w:eastAsia="华文仿宋"/>
      <w:kern w:val="2"/>
      <w:sz w:val="21"/>
      <w:szCs w:val="24"/>
      <w:lang w:val="en-US" w:eastAsia="zh-CN" w:bidi="ar-SA"/>
    </w:rPr>
  </w:style>
  <w:style w:type="character" w:customStyle="1" w:styleId="CharChar60">
    <w:name w:val="Char Char6"/>
    <w:qFormat/>
    <w:rPr>
      <w:rFonts w:eastAsia="华文仿宋"/>
      <w:sz w:val="24"/>
      <w:szCs w:val="24"/>
      <w:lang w:val="en-US" w:eastAsia="zh-CN" w:bidi="ar-SA"/>
    </w:rPr>
  </w:style>
  <w:style w:type="character" w:customStyle="1" w:styleId="Char2c">
    <w:name w:val="批注文字 Char2"/>
    <w:qFormat/>
    <w:rPr>
      <w:kern w:val="2"/>
      <w:sz w:val="21"/>
      <w:szCs w:val="21"/>
    </w:rPr>
  </w:style>
  <w:style w:type="character" w:customStyle="1" w:styleId="affb">
    <w:name w:val="普通(网站) 字符"/>
    <w:link w:val="affa"/>
    <w:uiPriority w:val="99"/>
    <w:qFormat/>
    <w:rPr>
      <w:rFonts w:ascii="宋体" w:eastAsia="宋体" w:hAnsi="宋体" w:cs="宋体"/>
      <w:sz w:val="24"/>
      <w:szCs w:val="24"/>
    </w:rPr>
  </w:style>
  <w:style w:type="character" w:customStyle="1" w:styleId="NormalWebCharChar">
    <w:name w:val="Normal (Web) Char Char"/>
    <w:link w:val="1fb"/>
    <w:qFormat/>
    <w:rPr>
      <w:sz w:val="24"/>
    </w:rPr>
  </w:style>
  <w:style w:type="character" w:customStyle="1" w:styleId="Chard">
    <w:name w:val="中煤正文 Char"/>
    <w:link w:val="afffffa"/>
    <w:qFormat/>
    <w:locked/>
    <w:rPr>
      <w:rFonts w:ascii="仿宋_GB2312" w:eastAsia="华文仿宋" w:hAnsi="仿宋_GB2312" w:cs="Times New Roman"/>
      <w:sz w:val="24"/>
      <w:szCs w:val="24"/>
    </w:rPr>
  </w:style>
  <w:style w:type="character" w:customStyle="1" w:styleId="Char134">
    <w:name w:val="Char134"/>
    <w:semiHidden/>
    <w:qFormat/>
    <w:rPr>
      <w:rFonts w:ascii="Arial" w:eastAsia="宋体" w:hAnsi="Arial" w:cs="Angsana New"/>
      <w:b/>
      <w:bCs/>
      <w:kern w:val="2"/>
      <w:sz w:val="30"/>
      <w:szCs w:val="30"/>
      <w:lang w:val="en-US" w:eastAsia="zh-CN" w:bidi="th-TH"/>
    </w:rPr>
  </w:style>
  <w:style w:type="character" w:customStyle="1" w:styleId="CharChar35">
    <w:name w:val="Char Char35"/>
    <w:semiHidden/>
    <w:qFormat/>
    <w:rPr>
      <w:rFonts w:eastAsia="宋体"/>
      <w:b/>
      <w:bCs/>
      <w:kern w:val="2"/>
      <w:sz w:val="21"/>
      <w:szCs w:val="21"/>
      <w:lang w:val="en-US" w:eastAsia="zh-CN" w:bidi="ar-SA"/>
    </w:rPr>
  </w:style>
  <w:style w:type="character" w:customStyle="1" w:styleId="Char14Char4">
    <w:name w:val="Char14 Char4"/>
    <w:semiHidden/>
    <w:qFormat/>
    <w:rPr>
      <w:rFonts w:eastAsia="宋体"/>
      <w:kern w:val="2"/>
      <w:sz w:val="18"/>
      <w:szCs w:val="18"/>
      <w:lang w:val="en-US" w:eastAsia="zh-CN" w:bidi="ar-SA"/>
    </w:rPr>
  </w:style>
  <w:style w:type="character" w:customStyle="1" w:styleId="CharCharChar124">
    <w:name w:val="Char Char Char124"/>
    <w:semiHidden/>
    <w:qFormat/>
    <w:rPr>
      <w:rFonts w:eastAsia="宋体"/>
      <w:kern w:val="2"/>
      <w:sz w:val="21"/>
      <w:szCs w:val="21"/>
      <w:lang w:val="en-US" w:eastAsia="zh-CN" w:bidi="ar-SA"/>
    </w:rPr>
  </w:style>
  <w:style w:type="character" w:customStyle="1" w:styleId="CharChar211">
    <w:name w:val="Char Char211"/>
    <w:semiHidden/>
    <w:qFormat/>
    <w:rPr>
      <w:rFonts w:eastAsia="宋体"/>
      <w:kern w:val="2"/>
      <w:sz w:val="18"/>
      <w:szCs w:val="18"/>
      <w:lang w:val="en-US" w:eastAsia="zh-CN" w:bidi="ar-SA"/>
    </w:rPr>
  </w:style>
  <w:style w:type="character" w:customStyle="1" w:styleId="1ff3">
    <w:name w:val="不明显强调1"/>
    <w:qFormat/>
    <w:rPr>
      <w:i/>
      <w:iCs/>
      <w:color w:val="808080"/>
    </w:rPr>
  </w:style>
  <w:style w:type="character" w:customStyle="1" w:styleId="afont">
    <w:name w:val="afont"/>
    <w:qFormat/>
  </w:style>
  <w:style w:type="character" w:customStyle="1" w:styleId="Charf">
    <w:name w:val="君合二级标题 Char"/>
    <w:link w:val="afffffc"/>
    <w:qFormat/>
    <w:rPr>
      <w:rFonts w:ascii="Arial" w:eastAsia="黑体" w:hAnsi="宋体" w:cs="Times New Roman"/>
      <w:b/>
      <w:bCs/>
      <w:sz w:val="24"/>
      <w:szCs w:val="24"/>
    </w:rPr>
  </w:style>
  <w:style w:type="character" w:customStyle="1" w:styleId="afa">
    <w:name w:val="文本块 字符"/>
    <w:link w:val="af9"/>
    <w:qFormat/>
    <w:locked/>
    <w:rPr>
      <w:rFonts w:ascii="宋体" w:eastAsia="宋体" w:hAnsi="宋体" w:cs="宋体"/>
      <w:szCs w:val="24"/>
    </w:rPr>
  </w:style>
  <w:style w:type="character" w:customStyle="1" w:styleId="DocID">
    <w:name w:val="DocID"/>
    <w:qFormat/>
    <w:rPr>
      <w:sz w:val="16"/>
    </w:rPr>
  </w:style>
  <w:style w:type="character" w:customStyle="1" w:styleId="CharChar221">
    <w:name w:val="Char Char221"/>
    <w:qFormat/>
    <w:locked/>
    <w:rPr>
      <w:rFonts w:eastAsia="宋体"/>
      <w:sz w:val="24"/>
      <w:szCs w:val="24"/>
      <w:lang w:val="en-US" w:eastAsia="en-US" w:bidi="ar-SA"/>
    </w:rPr>
  </w:style>
  <w:style w:type="character" w:customStyle="1" w:styleId="CharChar201">
    <w:name w:val="Char Char201"/>
    <w:qFormat/>
    <w:locked/>
    <w:rPr>
      <w:rFonts w:eastAsia="宋体"/>
      <w:sz w:val="24"/>
      <w:szCs w:val="24"/>
      <w:lang w:val="en-US" w:eastAsia="en-US" w:bidi="ar-SA"/>
    </w:rPr>
  </w:style>
  <w:style w:type="character" w:customStyle="1" w:styleId="CharChar181">
    <w:name w:val="Char Char181"/>
    <w:qFormat/>
    <w:locked/>
    <w:rPr>
      <w:rFonts w:eastAsia="宋体"/>
      <w:b/>
      <w:bCs/>
      <w:kern w:val="28"/>
      <w:sz w:val="24"/>
      <w:szCs w:val="24"/>
      <w:lang w:val="en-US" w:eastAsia="en-US" w:bidi="ar-SA"/>
    </w:rPr>
  </w:style>
  <w:style w:type="character" w:customStyle="1" w:styleId="aa">
    <w:name w:val="电子邮件签名 字符"/>
    <w:link w:val="a9"/>
    <w:qFormat/>
    <w:rPr>
      <w:rFonts w:ascii="Times New Roman" w:eastAsia="宋体" w:hAnsi="Times New Roman" w:cs="Times New Roman"/>
      <w:kern w:val="0"/>
      <w:sz w:val="24"/>
      <w:szCs w:val="24"/>
      <w:lang w:eastAsia="en-US"/>
    </w:rPr>
  </w:style>
  <w:style w:type="character" w:customStyle="1" w:styleId="HTML0">
    <w:name w:val="HTML 地址 字符"/>
    <w:link w:val="HTML"/>
    <w:qFormat/>
    <w:rPr>
      <w:rFonts w:ascii="Times New Roman" w:eastAsia="宋体" w:hAnsi="Times New Roman" w:cs="Times New Roman"/>
      <w:i/>
      <w:iCs/>
      <w:kern w:val="0"/>
      <w:sz w:val="24"/>
      <w:szCs w:val="24"/>
      <w:lang w:eastAsia="en-US"/>
    </w:rPr>
  </w:style>
  <w:style w:type="character" w:customStyle="1" w:styleId="aff9">
    <w:name w:val="信息标题 字符"/>
    <w:link w:val="aff8"/>
    <w:qFormat/>
    <w:rPr>
      <w:rFonts w:ascii="Arial" w:eastAsia="宋体" w:hAnsi="Arial" w:cs="Times New Roman"/>
      <w:kern w:val="0"/>
      <w:sz w:val="24"/>
      <w:szCs w:val="24"/>
      <w:shd w:val="pct20" w:color="auto" w:fill="auto"/>
      <w:lang w:eastAsia="en-US"/>
    </w:rPr>
  </w:style>
  <w:style w:type="character" w:customStyle="1" w:styleId="A2Char">
    <w:name w:val="A2 Char"/>
    <w:link w:val="A20"/>
    <w:qFormat/>
    <w:locked/>
    <w:rPr>
      <w:rFonts w:ascii="Times New Roman" w:eastAsia="楷体_GB2312" w:hAnsi="Times New Roman"/>
      <w:bCs/>
      <w:sz w:val="24"/>
      <w:szCs w:val="24"/>
      <w:lang w:bidi="ar-SA"/>
    </w:rPr>
  </w:style>
  <w:style w:type="character" w:customStyle="1" w:styleId="DeltaViewDeletion">
    <w:name w:val="DeltaView Deletion"/>
    <w:qFormat/>
    <w:rPr>
      <w:strike/>
      <w:color w:val="FF0000"/>
    </w:rPr>
  </w:style>
  <w:style w:type="character" w:customStyle="1" w:styleId="CharChar300">
    <w:name w:val="Char Char30"/>
    <w:qFormat/>
    <w:rPr>
      <w:rFonts w:ascii="Times New Roman" w:eastAsia="宋体" w:hAnsi="Times New Roman" w:cs="Times New Roman"/>
      <w:szCs w:val="24"/>
    </w:rPr>
  </w:style>
  <w:style w:type="character" w:customStyle="1" w:styleId="EmailStyle735">
    <w:name w:val="EmailStyle735"/>
    <w:semiHidden/>
    <w:qFormat/>
    <w:rPr>
      <w:rFonts w:ascii="Arial" w:hAnsi="Arial" w:cs="Arial"/>
      <w:color w:val="000080"/>
      <w:sz w:val="21"/>
      <w:szCs w:val="21"/>
      <w:u w:val="none"/>
    </w:rPr>
  </w:style>
  <w:style w:type="character" w:customStyle="1" w:styleId="Char131">
    <w:name w:val="Char131"/>
    <w:semiHidden/>
    <w:qFormat/>
    <w:rPr>
      <w:rFonts w:ascii="Arial" w:eastAsia="宋体" w:hAnsi="Arial" w:cs="Angsana New"/>
      <w:b/>
      <w:bCs/>
      <w:kern w:val="2"/>
      <w:sz w:val="30"/>
      <w:szCs w:val="30"/>
      <w:lang w:val="en-US" w:eastAsia="zh-CN" w:bidi="th-TH"/>
    </w:rPr>
  </w:style>
  <w:style w:type="character" w:customStyle="1" w:styleId="CharChar32">
    <w:name w:val="Char Char32"/>
    <w:semiHidden/>
    <w:qFormat/>
    <w:rPr>
      <w:rFonts w:eastAsia="宋体"/>
      <w:b/>
      <w:bCs/>
      <w:kern w:val="2"/>
      <w:sz w:val="21"/>
      <w:szCs w:val="21"/>
      <w:lang w:val="en-US" w:eastAsia="zh-CN" w:bidi="ar-SA"/>
    </w:rPr>
  </w:style>
  <w:style w:type="character" w:customStyle="1" w:styleId="Char14Char1">
    <w:name w:val="Char14 Char1"/>
    <w:semiHidden/>
    <w:qFormat/>
    <w:rPr>
      <w:rFonts w:eastAsia="宋体"/>
      <w:kern w:val="2"/>
      <w:sz w:val="18"/>
      <w:szCs w:val="18"/>
      <w:lang w:val="en-US" w:eastAsia="zh-CN" w:bidi="ar-SA"/>
    </w:rPr>
  </w:style>
  <w:style w:type="character" w:customStyle="1" w:styleId="CharCharChar121">
    <w:name w:val="Char Char Char121"/>
    <w:semiHidden/>
    <w:qFormat/>
    <w:rPr>
      <w:rFonts w:eastAsia="宋体"/>
      <w:kern w:val="2"/>
      <w:sz w:val="21"/>
      <w:szCs w:val="21"/>
      <w:lang w:val="en-US" w:eastAsia="zh-CN" w:bidi="ar-SA"/>
    </w:rPr>
  </w:style>
  <w:style w:type="character" w:customStyle="1" w:styleId="Char133">
    <w:name w:val="Char133"/>
    <w:semiHidden/>
    <w:qFormat/>
    <w:rPr>
      <w:rFonts w:ascii="Arial" w:eastAsia="宋体" w:hAnsi="Arial" w:cs="Angsana New"/>
      <w:b/>
      <w:bCs/>
      <w:kern w:val="2"/>
      <w:sz w:val="30"/>
      <w:szCs w:val="30"/>
      <w:lang w:val="en-US" w:eastAsia="zh-CN" w:bidi="th-TH"/>
    </w:rPr>
  </w:style>
  <w:style w:type="character" w:customStyle="1" w:styleId="CharChar34">
    <w:name w:val="Char Char34"/>
    <w:semiHidden/>
    <w:qFormat/>
    <w:rPr>
      <w:rFonts w:eastAsia="宋体"/>
      <w:b/>
      <w:bCs/>
      <w:kern w:val="2"/>
      <w:sz w:val="21"/>
      <w:szCs w:val="21"/>
      <w:lang w:val="en-US" w:eastAsia="zh-CN" w:bidi="ar-SA"/>
    </w:rPr>
  </w:style>
  <w:style w:type="character" w:customStyle="1" w:styleId="Char14Char3">
    <w:name w:val="Char14 Char3"/>
    <w:semiHidden/>
    <w:qFormat/>
    <w:rPr>
      <w:rFonts w:eastAsia="宋体"/>
      <w:kern w:val="2"/>
      <w:sz w:val="18"/>
      <w:szCs w:val="18"/>
      <w:lang w:val="en-US" w:eastAsia="zh-CN" w:bidi="ar-SA"/>
    </w:rPr>
  </w:style>
  <w:style w:type="character" w:customStyle="1" w:styleId="CharCharChar123">
    <w:name w:val="Char Char Char123"/>
    <w:semiHidden/>
    <w:qFormat/>
    <w:rPr>
      <w:rFonts w:eastAsia="宋体"/>
      <w:kern w:val="2"/>
      <w:sz w:val="21"/>
      <w:szCs w:val="21"/>
      <w:lang w:val="en-US" w:eastAsia="zh-CN" w:bidi="ar-SA"/>
    </w:rPr>
  </w:style>
  <w:style w:type="character" w:customStyle="1" w:styleId="CharChar210">
    <w:name w:val="Char Char210"/>
    <w:semiHidden/>
    <w:qFormat/>
    <w:rPr>
      <w:rFonts w:eastAsia="宋体"/>
      <w:kern w:val="2"/>
      <w:sz w:val="18"/>
      <w:szCs w:val="18"/>
      <w:lang w:val="en-US" w:eastAsia="zh-CN" w:bidi="ar-SA"/>
    </w:rPr>
  </w:style>
  <w:style w:type="character" w:customStyle="1" w:styleId="Char132">
    <w:name w:val="Char132"/>
    <w:semiHidden/>
    <w:qFormat/>
    <w:rPr>
      <w:rFonts w:ascii="Arial" w:eastAsia="宋体" w:hAnsi="Arial" w:cs="Angsana New"/>
      <w:b/>
      <w:bCs/>
      <w:kern w:val="2"/>
      <w:sz w:val="30"/>
      <w:szCs w:val="30"/>
      <w:lang w:val="en-US" w:eastAsia="zh-CN" w:bidi="th-TH"/>
    </w:rPr>
  </w:style>
  <w:style w:type="character" w:customStyle="1" w:styleId="CharChar33">
    <w:name w:val="Char Char33"/>
    <w:semiHidden/>
    <w:qFormat/>
    <w:rPr>
      <w:rFonts w:eastAsia="宋体"/>
      <w:b/>
      <w:bCs/>
      <w:kern w:val="2"/>
      <w:sz w:val="21"/>
      <w:szCs w:val="21"/>
      <w:lang w:val="en-US" w:eastAsia="zh-CN" w:bidi="ar-SA"/>
    </w:rPr>
  </w:style>
  <w:style w:type="character" w:customStyle="1" w:styleId="Char14Char2">
    <w:name w:val="Char14 Char2"/>
    <w:semiHidden/>
    <w:qFormat/>
    <w:rPr>
      <w:rFonts w:eastAsia="宋体"/>
      <w:kern w:val="2"/>
      <w:sz w:val="18"/>
      <w:szCs w:val="18"/>
      <w:lang w:val="en-US" w:eastAsia="zh-CN" w:bidi="ar-SA"/>
    </w:rPr>
  </w:style>
  <w:style w:type="character" w:customStyle="1" w:styleId="CharCharChar122">
    <w:name w:val="Char Char Char122"/>
    <w:semiHidden/>
    <w:qFormat/>
    <w:rPr>
      <w:rFonts w:eastAsia="宋体"/>
      <w:kern w:val="2"/>
      <w:sz w:val="21"/>
      <w:szCs w:val="21"/>
      <w:lang w:val="en-US" w:eastAsia="zh-CN" w:bidi="ar-SA"/>
    </w:rPr>
  </w:style>
  <w:style w:type="character" w:customStyle="1" w:styleId="CharChar26">
    <w:name w:val="Char Char26"/>
    <w:qFormat/>
    <w:rPr>
      <w:rFonts w:eastAsia="宋体"/>
      <w:kern w:val="2"/>
      <w:sz w:val="18"/>
      <w:szCs w:val="18"/>
      <w:lang w:val="en-US" w:eastAsia="zh-CN" w:bidi="ar-SA"/>
    </w:rPr>
  </w:style>
  <w:style w:type="character" w:customStyle="1" w:styleId="Char136">
    <w:name w:val="Char136"/>
    <w:semiHidden/>
    <w:qFormat/>
    <w:rPr>
      <w:rFonts w:ascii="Arial" w:eastAsia="宋体" w:hAnsi="Arial" w:cs="Angsana New"/>
      <w:b/>
      <w:bCs/>
      <w:kern w:val="2"/>
      <w:sz w:val="30"/>
      <w:szCs w:val="30"/>
      <w:lang w:val="en-US" w:eastAsia="zh-CN" w:bidi="th-TH"/>
    </w:rPr>
  </w:style>
  <w:style w:type="character" w:customStyle="1" w:styleId="CharChar38">
    <w:name w:val="Char Char38"/>
    <w:semiHidden/>
    <w:qFormat/>
    <w:rPr>
      <w:rFonts w:eastAsia="宋体"/>
      <w:b/>
      <w:bCs/>
      <w:kern w:val="2"/>
      <w:sz w:val="21"/>
      <w:szCs w:val="21"/>
      <w:lang w:val="en-US" w:eastAsia="zh-CN" w:bidi="ar-SA"/>
    </w:rPr>
  </w:style>
  <w:style w:type="character" w:customStyle="1" w:styleId="Char14Char6">
    <w:name w:val="Char14 Char6"/>
    <w:semiHidden/>
    <w:qFormat/>
    <w:rPr>
      <w:rFonts w:eastAsia="宋体"/>
      <w:kern w:val="2"/>
      <w:sz w:val="18"/>
      <w:szCs w:val="18"/>
      <w:lang w:val="en-US" w:eastAsia="zh-CN" w:bidi="ar-SA"/>
    </w:rPr>
  </w:style>
  <w:style w:type="character" w:customStyle="1" w:styleId="CharCharChar126">
    <w:name w:val="Char Char Char126"/>
    <w:semiHidden/>
    <w:qFormat/>
    <w:rPr>
      <w:rFonts w:eastAsia="宋体"/>
      <w:kern w:val="2"/>
      <w:sz w:val="21"/>
      <w:szCs w:val="21"/>
      <w:lang w:val="en-US" w:eastAsia="zh-CN" w:bidi="ar-SA"/>
    </w:rPr>
  </w:style>
  <w:style w:type="character" w:customStyle="1" w:styleId="CharChar213">
    <w:name w:val="Char Char213"/>
    <w:semiHidden/>
    <w:qFormat/>
    <w:rPr>
      <w:rFonts w:eastAsia="宋体"/>
      <w:kern w:val="2"/>
      <w:sz w:val="18"/>
      <w:szCs w:val="18"/>
      <w:lang w:val="en-US" w:eastAsia="zh-CN" w:bidi="ar-SA"/>
    </w:rPr>
  </w:style>
  <w:style w:type="character" w:customStyle="1" w:styleId="Char135">
    <w:name w:val="Char135"/>
    <w:semiHidden/>
    <w:qFormat/>
    <w:rPr>
      <w:rFonts w:ascii="Arial" w:eastAsia="宋体" w:hAnsi="Arial" w:cs="Angsana New"/>
      <w:b/>
      <w:bCs/>
      <w:kern w:val="2"/>
      <w:sz w:val="30"/>
      <w:szCs w:val="30"/>
      <w:lang w:val="en-US" w:eastAsia="zh-CN" w:bidi="th-TH"/>
    </w:rPr>
  </w:style>
  <w:style w:type="character" w:customStyle="1" w:styleId="CharChar36">
    <w:name w:val="Char Char36"/>
    <w:semiHidden/>
    <w:qFormat/>
    <w:rPr>
      <w:rFonts w:eastAsia="宋体"/>
      <w:b/>
      <w:bCs/>
      <w:kern w:val="2"/>
      <w:sz w:val="21"/>
      <w:szCs w:val="21"/>
      <w:lang w:val="en-US" w:eastAsia="zh-CN" w:bidi="ar-SA"/>
    </w:rPr>
  </w:style>
  <w:style w:type="character" w:customStyle="1" w:styleId="Char14Char5">
    <w:name w:val="Char14 Char5"/>
    <w:semiHidden/>
    <w:qFormat/>
    <w:rPr>
      <w:rFonts w:eastAsia="宋体"/>
      <w:kern w:val="2"/>
      <w:sz w:val="18"/>
      <w:szCs w:val="18"/>
      <w:lang w:val="en-US" w:eastAsia="zh-CN" w:bidi="ar-SA"/>
    </w:rPr>
  </w:style>
  <w:style w:type="character" w:customStyle="1" w:styleId="CharCharChar125">
    <w:name w:val="Char Char Char125"/>
    <w:semiHidden/>
    <w:qFormat/>
    <w:rPr>
      <w:rFonts w:eastAsia="宋体"/>
      <w:kern w:val="2"/>
      <w:sz w:val="21"/>
      <w:szCs w:val="21"/>
      <w:lang w:val="en-US" w:eastAsia="zh-CN" w:bidi="ar-SA"/>
    </w:rPr>
  </w:style>
  <w:style w:type="character" w:customStyle="1" w:styleId="CharChar212">
    <w:name w:val="Char Char212"/>
    <w:semiHidden/>
    <w:qFormat/>
    <w:rPr>
      <w:rFonts w:eastAsia="宋体"/>
      <w:kern w:val="2"/>
      <w:sz w:val="18"/>
      <w:szCs w:val="18"/>
      <w:lang w:val="en-US" w:eastAsia="zh-CN" w:bidi="ar-SA"/>
    </w:rPr>
  </w:style>
  <w:style w:type="character" w:customStyle="1" w:styleId="Charf0">
    <w:name w:val="重庆农商招股书表格 Char"/>
    <w:link w:val="afffffd"/>
    <w:qFormat/>
    <w:rPr>
      <w:rFonts w:ascii="宋体" w:eastAsia="宋体" w:hAnsi="宋体" w:cs="Times New Roman"/>
      <w:b/>
      <w:szCs w:val="21"/>
    </w:rPr>
  </w:style>
  <w:style w:type="character" w:customStyle="1" w:styleId="Charf1">
    <w:name w:val="标题四 Char"/>
    <w:link w:val="a"/>
    <w:qFormat/>
    <w:rPr>
      <w:rFonts w:ascii="宋体" w:hAnsi="宋体"/>
      <w:b/>
      <w:sz w:val="28"/>
      <w:szCs w:val="24"/>
    </w:rPr>
  </w:style>
  <w:style w:type="character" w:customStyle="1" w:styleId="Char2d">
    <w:name w:val="页眉 Char2"/>
    <w:semiHidden/>
    <w:qFormat/>
    <w:rPr>
      <w:rFonts w:eastAsia="宋体"/>
      <w:kern w:val="2"/>
      <w:sz w:val="18"/>
      <w:szCs w:val="18"/>
      <w:lang w:val="en-US" w:eastAsia="zh-CN" w:bidi="ar-SA"/>
    </w:rPr>
  </w:style>
  <w:style w:type="character" w:customStyle="1" w:styleId="txt11">
    <w:name w:val="txt11"/>
    <w:qFormat/>
    <w:rPr>
      <w:color w:val="333333"/>
      <w:sz w:val="18"/>
      <w:szCs w:val="18"/>
    </w:rPr>
  </w:style>
  <w:style w:type="character" w:customStyle="1" w:styleId="DeltaViewMoveSource">
    <w:name w:val="DeltaView Move Source"/>
    <w:qFormat/>
    <w:rPr>
      <w:strike/>
      <w:color w:val="FF0000"/>
      <w:spacing w:val="0"/>
    </w:rPr>
  </w:style>
  <w:style w:type="character" w:customStyle="1" w:styleId="DeltaViewMoveDestination">
    <w:name w:val="DeltaView Move Destination"/>
    <w:qFormat/>
    <w:rPr>
      <w:color w:val="0000FF"/>
      <w:spacing w:val="0"/>
      <w:u w:val="double"/>
    </w:rPr>
  </w:style>
  <w:style w:type="character" w:customStyle="1" w:styleId="DeltaViewChangeNumber">
    <w:name w:val="DeltaView Change Number"/>
    <w:qFormat/>
    <w:rPr>
      <w:color w:val="000000"/>
      <w:spacing w:val="0"/>
      <w:vertAlign w:val="superscript"/>
    </w:rPr>
  </w:style>
  <w:style w:type="character" w:customStyle="1" w:styleId="DeltaViewDelimiter">
    <w:name w:val="DeltaView Delimiter"/>
    <w:qFormat/>
    <w:rPr>
      <w:spacing w:val="0"/>
    </w:rPr>
  </w:style>
  <w:style w:type="character" w:customStyle="1" w:styleId="DeltaViewFormatChange">
    <w:name w:val="DeltaView Format Change"/>
    <w:qFormat/>
    <w:rPr>
      <w:color w:val="000000"/>
      <w:spacing w:val="0"/>
    </w:rPr>
  </w:style>
  <w:style w:type="character" w:customStyle="1" w:styleId="DeltaViewMovedDeletion">
    <w:name w:val="DeltaView Moved Deletion"/>
    <w:qFormat/>
    <w:rPr>
      <w:strike/>
      <w:color w:val="C08080"/>
      <w:spacing w:val="0"/>
    </w:rPr>
  </w:style>
  <w:style w:type="character" w:customStyle="1" w:styleId="DeltaViewComment">
    <w:name w:val="DeltaView Comment"/>
    <w:qFormat/>
    <w:rPr>
      <w:color w:val="000000"/>
      <w:spacing w:val="0"/>
    </w:rPr>
  </w:style>
  <w:style w:type="character" w:customStyle="1" w:styleId="DeltaViewStyleChangeText">
    <w:name w:val="DeltaView Style Change Text"/>
    <w:qFormat/>
    <w:rPr>
      <w:color w:val="000000"/>
      <w:spacing w:val="0"/>
      <w:u w:val="double"/>
    </w:rPr>
  </w:style>
  <w:style w:type="character" w:customStyle="1" w:styleId="DeltaViewStyleChangeLabel">
    <w:name w:val="DeltaView Style Change Label"/>
    <w:qFormat/>
    <w:rPr>
      <w:color w:val="000000"/>
      <w:spacing w:val="0"/>
    </w:rPr>
  </w:style>
  <w:style w:type="character" w:customStyle="1" w:styleId="DeltaViewInsertedComment">
    <w:name w:val="DeltaView Inserted Comment"/>
    <w:qFormat/>
    <w:rPr>
      <w:color w:val="0000FF"/>
      <w:spacing w:val="0"/>
      <w:u w:val="double"/>
    </w:rPr>
  </w:style>
  <w:style w:type="character" w:customStyle="1" w:styleId="DeltaViewDeletedComment">
    <w:name w:val="DeltaView Deleted Comment"/>
    <w:qFormat/>
    <w:rPr>
      <w:strike/>
      <w:color w:val="FF0000"/>
      <w:spacing w:val="0"/>
    </w:rPr>
  </w:style>
  <w:style w:type="character" w:customStyle="1" w:styleId="Bullet1Char">
    <w:name w:val="Bullet 1 Char"/>
    <w:link w:val="Bullet1"/>
    <w:qFormat/>
    <w:rPr>
      <w:rFonts w:ascii="华文楷体" w:eastAsia="华文楷体" w:hAnsi="华文楷体" w:cs="Arial"/>
      <w:bCs/>
      <w:color w:val="000000"/>
      <w:kern w:val="0"/>
      <w:sz w:val="24"/>
      <w:szCs w:val="20"/>
    </w:rPr>
  </w:style>
  <w:style w:type="character" w:customStyle="1" w:styleId="bluemain1">
    <w:name w:val="blue_main1"/>
    <w:qFormat/>
    <w:rPr>
      <w:rFonts w:ascii="ˎ̥" w:hAnsi="ˎ̥" w:hint="default"/>
      <w:color w:val="000080"/>
      <w:sz w:val="18"/>
      <w:szCs w:val="18"/>
    </w:rPr>
  </w:style>
  <w:style w:type="character" w:customStyle="1" w:styleId="content1">
    <w:name w:val="content1"/>
    <w:qFormat/>
    <w:rPr>
      <w:sz w:val="18"/>
      <w:szCs w:val="18"/>
    </w:rPr>
  </w:style>
  <w:style w:type="character" w:customStyle="1" w:styleId="Bullet1CharChar">
    <w:name w:val="Bullet 1 Char Char"/>
    <w:qFormat/>
    <w:rPr>
      <w:rFonts w:ascii="华文楷体" w:eastAsia="华文楷体" w:hAnsi="华文楷体" w:cs="Arial"/>
      <w:bCs/>
      <w:color w:val="000000"/>
      <w:sz w:val="24"/>
      <w:lang w:val="en-US" w:eastAsia="zh-CN" w:bidi="ar-SA"/>
    </w:rPr>
  </w:style>
  <w:style w:type="character" w:customStyle="1" w:styleId="DPWHeadCenterBoldChar">
    <w:name w:val="DPW Head Center Bold Char"/>
    <w:qFormat/>
    <w:locked/>
    <w:rPr>
      <w:rFonts w:ascii="宋体" w:eastAsia="黑体" w:hAnsi="宋体"/>
      <w:b/>
      <w:kern w:val="2"/>
      <w:sz w:val="30"/>
      <w:lang w:val="en-US" w:eastAsia="zh-CN" w:bidi="ar-SA"/>
    </w:rPr>
  </w:style>
  <w:style w:type="character" w:customStyle="1" w:styleId="FooterCharChar">
    <w:name w:val="Footer Char Char"/>
    <w:qFormat/>
    <w:rPr>
      <w:rFonts w:eastAsia="宋体"/>
      <w:kern w:val="2"/>
      <w:sz w:val="18"/>
      <w:szCs w:val="18"/>
      <w:lang w:val="en-US" w:eastAsia="zh-CN" w:bidi="ar-SA"/>
    </w:rPr>
  </w:style>
  <w:style w:type="character" w:customStyle="1" w:styleId="DPWHeadCenterBoldChar1">
    <w:name w:val="DPW Head Center Bold Char1"/>
    <w:qFormat/>
    <w:rPr>
      <w:rFonts w:ascii="宋体" w:eastAsia="黑体" w:hAnsi="宋体"/>
      <w:b/>
      <w:kern w:val="2"/>
      <w:sz w:val="30"/>
      <w:lang w:val="en-US" w:eastAsia="zh-CN" w:bidi="ar-SA"/>
    </w:rPr>
  </w:style>
  <w:style w:type="character" w:customStyle="1" w:styleId="1ff4">
    <w:name w:val="页码1"/>
    <w:qFormat/>
  </w:style>
  <w:style w:type="character" w:customStyle="1" w:styleId="DPWHeadCenterBoldChar2">
    <w:name w:val="DPW Head Center Bold Char2"/>
    <w:qFormat/>
    <w:rPr>
      <w:rFonts w:ascii="宋体" w:eastAsia="黑体" w:hAnsi="宋体" w:cs="Times New Roman"/>
      <w:b/>
      <w:sz w:val="30"/>
      <w:szCs w:val="20"/>
    </w:rPr>
  </w:style>
  <w:style w:type="character" w:customStyle="1" w:styleId="Charf2">
    <w:name w:val="中文文本 Char"/>
    <w:link w:val="afffffe"/>
    <w:qFormat/>
  </w:style>
  <w:style w:type="character" w:customStyle="1" w:styleId="DPWHeadCenterBoldChar3">
    <w:name w:val="DPW Head Center Bold Char3"/>
    <w:qFormat/>
    <w:rPr>
      <w:rFonts w:ascii="宋体" w:eastAsia="黑体" w:hAnsi="宋体"/>
      <w:b/>
      <w:kern w:val="2"/>
      <w:sz w:val="30"/>
      <w:lang w:val="en-US" w:eastAsia="zh-CN" w:bidi="ar-SA"/>
    </w:rPr>
  </w:style>
  <w:style w:type="character" w:customStyle="1" w:styleId="DPWHeadCenterBoldChar4">
    <w:name w:val="DPW Head Center Bold Char4"/>
    <w:qFormat/>
    <w:rPr>
      <w:rFonts w:ascii="宋体" w:eastAsia="黑体" w:hAnsi="宋体"/>
      <w:b/>
      <w:kern w:val="2"/>
      <w:sz w:val="30"/>
      <w:lang w:val="en-US" w:eastAsia="zh-CN" w:bidi="ar-SA"/>
    </w:rPr>
  </w:style>
  <w:style w:type="character" w:customStyle="1" w:styleId="DPWHeadCenterBoldChar5">
    <w:name w:val="DPW Head Center Bold Char5"/>
    <w:qFormat/>
    <w:rPr>
      <w:rFonts w:ascii="宋体" w:eastAsia="黑体" w:hAnsi="宋体"/>
      <w:b/>
      <w:kern w:val="2"/>
      <w:sz w:val="30"/>
      <w:lang w:val="en-US" w:eastAsia="zh-CN" w:bidi="ar-SA"/>
    </w:rPr>
  </w:style>
  <w:style w:type="character" w:customStyle="1" w:styleId="DPWHeadCenterBoldChar6">
    <w:name w:val="DPW Head Center Bold Char6"/>
    <w:qFormat/>
    <w:rPr>
      <w:rFonts w:ascii="宋体" w:eastAsia="黑体" w:hAnsi="宋体"/>
      <w:b/>
      <w:kern w:val="2"/>
      <w:sz w:val="30"/>
      <w:lang w:val="en-US" w:eastAsia="zh-CN" w:bidi="ar-SA"/>
    </w:rPr>
  </w:style>
  <w:style w:type="character" w:customStyle="1" w:styleId="font01">
    <w:name w:val="font01"/>
    <w:qFormat/>
    <w:rPr>
      <w:rFonts w:ascii="黑体" w:eastAsia="黑体" w:hAnsi="宋体" w:cs="黑体" w:hint="default"/>
      <w:color w:val="000000"/>
      <w:sz w:val="20"/>
      <w:szCs w:val="20"/>
      <w:u w:val="none"/>
    </w:rPr>
  </w:style>
  <w:style w:type="character" w:customStyle="1" w:styleId="DefaultChar">
    <w:name w:val="Default Char"/>
    <w:link w:val="Default"/>
    <w:qFormat/>
    <w:locked/>
    <w:rPr>
      <w:rFonts w:ascii="宋体" w:hAnsi="Times New Roman"/>
      <w:color w:val="000000"/>
      <w:sz w:val="24"/>
      <w:szCs w:val="24"/>
      <w:lang w:bidi="ar-SA"/>
    </w:rPr>
  </w:style>
  <w:style w:type="character" w:customStyle="1" w:styleId="font51">
    <w:name w:val="font51"/>
    <w:qFormat/>
    <w:rPr>
      <w:rFonts w:ascii="Times New Roman" w:hAnsi="Times New Roman" w:cs="Times New Roman" w:hint="default"/>
      <w:color w:val="000000"/>
      <w:sz w:val="18"/>
      <w:szCs w:val="18"/>
      <w:u w:val="none"/>
    </w:rPr>
  </w:style>
  <w:style w:type="character" w:customStyle="1" w:styleId="font31">
    <w:name w:val="font31"/>
    <w:qFormat/>
    <w:rPr>
      <w:rFonts w:ascii="宋体" w:eastAsia="宋体" w:hAnsi="宋体" w:hint="eastAsia"/>
      <w:color w:val="000000"/>
      <w:sz w:val="18"/>
      <w:szCs w:val="18"/>
      <w:u w:val="none"/>
    </w:rPr>
  </w:style>
  <w:style w:type="character" w:customStyle="1" w:styleId="font71">
    <w:name w:val="font71"/>
    <w:qFormat/>
    <w:rPr>
      <w:rFonts w:ascii="Times New Roman" w:hAnsi="Times New Roman" w:cs="Times New Roman" w:hint="default"/>
      <w:color w:val="000000"/>
      <w:sz w:val="16"/>
      <w:szCs w:val="16"/>
      <w:u w:val="none"/>
    </w:rPr>
  </w:style>
  <w:style w:type="character" w:customStyle="1" w:styleId="Chara">
    <w:name w:val="列出段落 Char"/>
    <w:link w:val="120"/>
    <w:qFormat/>
    <w:rPr>
      <w:rFonts w:ascii="Calibri" w:eastAsia="宋体" w:hAnsi="Calibri" w:cs="Arial"/>
    </w:rPr>
  </w:style>
  <w:style w:type="character" w:customStyle="1" w:styleId="BalloonTextCharChar">
    <w:name w:val="Balloon Text Char Char"/>
    <w:link w:val="1f7"/>
    <w:qFormat/>
    <w:rPr>
      <w:rFonts w:ascii="仿宋_GB2312" w:eastAsia="华文仿宋" w:hAnsi="仿宋_GB2312" w:cs="仿宋_GB2312"/>
      <w:sz w:val="18"/>
      <w:szCs w:val="18"/>
    </w:rPr>
  </w:style>
  <w:style w:type="character" w:customStyle="1" w:styleId="Char1fc">
    <w:name w:val="批注框文本 Char1"/>
    <w:uiPriority w:val="99"/>
    <w:qFormat/>
    <w:rPr>
      <w:rFonts w:ascii="Calibri" w:eastAsia="宋体" w:hAnsi="Calibri" w:cs="Times New Roman"/>
      <w:sz w:val="18"/>
      <w:szCs w:val="18"/>
    </w:rPr>
  </w:style>
  <w:style w:type="character" w:customStyle="1" w:styleId="3CharChar0">
    <w:name w:val="正文文本 3 Char Char"/>
    <w:qFormat/>
    <w:rPr>
      <w:rFonts w:eastAsia="宋体"/>
      <w:sz w:val="18"/>
      <w:lang w:bidi="ar-SA"/>
    </w:rPr>
  </w:style>
  <w:style w:type="character" w:customStyle="1" w:styleId="CharCharc">
    <w:name w:val="列出段落 Char Char"/>
    <w:qFormat/>
    <w:rPr>
      <w:rFonts w:eastAsia="华文楷体"/>
      <w:sz w:val="24"/>
      <w:szCs w:val="24"/>
    </w:rPr>
  </w:style>
  <w:style w:type="character" w:customStyle="1" w:styleId="CharChard">
    <w:name w:val="文档结构图 Char Char"/>
    <w:qFormat/>
    <w:rPr>
      <w:rFonts w:eastAsia="宋体"/>
      <w:szCs w:val="24"/>
      <w:shd w:val="clear" w:color="auto" w:fill="000080"/>
      <w:lang w:bidi="ar-SA"/>
    </w:rPr>
  </w:style>
  <w:style w:type="character" w:customStyle="1" w:styleId="2CharChar0">
    <w:name w:val="正文文本 2 Char Char"/>
    <w:qFormat/>
    <w:rPr>
      <w:rFonts w:eastAsia="宋体"/>
      <w:szCs w:val="24"/>
      <w:lang w:bidi="ar-SA"/>
    </w:rPr>
  </w:style>
  <w:style w:type="character" w:customStyle="1" w:styleId="1CharChar0">
    <w:name w:val="标题 1 Char Char"/>
    <w:qFormat/>
    <w:rPr>
      <w:rFonts w:ascii="宋体" w:eastAsia="黑体" w:hAnsi="宋体" w:cs="Times New Roman"/>
      <w:b/>
      <w:sz w:val="30"/>
      <w:szCs w:val="20"/>
    </w:rPr>
  </w:style>
  <w:style w:type="character" w:customStyle="1" w:styleId="CharChare">
    <w:name w:val="页眉 Char Char"/>
    <w:qFormat/>
    <w:rPr>
      <w:sz w:val="18"/>
      <w:szCs w:val="18"/>
    </w:rPr>
  </w:style>
  <w:style w:type="character" w:customStyle="1" w:styleId="3CharChar1">
    <w:name w:val="正文文本缩进 3 Char Char"/>
    <w:qFormat/>
    <w:rPr>
      <w:rFonts w:ascii="宋体" w:eastAsia="宋体" w:hAnsi="宋体"/>
      <w:sz w:val="24"/>
      <w:lang w:bidi="ar-SA"/>
    </w:rPr>
  </w:style>
  <w:style w:type="character" w:customStyle="1" w:styleId="2CharChar1">
    <w:name w:val="正文文本缩进 2 Char Char"/>
    <w:qFormat/>
    <w:rPr>
      <w:rFonts w:ascii="宋体" w:eastAsia="宋体" w:hAnsi="宋体"/>
      <w:sz w:val="24"/>
      <w:lang w:bidi="ar-SA"/>
    </w:rPr>
  </w:style>
  <w:style w:type="character" w:customStyle="1" w:styleId="CharCharf">
    <w:name w:val="页脚 Char Char"/>
    <w:qFormat/>
    <w:rPr>
      <w:sz w:val="18"/>
      <w:szCs w:val="18"/>
    </w:rPr>
  </w:style>
  <w:style w:type="character" w:customStyle="1" w:styleId="CharCharf0">
    <w:name w:val="批注文字 Char Char"/>
    <w:qFormat/>
    <w:rPr>
      <w:rFonts w:ascii="Times New Roman" w:eastAsia="宋体" w:hAnsi="Times New Roman" w:cs="Times New Roman"/>
      <w:kern w:val="0"/>
      <w:sz w:val="20"/>
      <w:szCs w:val="20"/>
    </w:rPr>
  </w:style>
  <w:style w:type="character" w:customStyle="1" w:styleId="CharCharf1">
    <w:name w:val="批注主题 Char Char"/>
    <w:qFormat/>
    <w:rPr>
      <w:rFonts w:ascii="Times New Roman" w:eastAsia="宋体" w:hAnsi="Times New Roman" w:cs="Times New Roman"/>
      <w:b/>
      <w:bCs/>
      <w:kern w:val="0"/>
      <w:sz w:val="20"/>
      <w:szCs w:val="24"/>
      <w:lang w:bidi="ar-SA"/>
    </w:rPr>
  </w:style>
  <w:style w:type="character" w:customStyle="1" w:styleId="DefaultCharChar">
    <w:name w:val="Default Char Char"/>
    <w:qFormat/>
    <w:rPr>
      <w:rFonts w:ascii="宋体" w:cs="宋体"/>
      <w:color w:val="000000"/>
      <w:sz w:val="24"/>
      <w:szCs w:val="24"/>
    </w:rPr>
  </w:style>
  <w:style w:type="character" w:customStyle="1" w:styleId="CharCharf2">
    <w:name w:val="中文文本 Char Char"/>
    <w:qFormat/>
    <w:rPr>
      <w:rFonts w:eastAsia="宋体"/>
      <w:sz w:val="21"/>
      <w:lang w:val="en-US" w:eastAsia="zh-CN" w:bidi="ar-SA"/>
    </w:rPr>
  </w:style>
  <w:style w:type="character" w:customStyle="1" w:styleId="CharCharf3">
    <w:name w:val="纯文本 Char Char"/>
    <w:qFormat/>
    <w:rPr>
      <w:rFonts w:ascii="宋体" w:eastAsia="宋体" w:hAnsi="Courier New"/>
      <w:lang w:bidi="ar-SA"/>
    </w:rPr>
  </w:style>
  <w:style w:type="character" w:customStyle="1" w:styleId="CharCharf4">
    <w:name w:val="日期 Char Char"/>
    <w:qFormat/>
    <w:rPr>
      <w:rFonts w:eastAsia="宋体"/>
      <w:szCs w:val="24"/>
      <w:lang w:bidi="ar-SA"/>
    </w:rPr>
  </w:style>
  <w:style w:type="character" w:customStyle="1" w:styleId="1ff5">
    <w:name w:val="标题 1 字符"/>
    <w:qFormat/>
    <w:rPr>
      <w:rFonts w:ascii="宋体" w:eastAsia="黑体" w:hAnsi="宋体"/>
      <w:b/>
      <w:kern w:val="2"/>
      <w:sz w:val="30"/>
      <w:lang w:val="en-US" w:eastAsia="zh-CN" w:bidi="ar-SA"/>
    </w:rPr>
  </w:style>
  <w:style w:type="character" w:customStyle="1" w:styleId="2fa">
    <w:name w:val="标题 2 字符"/>
    <w:uiPriority w:val="9"/>
    <w:qFormat/>
    <w:rPr>
      <w:rFonts w:ascii="Arial" w:eastAsia="黑体" w:hAnsi="Arial"/>
      <w:b/>
      <w:kern w:val="2"/>
      <w:sz w:val="32"/>
    </w:rPr>
  </w:style>
  <w:style w:type="character" w:customStyle="1" w:styleId="3f0">
    <w:name w:val="标题 3 字符"/>
    <w:qFormat/>
    <w:rPr>
      <w:b/>
      <w:kern w:val="2"/>
      <w:sz w:val="24"/>
    </w:rPr>
  </w:style>
  <w:style w:type="character" w:customStyle="1" w:styleId="4c">
    <w:name w:val="标题 4 字符"/>
    <w:qFormat/>
    <w:rPr>
      <w:rFonts w:ascii="Arial" w:eastAsia="黑体" w:hAnsi="Arial"/>
      <w:b/>
      <w:bCs/>
      <w:kern w:val="2"/>
      <w:sz w:val="28"/>
      <w:szCs w:val="28"/>
      <w:lang w:val="en-US" w:eastAsia="zh-CN" w:bidi="ar-SA"/>
    </w:rPr>
  </w:style>
  <w:style w:type="character" w:customStyle="1" w:styleId="5a">
    <w:name w:val="标题 5 字符"/>
    <w:qFormat/>
    <w:rPr>
      <w:b/>
      <w:kern w:val="2"/>
      <w:sz w:val="28"/>
    </w:rPr>
  </w:style>
  <w:style w:type="character" w:customStyle="1" w:styleId="64">
    <w:name w:val="标题 6 字符"/>
    <w:qFormat/>
    <w:rPr>
      <w:rFonts w:ascii="Arial" w:eastAsia="黑体" w:hAnsi="Arial"/>
      <w:b/>
      <w:kern w:val="2"/>
      <w:sz w:val="24"/>
    </w:rPr>
  </w:style>
  <w:style w:type="character" w:customStyle="1" w:styleId="74">
    <w:name w:val="标题 7 字符"/>
    <w:qFormat/>
    <w:rPr>
      <w:b/>
      <w:kern w:val="2"/>
      <w:sz w:val="24"/>
    </w:rPr>
  </w:style>
  <w:style w:type="character" w:customStyle="1" w:styleId="83">
    <w:name w:val="标题 8 字符"/>
    <w:qFormat/>
    <w:rPr>
      <w:rFonts w:ascii="Arial" w:eastAsia="黑体" w:hAnsi="Arial"/>
      <w:kern w:val="2"/>
      <w:sz w:val="24"/>
    </w:rPr>
  </w:style>
  <w:style w:type="character" w:customStyle="1" w:styleId="94">
    <w:name w:val="标题 9 字符"/>
    <w:qFormat/>
    <w:rPr>
      <w:rFonts w:ascii="Arial" w:eastAsia="黑体" w:hAnsi="Arial"/>
      <w:kern w:val="2"/>
      <w:sz w:val="21"/>
    </w:rPr>
  </w:style>
  <w:style w:type="character" w:customStyle="1" w:styleId="afffffff0">
    <w:name w:val="页脚 字符"/>
    <w:uiPriority w:val="99"/>
    <w:qFormat/>
    <w:rPr>
      <w:rFonts w:eastAsia="宋体"/>
      <w:kern w:val="2"/>
      <w:sz w:val="18"/>
      <w:szCs w:val="18"/>
      <w:lang w:val="en-US" w:eastAsia="zh-CN" w:bidi="ar-SA"/>
    </w:rPr>
  </w:style>
  <w:style w:type="character" w:customStyle="1" w:styleId="afffffff1">
    <w:name w:val="页眉 字符"/>
    <w:uiPriority w:val="99"/>
    <w:qFormat/>
    <w:rPr>
      <w:rFonts w:eastAsia="宋体"/>
      <w:kern w:val="2"/>
      <w:sz w:val="18"/>
      <w:szCs w:val="18"/>
      <w:lang w:val="en-US" w:eastAsia="zh-CN" w:bidi="ar-SA"/>
    </w:rPr>
  </w:style>
  <w:style w:type="character" w:customStyle="1" w:styleId="afffffff2">
    <w:name w:val="正文文本缩进 字符"/>
    <w:qFormat/>
    <w:rPr>
      <w:rFonts w:eastAsia="宋体"/>
      <w:kern w:val="2"/>
      <w:sz w:val="24"/>
      <w:lang w:val="en-US" w:eastAsia="zh-CN" w:bidi="ar-SA"/>
    </w:rPr>
  </w:style>
  <w:style w:type="character" w:customStyle="1" w:styleId="3f1">
    <w:name w:val="正文文本缩进 3 字符"/>
    <w:qFormat/>
    <w:rPr>
      <w:rFonts w:ascii="宋体" w:eastAsia="宋体" w:hAnsi="宋体"/>
      <w:kern w:val="2"/>
      <w:sz w:val="24"/>
      <w:lang w:val="en-US" w:eastAsia="zh-CN" w:bidi="ar-SA"/>
    </w:rPr>
  </w:style>
  <w:style w:type="character" w:customStyle="1" w:styleId="2fb">
    <w:name w:val="正文文本缩进 2 字符"/>
    <w:qFormat/>
    <w:rPr>
      <w:rFonts w:ascii="宋体" w:eastAsia="宋体" w:hAnsi="宋体"/>
      <w:kern w:val="2"/>
      <w:sz w:val="24"/>
      <w:lang w:val="en-US" w:eastAsia="zh-CN" w:bidi="ar-SA"/>
    </w:rPr>
  </w:style>
  <w:style w:type="character" w:customStyle="1" w:styleId="3f2">
    <w:name w:val="正文文本 3 字符"/>
    <w:qFormat/>
    <w:rPr>
      <w:rFonts w:eastAsia="宋体"/>
      <w:kern w:val="2"/>
      <w:sz w:val="18"/>
      <w:lang w:val="en-US" w:eastAsia="zh-CN" w:bidi="ar-SA"/>
    </w:rPr>
  </w:style>
  <w:style w:type="character" w:customStyle="1" w:styleId="afffffff3">
    <w:name w:val="文档结构图 字符"/>
    <w:qFormat/>
    <w:rPr>
      <w:rFonts w:eastAsia="宋体"/>
      <w:kern w:val="2"/>
      <w:sz w:val="21"/>
      <w:szCs w:val="24"/>
      <w:lang w:val="en-US" w:eastAsia="zh-CN" w:bidi="ar-SA"/>
    </w:rPr>
  </w:style>
  <w:style w:type="character" w:customStyle="1" w:styleId="afffffff4">
    <w:name w:val="正文文本 字符"/>
    <w:uiPriority w:val="99"/>
    <w:qFormat/>
    <w:rPr>
      <w:rFonts w:ascii="仿宋_GB2312" w:eastAsia="仿宋_GB2312"/>
      <w:kern w:val="2"/>
      <w:sz w:val="30"/>
      <w:szCs w:val="24"/>
      <w:lang w:val="en-US" w:eastAsia="zh-CN" w:bidi="ar-SA"/>
    </w:rPr>
  </w:style>
  <w:style w:type="character" w:customStyle="1" w:styleId="afffffff5">
    <w:name w:val="批注框文本 字符"/>
    <w:uiPriority w:val="99"/>
    <w:qFormat/>
    <w:rPr>
      <w:rFonts w:eastAsia="宋体"/>
      <w:kern w:val="2"/>
      <w:sz w:val="18"/>
      <w:szCs w:val="18"/>
      <w:lang w:val="en-US" w:eastAsia="zh-CN" w:bidi="ar-SA"/>
    </w:rPr>
  </w:style>
  <w:style w:type="character" w:customStyle="1" w:styleId="afffffff6">
    <w:name w:val="批注文字 字符"/>
    <w:uiPriority w:val="99"/>
    <w:qFormat/>
    <w:rPr>
      <w:rFonts w:eastAsia="宋体"/>
      <w:lang w:val="en-US" w:eastAsia="zh-CN" w:bidi="he-IL"/>
    </w:rPr>
  </w:style>
  <w:style w:type="character" w:customStyle="1" w:styleId="2fc">
    <w:name w:val="正文文本 2 字符"/>
    <w:qFormat/>
    <w:rPr>
      <w:rFonts w:eastAsia="宋体"/>
      <w:kern w:val="2"/>
      <w:sz w:val="21"/>
      <w:szCs w:val="24"/>
      <w:lang w:val="en-US" w:eastAsia="zh-CN" w:bidi="ar-SA"/>
    </w:rPr>
  </w:style>
  <w:style w:type="character" w:customStyle="1" w:styleId="afffffff7">
    <w:name w:val="批注主题 字符"/>
    <w:qFormat/>
    <w:rPr>
      <w:rFonts w:eastAsia="宋体"/>
      <w:b/>
      <w:bCs/>
      <w:kern w:val="2"/>
      <w:sz w:val="21"/>
      <w:szCs w:val="24"/>
      <w:lang w:val="en-US" w:eastAsia="zh-CN" w:bidi="ar-SA"/>
    </w:rPr>
  </w:style>
  <w:style w:type="character" w:customStyle="1" w:styleId="afffffff8">
    <w:name w:val="脚注文本 字符"/>
    <w:qFormat/>
    <w:rPr>
      <w:rFonts w:ascii="Arial" w:eastAsia="SC STKaiti" w:hAnsi="Arial"/>
      <w:i/>
      <w:sz w:val="14"/>
      <w:lang w:val="en-US" w:eastAsia="zh-CN" w:bidi="ar-SA"/>
    </w:rPr>
  </w:style>
  <w:style w:type="character" w:customStyle="1" w:styleId="afffffff9">
    <w:name w:val="日期 字符"/>
    <w:qFormat/>
    <w:rPr>
      <w:rFonts w:eastAsia="宋体"/>
      <w:kern w:val="2"/>
      <w:sz w:val="21"/>
      <w:szCs w:val="24"/>
      <w:lang w:val="en-US" w:eastAsia="zh-CN" w:bidi="ar-SA"/>
    </w:rPr>
  </w:style>
  <w:style w:type="character" w:customStyle="1" w:styleId="afffffffa">
    <w:name w:val="纯文本 字符"/>
    <w:qFormat/>
    <w:rPr>
      <w:rFonts w:ascii="宋体" w:eastAsia="宋体" w:hAnsi="Courier New"/>
      <w:kern w:val="2"/>
      <w:sz w:val="21"/>
      <w:lang w:val="en-US" w:eastAsia="zh-CN" w:bidi="ar-SA"/>
    </w:rPr>
  </w:style>
  <w:style w:type="character" w:customStyle="1" w:styleId="afffffffb">
    <w:name w:val="尾注文本 字符"/>
    <w:qFormat/>
    <w:rPr>
      <w:rFonts w:eastAsia="宋体"/>
      <w:kern w:val="2"/>
      <w:sz w:val="21"/>
      <w:szCs w:val="24"/>
      <w:lang w:val="en-US" w:eastAsia="zh-CN" w:bidi="ar-SA"/>
    </w:rPr>
  </w:style>
  <w:style w:type="character" w:customStyle="1" w:styleId="afffffffc">
    <w:name w:val="标题 字符"/>
    <w:qFormat/>
    <w:rPr>
      <w:rFonts w:ascii="Calibri Light" w:hAnsi="Calibri Light"/>
      <w:b/>
      <w:bCs/>
      <w:kern w:val="2"/>
      <w:sz w:val="32"/>
      <w:szCs w:val="32"/>
    </w:rPr>
  </w:style>
  <w:style w:type="character" w:customStyle="1" w:styleId="z-">
    <w:name w:val="z-窗体顶端 字符"/>
    <w:uiPriority w:val="99"/>
    <w:qFormat/>
    <w:rPr>
      <w:rFonts w:ascii="Arial" w:hAnsi="Arial" w:cs="Arial"/>
      <w:vanish/>
      <w:sz w:val="16"/>
      <w:szCs w:val="16"/>
    </w:rPr>
  </w:style>
  <w:style w:type="character" w:customStyle="1" w:styleId="z-0">
    <w:name w:val="z-窗体底端 字符"/>
    <w:uiPriority w:val="99"/>
    <w:qFormat/>
    <w:rPr>
      <w:rFonts w:ascii="Arial" w:hAnsi="Arial" w:cs="Arial"/>
      <w:vanish/>
      <w:sz w:val="16"/>
      <w:szCs w:val="16"/>
    </w:rPr>
  </w:style>
  <w:style w:type="character" w:customStyle="1" w:styleId="afffffffd">
    <w:name w:val="副标题 字符"/>
    <w:qFormat/>
    <w:rPr>
      <w:rFonts w:ascii="宋体" w:eastAsia="黑体" w:hAnsi="宋体"/>
      <w:b/>
      <w:color w:val="000000"/>
      <w:kern w:val="2"/>
      <w:sz w:val="30"/>
      <w:szCs w:val="30"/>
    </w:rPr>
  </w:style>
  <w:style w:type="character" w:customStyle="1" w:styleId="ng-scope">
    <w:name w:val="ng-scope"/>
    <w:qFormat/>
  </w:style>
  <w:style w:type="character" w:customStyle="1" w:styleId="Charf3">
    <w:name w:val="表格 Char"/>
    <w:link w:val="affffff3"/>
    <w:qFormat/>
    <w:rPr>
      <w:rFonts w:ascii="Times New Roman" w:eastAsia="宋体" w:hAnsi="Times New Roman" w:cs="Times New Roman"/>
      <w:kern w:val="0"/>
      <w:szCs w:val="20"/>
    </w:rPr>
  </w:style>
  <w:style w:type="character" w:customStyle="1" w:styleId="Chare">
    <w:name w:val="无间隔 Char"/>
    <w:link w:val="3b"/>
    <w:qFormat/>
    <w:rPr>
      <w:rFonts w:ascii="Times New Roman" w:hAnsi="Times New Roman"/>
      <w:kern w:val="2"/>
      <w:sz w:val="21"/>
      <w:szCs w:val="22"/>
      <w:lang w:val="en-US" w:eastAsia="zh-CN" w:bidi="ar-SA"/>
    </w:rPr>
  </w:style>
  <w:style w:type="character" w:customStyle="1" w:styleId="CharChar400">
    <w:name w:val="Char Char40"/>
    <w:qFormat/>
    <w:rPr>
      <w:rFonts w:ascii="宋体" w:eastAsia="宋体" w:hAnsi="宋体"/>
      <w:kern w:val="2"/>
      <w:sz w:val="24"/>
      <w:lang w:val="en-US" w:eastAsia="zh-CN" w:bidi="ar-SA"/>
    </w:rPr>
  </w:style>
  <w:style w:type="character" w:customStyle="1" w:styleId="CharChar202">
    <w:name w:val="Char Char202"/>
    <w:qFormat/>
    <w:rPr>
      <w:rFonts w:eastAsia="宋体"/>
      <w:b/>
      <w:kern w:val="2"/>
      <w:sz w:val="28"/>
      <w:lang w:val="en-US" w:eastAsia="zh-CN" w:bidi="ar-SA"/>
    </w:rPr>
  </w:style>
  <w:style w:type="character" w:customStyle="1" w:styleId="CharChar151">
    <w:name w:val="Char Char151"/>
    <w:qFormat/>
    <w:rPr>
      <w:rFonts w:eastAsia="宋体"/>
      <w:kern w:val="2"/>
      <w:sz w:val="18"/>
      <w:szCs w:val="18"/>
      <w:lang w:val="en-US" w:eastAsia="zh-CN" w:bidi="ar-SA"/>
    </w:rPr>
  </w:style>
  <w:style w:type="character" w:customStyle="1" w:styleId="2fd">
    <w:name w:val="页码2"/>
    <w:qFormat/>
  </w:style>
  <w:style w:type="character" w:customStyle="1" w:styleId="CharChar241">
    <w:name w:val="Char Char241"/>
    <w:qFormat/>
    <w:rPr>
      <w:rFonts w:eastAsia="宋体"/>
      <w:b/>
      <w:kern w:val="2"/>
      <w:sz w:val="30"/>
      <w:lang w:val="en-US" w:eastAsia="zh-CN" w:bidi="ar-SA"/>
    </w:rPr>
  </w:style>
  <w:style w:type="character" w:customStyle="1" w:styleId="CharChar231">
    <w:name w:val="Char Char231"/>
    <w:qFormat/>
    <w:rPr>
      <w:rFonts w:ascii="Arial" w:eastAsia="黑体" w:hAnsi="Arial"/>
      <w:b/>
      <w:bCs/>
      <w:kern w:val="2"/>
      <w:sz w:val="28"/>
      <w:szCs w:val="28"/>
      <w:lang w:val="en-US" w:eastAsia="zh-CN" w:bidi="ar-SA"/>
    </w:rPr>
  </w:style>
  <w:style w:type="character" w:customStyle="1" w:styleId="CharChar261">
    <w:name w:val="Char Char261"/>
    <w:qFormat/>
    <w:rPr>
      <w:rFonts w:eastAsia="宋体"/>
      <w:b/>
      <w:kern w:val="2"/>
      <w:sz w:val="30"/>
      <w:lang w:val="en-US" w:eastAsia="zh-CN" w:bidi="ar-SA"/>
    </w:rPr>
  </w:style>
  <w:style w:type="character" w:customStyle="1" w:styleId="CharChar251">
    <w:name w:val="Char Char251"/>
    <w:qFormat/>
    <w:rPr>
      <w:rFonts w:ascii="Arial" w:eastAsia="黑体" w:hAnsi="Arial"/>
      <w:b/>
      <w:bCs/>
      <w:kern w:val="2"/>
      <w:sz w:val="28"/>
      <w:szCs w:val="28"/>
      <w:lang w:val="en-US" w:eastAsia="zh-CN" w:bidi="ar-SA"/>
    </w:rPr>
  </w:style>
  <w:style w:type="character" w:customStyle="1" w:styleId="CharChar281">
    <w:name w:val="Char Char281"/>
    <w:qFormat/>
    <w:rPr>
      <w:rFonts w:eastAsia="宋体"/>
      <w:b/>
      <w:kern w:val="2"/>
      <w:sz w:val="30"/>
      <w:lang w:val="en-US" w:eastAsia="zh-CN" w:bidi="ar-SA"/>
    </w:rPr>
  </w:style>
  <w:style w:type="character" w:customStyle="1" w:styleId="CharChar271">
    <w:name w:val="Char Char271"/>
    <w:qFormat/>
    <w:rPr>
      <w:rFonts w:ascii="Arial" w:eastAsia="黑体" w:hAnsi="Arial"/>
      <w:b/>
      <w:bCs/>
      <w:kern w:val="2"/>
      <w:sz w:val="28"/>
      <w:szCs w:val="28"/>
      <w:lang w:val="en-US" w:eastAsia="zh-CN" w:bidi="ar-SA"/>
    </w:rPr>
  </w:style>
  <w:style w:type="character" w:customStyle="1" w:styleId="CharChar301">
    <w:name w:val="Char Char301"/>
    <w:qFormat/>
    <w:rPr>
      <w:rFonts w:eastAsia="宋体"/>
      <w:b/>
      <w:kern w:val="2"/>
      <w:sz w:val="30"/>
      <w:lang w:val="en-US" w:eastAsia="zh-CN" w:bidi="ar-SA"/>
    </w:rPr>
  </w:style>
  <w:style w:type="character" w:customStyle="1" w:styleId="CharChar291">
    <w:name w:val="Char Char291"/>
    <w:qFormat/>
    <w:rPr>
      <w:rFonts w:ascii="Arial" w:eastAsia="黑体" w:hAnsi="Arial"/>
      <w:b/>
      <w:bCs/>
      <w:kern w:val="2"/>
      <w:sz w:val="28"/>
      <w:szCs w:val="28"/>
      <w:lang w:val="en-US" w:eastAsia="zh-CN" w:bidi="ar-SA"/>
    </w:rPr>
  </w:style>
  <w:style w:type="character" w:customStyle="1" w:styleId="Char41">
    <w:name w:val="Char41"/>
    <w:semiHidden/>
    <w:qFormat/>
    <w:rPr>
      <w:rFonts w:ascii="宋体" w:eastAsia="宋体" w:hAnsi="宋体" w:hint="eastAsia"/>
      <w:b/>
      <w:bCs/>
      <w:kern w:val="2"/>
      <w:sz w:val="30"/>
      <w:szCs w:val="30"/>
      <w:lang w:val="en-US" w:eastAsia="zh-CN"/>
    </w:rPr>
  </w:style>
  <w:style w:type="character" w:customStyle="1" w:styleId="Charf4">
    <w:name w:val="表格标题 Char"/>
    <w:link w:val="affffff5"/>
    <w:qFormat/>
    <w:rPr>
      <w:rFonts w:ascii="Times New Roman" w:hAnsi="Times New Roman"/>
      <w:b/>
      <w:sz w:val="21"/>
      <w:szCs w:val="21"/>
    </w:rPr>
  </w:style>
  <w:style w:type="character" w:customStyle="1" w:styleId="im-content1">
    <w:name w:val="im-content1"/>
    <w:qFormat/>
    <w:rPr>
      <w:color w:val="333333"/>
    </w:rPr>
  </w:style>
  <w:style w:type="character" w:customStyle="1" w:styleId="z-Char20">
    <w:name w:val="z-窗体顶端 Char2"/>
    <w:uiPriority w:val="99"/>
    <w:semiHidden/>
    <w:qFormat/>
    <w:rPr>
      <w:rFonts w:ascii="Arial" w:hAnsi="Arial" w:cs="Arial"/>
      <w:vanish/>
      <w:sz w:val="16"/>
      <w:szCs w:val="16"/>
    </w:rPr>
  </w:style>
  <w:style w:type="character" w:customStyle="1" w:styleId="z-Char10">
    <w:name w:val="z-窗体底端 Char1"/>
    <w:uiPriority w:val="99"/>
    <w:semiHidden/>
    <w:qFormat/>
    <w:rPr>
      <w:rFonts w:ascii="Arial" w:hAnsi="Arial" w:cs="Arial"/>
      <w:vanish/>
      <w:sz w:val="16"/>
      <w:szCs w:val="16"/>
    </w:rPr>
  </w:style>
  <w:style w:type="character" w:customStyle="1" w:styleId="Style1162">
    <w:name w:val="_Style 1162"/>
    <w:qFormat/>
    <w:rPr>
      <w:i/>
      <w:iCs/>
      <w:color w:val="808080"/>
    </w:rPr>
  </w:style>
  <w:style w:type="character" w:customStyle="1" w:styleId="z-Char3">
    <w:name w:val="z-窗体顶端 Char3"/>
    <w:link w:val="Style824"/>
    <w:qFormat/>
    <w:rPr>
      <w:rFonts w:ascii="Arial" w:hAnsi="Arial"/>
      <w:vanish/>
      <w:sz w:val="16"/>
      <w:szCs w:val="16"/>
    </w:rPr>
  </w:style>
  <w:style w:type="character" w:customStyle="1" w:styleId="z-Char2">
    <w:name w:val="z-窗体底端 Char2"/>
    <w:link w:val="Style825"/>
    <w:qFormat/>
    <w:rPr>
      <w:rFonts w:ascii="Arial" w:hAnsi="Arial"/>
      <w:vanish/>
      <w:sz w:val="16"/>
      <w:szCs w:val="16"/>
    </w:rPr>
  </w:style>
  <w:style w:type="character" w:customStyle="1" w:styleId="a6">
    <w:name w:val="正文缩进 字符"/>
    <w:link w:val="a2"/>
    <w:qFormat/>
    <w:rPr>
      <w:rFonts w:ascii="宋体" w:hAnsi="宋体" w:cs="宋体"/>
      <w:kern w:val="2"/>
      <w:sz w:val="21"/>
      <w:szCs w:val="21"/>
    </w:rPr>
  </w:style>
  <w:style w:type="character" w:customStyle="1" w:styleId="2Char">
    <w:name w:val="样式2 Char"/>
    <w:link w:val="2b"/>
    <w:qFormat/>
    <w:rPr>
      <w:rFonts w:ascii="宋体" w:eastAsia="黑体" w:hAnsi="宋体"/>
      <w:b/>
      <w:bCs/>
      <w:kern w:val="2"/>
      <w:sz w:val="28"/>
      <w:szCs w:val="28"/>
    </w:rPr>
  </w:style>
  <w:style w:type="character" w:customStyle="1" w:styleId="3Char">
    <w:name w:val="样式3 Char"/>
    <w:link w:val="39"/>
    <w:qFormat/>
    <w:rPr>
      <w:rFonts w:ascii="Times New Roman" w:eastAsia="黑体" w:hAnsi="Times New Roman"/>
      <w:sz w:val="28"/>
      <w:szCs w:val="28"/>
    </w:rPr>
  </w:style>
  <w:style w:type="character" w:customStyle="1" w:styleId="4Char">
    <w:name w:val="样式4 Char"/>
    <w:link w:val="46"/>
    <w:qFormat/>
    <w:rPr>
      <w:rFonts w:ascii="MS Sans Serif" w:eastAsia="华文仿宋" w:hAnsi="仿宋_GB2312" w:cs="仿宋_GB2312"/>
      <w:kern w:val="2"/>
      <w:sz w:val="24"/>
      <w:szCs w:val="24"/>
    </w:rPr>
  </w:style>
  <w:style w:type="character" w:customStyle="1" w:styleId="5Char">
    <w:name w:val="样式5 Char"/>
    <w:link w:val="59"/>
    <w:qFormat/>
    <w:rPr>
      <w:rFonts w:ascii="宋体" w:hAnsi="宋体" w:cs="宋体"/>
      <w:b/>
      <w:bCs/>
      <w:sz w:val="24"/>
      <w:szCs w:val="28"/>
    </w:rPr>
  </w:style>
  <w:style w:type="character" w:customStyle="1" w:styleId="Charf5">
    <w:name w:val="小标题 Char"/>
    <w:link w:val="affffff6"/>
    <w:qFormat/>
    <w:rPr>
      <w:rFonts w:ascii="Times New Roman" w:hAnsi="Times New Roman" w:cs="宋体"/>
      <w:b/>
      <w:sz w:val="24"/>
      <w:szCs w:val="24"/>
    </w:rPr>
  </w:style>
  <w:style w:type="character" w:customStyle="1" w:styleId="13Char">
    <w:name w:val="样式13 Char"/>
    <w:link w:val="130"/>
    <w:qFormat/>
    <w:rPr>
      <w:rFonts w:ascii="仿宋_GB2312" w:eastAsia="仿宋_GB2312" w:hAnsi="Arial Narrow" w:cs="仿宋_GB2312"/>
      <w:bCs/>
      <w:sz w:val="28"/>
      <w:szCs w:val="28"/>
      <w:lang w:val="zh-CN"/>
    </w:rPr>
  </w:style>
  <w:style w:type="character" w:customStyle="1" w:styleId="14Char">
    <w:name w:val="样式14 Char"/>
    <w:link w:val="140"/>
    <w:qFormat/>
    <w:rPr>
      <w:rFonts w:ascii="Arial Narrow" w:eastAsia="仿宋_GB2312" w:hAnsi="Arial Narrow" w:cs="仿宋_GB2312"/>
      <w:sz w:val="28"/>
      <w:szCs w:val="28"/>
      <w:lang w:val="zh-CN" w:eastAsia="ar-SA"/>
    </w:rPr>
  </w:style>
  <w:style w:type="character" w:customStyle="1" w:styleId="15Char">
    <w:name w:val="样式15 Char"/>
    <w:link w:val="152"/>
    <w:qFormat/>
    <w:rPr>
      <w:rFonts w:ascii="Cambria" w:hAnsi="Cambria" w:cs="宋体"/>
      <w:sz w:val="24"/>
      <w:szCs w:val="21"/>
      <w:lang w:val="zh-CN" w:eastAsia="ar-SA"/>
    </w:rPr>
  </w:style>
  <w:style w:type="character" w:customStyle="1" w:styleId="16Char">
    <w:name w:val="样式16 Char"/>
    <w:link w:val="160"/>
    <w:qFormat/>
    <w:rPr>
      <w:rFonts w:ascii="Arial Narrow" w:eastAsia="仿宋_GB2312" w:hAnsi="Arial Narrow" w:cs="仿宋_GB2312"/>
      <w:sz w:val="18"/>
      <w:szCs w:val="18"/>
      <w:lang w:val="zh-CN" w:eastAsia="ar-SA"/>
    </w:rPr>
  </w:style>
  <w:style w:type="character" w:customStyle="1" w:styleId="Charf6">
    <w:name w:val="中企华 Char"/>
    <w:link w:val="affffff7"/>
    <w:qFormat/>
    <w:rPr>
      <w:rFonts w:ascii="Arial Narrow" w:eastAsia="仿宋_GB2312" w:hAnsi="Arial Narrow" w:cs="Arial Narrow"/>
      <w:sz w:val="28"/>
      <w:szCs w:val="28"/>
    </w:rPr>
  </w:style>
  <w:style w:type="character" w:customStyle="1" w:styleId="4Char0">
    <w:name w:val="标题4级 Char"/>
    <w:link w:val="4b"/>
    <w:qFormat/>
    <w:rPr>
      <w:rFonts w:ascii="Times New Roman" w:hAnsi="Times New Roman"/>
      <w:b/>
      <w:sz w:val="24"/>
      <w:szCs w:val="22"/>
      <w:lang w:bidi="ar-SA"/>
    </w:rPr>
  </w:style>
  <w:style w:type="character" w:customStyle="1" w:styleId="Charf7">
    <w:name w:val="释义 Char"/>
    <w:link w:val="affffff9"/>
    <w:qFormat/>
    <w:rPr>
      <w:rFonts w:ascii="Times New Roman" w:hAnsi="Times New Roman" w:cs="宋体"/>
      <w:sz w:val="24"/>
      <w:szCs w:val="21"/>
    </w:rPr>
  </w:style>
  <w:style w:type="character" w:customStyle="1" w:styleId="Charf8">
    <w:name w:val="正文表格 Char"/>
    <w:link w:val="affffffa"/>
    <w:qFormat/>
    <w:rPr>
      <w:rFonts w:ascii="Times New Roman" w:hAnsi="Times New Roman" w:cs="宋体"/>
      <w:color w:val="000000"/>
      <w:sz w:val="24"/>
      <w:szCs w:val="24"/>
    </w:rPr>
  </w:style>
  <w:style w:type="character" w:customStyle="1" w:styleId="Charf9">
    <w:name w:val="中伦正文 Char"/>
    <w:link w:val="affffffb"/>
    <w:qFormat/>
    <w:rPr>
      <w:rFonts w:ascii="Times New Roman" w:hAnsi="Times New Roman" w:cs="宋体"/>
      <w:sz w:val="24"/>
      <w:szCs w:val="24"/>
    </w:rPr>
  </w:style>
  <w:style w:type="character" w:customStyle="1" w:styleId="Charfa">
    <w:name w:val="第三级 Char"/>
    <w:link w:val="affffffc"/>
    <w:qFormat/>
    <w:rPr>
      <w:rFonts w:ascii="Times New Roman" w:hAnsi="Times New Roman" w:cs="宋体"/>
      <w:b/>
      <w:sz w:val="24"/>
      <w:szCs w:val="24"/>
    </w:rPr>
  </w:style>
  <w:style w:type="character" w:customStyle="1" w:styleId="Charfb">
    <w:name w:val="楷体样式 Char"/>
    <w:link w:val="affffffd"/>
    <w:qFormat/>
    <w:rPr>
      <w:rFonts w:ascii="Times New Roman" w:eastAsia="楷体_GB2312" w:hAnsi="Times New Roman" w:cs="宋体"/>
      <w:sz w:val="24"/>
      <w:szCs w:val="24"/>
    </w:rPr>
  </w:style>
  <w:style w:type="character" w:customStyle="1" w:styleId="Charfc">
    <w:name w:val="招股书正文通用 Char"/>
    <w:link w:val="affffffe"/>
    <w:qFormat/>
    <w:rPr>
      <w:rFonts w:ascii="Times New Roman" w:hAnsi="Times New Roman" w:cs="宋体"/>
      <w:sz w:val="24"/>
      <w:szCs w:val="24"/>
    </w:rPr>
  </w:style>
  <w:style w:type="character" w:customStyle="1" w:styleId="2Char0">
    <w:name w:val="目录2 Char"/>
    <w:link w:val="2f9"/>
    <w:qFormat/>
    <w:rPr>
      <w:rFonts w:ascii="Times New Roman" w:eastAsia="黑体" w:hAnsi="Times New Roman" w:cs="宋体"/>
      <w:sz w:val="24"/>
      <w:szCs w:val="24"/>
      <w:lang w:val="zh-CN" w:eastAsia="zh-CN"/>
    </w:rPr>
  </w:style>
  <w:style w:type="character" w:customStyle="1" w:styleId="ad">
    <w:name w:val="题注 字符"/>
    <w:link w:val="ac"/>
    <w:qFormat/>
    <w:rPr>
      <w:rFonts w:ascii="宋体" w:hAnsi="Arial" w:cs="宋体"/>
      <w:kern w:val="2"/>
      <w:sz w:val="18"/>
      <w:szCs w:val="18"/>
    </w:rPr>
  </w:style>
  <w:style w:type="character" w:customStyle="1" w:styleId="Charfd">
    <w:name w:val="明显引用 Char"/>
    <w:link w:val="Style848"/>
    <w:uiPriority w:val="30"/>
    <w:qFormat/>
    <w:rPr>
      <w:rFonts w:ascii="宋体" w:hAnsi="宋体" w:cs="宋体"/>
      <w:b/>
      <w:bCs/>
      <w:i/>
      <w:iCs/>
      <w:color w:val="4F81BD"/>
      <w:sz w:val="24"/>
      <w:szCs w:val="24"/>
    </w:rPr>
  </w:style>
  <w:style w:type="character" w:customStyle="1" w:styleId="font0Char">
    <w:name w:val="font0 Char"/>
    <w:link w:val="font0"/>
    <w:qFormat/>
    <w:rPr>
      <w:rFonts w:ascii="Arial" w:eastAsia="Arial Unicode MS" w:hAnsi="Arial" w:cs="Arial"/>
      <w:sz w:val="24"/>
      <w:szCs w:val="24"/>
      <w:lang w:val="en-GB" w:eastAsia="en-US"/>
    </w:rPr>
  </w:style>
  <w:style w:type="character" w:customStyle="1" w:styleId="l12Char">
    <w:name w:val="l12 Char"/>
    <w:link w:val="l12"/>
    <w:qFormat/>
    <w:rPr>
      <w:rFonts w:ascii="Arial" w:hAnsi="Arial" w:cs="Arial"/>
      <w:sz w:val="24"/>
      <w:lang w:val="en-GB" w:eastAsia="en-US"/>
    </w:rPr>
  </w:style>
  <w:style w:type="character" w:customStyle="1" w:styleId="Char1fd">
    <w:name w:val="尾注文本 Char1"/>
    <w:semiHidden/>
    <w:qFormat/>
    <w:rPr>
      <w:rFonts w:ascii="宋体" w:hAnsi="宋体" w:cs="宋体"/>
      <w:sz w:val="24"/>
      <w:szCs w:val="24"/>
    </w:rPr>
  </w:style>
  <w:style w:type="character" w:customStyle="1" w:styleId="Charfe">
    <w:name w:val="楷体加粗 Char"/>
    <w:link w:val="afffffff"/>
    <w:qFormat/>
    <w:rPr>
      <w:rFonts w:ascii="楷体_GB2312" w:eastAsia="楷体_GB2312" w:hAnsi="Times New Roman"/>
      <w:b/>
      <w:sz w:val="24"/>
      <w:szCs w:val="24"/>
    </w:rPr>
  </w:style>
  <w:style w:type="character" w:customStyle="1" w:styleId="Char1fe">
    <w:name w:val="电子邮件签名 Char1"/>
    <w:semiHidden/>
    <w:qFormat/>
    <w:rPr>
      <w:rFonts w:ascii="宋体" w:hAnsi="宋体" w:cs="宋体"/>
      <w:sz w:val="24"/>
      <w:szCs w:val="24"/>
    </w:rPr>
  </w:style>
  <w:style w:type="character" w:customStyle="1" w:styleId="Char1ff">
    <w:name w:val="信息标题 Char1"/>
    <w:semiHidden/>
    <w:qFormat/>
    <w:rPr>
      <w:rFonts w:ascii="Cambria" w:eastAsia="宋体" w:hAnsi="Cambria" w:cs="Times New Roman"/>
      <w:sz w:val="24"/>
      <w:szCs w:val="24"/>
      <w:shd w:val="pct20" w:color="auto" w:fill="auto"/>
    </w:rPr>
  </w:style>
  <w:style w:type="character" w:customStyle="1" w:styleId="Char1ff0">
    <w:name w:val="明显引用 Char1"/>
    <w:uiPriority w:val="30"/>
    <w:qFormat/>
    <w:rPr>
      <w:rFonts w:ascii="宋体" w:hAnsi="宋体" w:cs="宋体"/>
      <w:b/>
      <w:bCs/>
      <w:i/>
      <w:iCs/>
      <w:color w:val="4F81BD"/>
      <w:sz w:val="24"/>
      <w:szCs w:val="24"/>
    </w:rPr>
  </w:style>
  <w:style w:type="table" w:customStyle="1" w:styleId="1ff6">
    <w:name w:val="网格型1"/>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e">
    <w:name w:val="网格型2"/>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网格型3"/>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d">
    <w:name w:val="网格型4"/>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b">
    <w:name w:val="网格型5"/>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网格型7"/>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网格型8"/>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网格型9"/>
    <w:basedOn w:val="a4"/>
    <w:qFormat/>
    <w:rPr>
      <w:rFonts w:ascii="仿宋_GB2312" w:eastAsia="华文仿宋" w:hAnsi="仿宋_GB2312" w:cs="仿宋_GB231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网格型15"/>
    <w:basedOn w:val="a4"/>
    <w:qFormat/>
    <w:pPr>
      <w:widowControl w:val="0"/>
      <w:jc w:val="both"/>
    </w:pPr>
    <w:rPr>
      <w:rFonts w:ascii="仿宋_GB2312" w:eastAsia="华文仿宋" w:hAnsi="仿宋_GB2312" w:cs="仿宋_GB231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网格型21"/>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网格型4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网格型51"/>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网格型131"/>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网格型81"/>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网格型141"/>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4"/>
    <w:qFormat/>
    <w:rPr>
      <w:rFonts w:ascii="仿宋_GB2312" w:eastAsia="华文仿宋" w:hAnsi="仿宋_GB2312" w:cs="仿宋_GB231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a4"/>
    <w:qFormat/>
    <w:pPr>
      <w:widowControl w:val="0"/>
      <w:jc w:val="both"/>
    </w:pPr>
    <w:rPr>
      <w:rFonts w:ascii="仿宋_GB2312" w:eastAsia="华文仿宋" w:hAnsi="仿宋_GB2312" w:cs="仿宋_GB231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网格型22"/>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网格型42"/>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网格型52"/>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2"/>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网格型62"/>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2"/>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72"/>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2"/>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网格型82"/>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142"/>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网格型17"/>
    <w:basedOn w:val="a4"/>
    <w:qFormat/>
    <w:rPr>
      <w:rFonts w:ascii="仿宋_GB2312" w:eastAsia="华文仿宋" w:hAnsi="仿宋_GB2312" w:cs="仿宋_GB231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a4"/>
    <w:qFormat/>
    <w:pPr>
      <w:widowControl w:val="0"/>
      <w:jc w:val="both"/>
    </w:pPr>
    <w:rPr>
      <w:rFonts w:ascii="仿宋_GB2312" w:eastAsia="华文仿宋" w:hAnsi="仿宋_GB2312" w:cs="仿宋_GB231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网格型43"/>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网格型53"/>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型113"/>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网格型63"/>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网格型123"/>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网格型73"/>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网格型133"/>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网格型83"/>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网格型143"/>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4"/>
    <w:qFormat/>
    <w:rPr>
      <w:rFonts w:ascii="仿宋_GB2312" w:eastAsia="华文仿宋" w:hAnsi="仿宋_GB2312" w:cs="仿宋_GB231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网格型110"/>
    <w:basedOn w:val="a4"/>
    <w:qFormat/>
    <w:pPr>
      <w:widowControl w:val="0"/>
      <w:jc w:val="both"/>
    </w:pPr>
    <w:rPr>
      <w:rFonts w:ascii="仿宋_GB2312" w:eastAsia="华文仿宋" w:hAnsi="仿宋_GB2312" w:cs="仿宋_GB231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网格型44"/>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0">
    <w:name w:val="网格型54"/>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网格型114"/>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网格型64"/>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网格型124"/>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网格型74"/>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网格型134"/>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网格型84"/>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4"/>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Pr>
      <w:rFonts w:cs="Calibri"/>
    </w:rPr>
    <w:tblPr/>
  </w:style>
  <w:style w:type="table" w:customStyle="1" w:styleId="TableNormal2">
    <w:name w:val="Table Normal2"/>
    <w:basedOn w:val="a4"/>
    <w:semiHidden/>
    <w:qFormat/>
    <w:tblPr/>
  </w:style>
  <w:style w:type="table" w:customStyle="1" w:styleId="DD">
    <w:name w:val="DD"/>
    <w:basedOn w:val="a4"/>
    <w:uiPriority w:val="99"/>
    <w:qFormat/>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tcMar>
        <w:left w:w="57" w:type="dxa"/>
        <w:right w:w="57" w:type="dxa"/>
      </w:tcMar>
      <w:vAlign w:val="center"/>
    </w:tcPr>
    <w:tblStylePr w:type="firstRow">
      <w:pPr>
        <w:jc w:val="center"/>
      </w:pPr>
      <w:rPr>
        <w:b/>
      </w:rPr>
      <w:tblPr/>
      <w:trPr>
        <w:tblHeader/>
      </w:trPr>
      <w:tcPr>
        <w:shd w:val="clear" w:color="auto" w:fill="E7E6E6"/>
      </w:tcPr>
    </w:tblStylePr>
    <w:tblStylePr w:type="lastRow">
      <w:rPr>
        <w:b/>
      </w:rPr>
      <w:tblPr/>
      <w:tcPr>
        <w:tcBorders>
          <w:top w:val="doub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rPr>
        <w:b/>
      </w:rPr>
    </w:tblStylePr>
  </w:style>
  <w:style w:type="table" w:customStyle="1" w:styleId="200">
    <w:name w:val="网格型20"/>
    <w:basedOn w:val="a4"/>
    <w:uiPriority w:val="39"/>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pPr>
      <w:widowControl w:val="0"/>
      <w:autoSpaceDE w:val="0"/>
      <w:autoSpaceDN w:val="0"/>
    </w:pPr>
    <w:rPr>
      <w:rFonts w:ascii="Calibri" w:hAnsi="Calibri" w:cstheme="minorBidi"/>
      <w:sz w:val="22"/>
      <w:szCs w:val="22"/>
      <w:lang w:eastAsia="en-US"/>
    </w:rPr>
    <w:tblPr>
      <w:tblCellMar>
        <w:top w:w="0" w:type="dxa"/>
        <w:left w:w="0" w:type="dxa"/>
        <w:bottom w:w="0" w:type="dxa"/>
        <w:right w:w="0" w:type="dxa"/>
      </w:tblCellMar>
    </w:tblPr>
  </w:style>
  <w:style w:type="paragraph" w:styleId="afffffffe">
    <w:name w:val="List Paragraph"/>
    <w:basedOn w:val="a1"/>
    <w:uiPriority w:val="99"/>
    <w:unhideWhenUsed/>
    <w:pPr>
      <w:ind w:firstLine="420"/>
    </w:pPr>
  </w:style>
  <w:style w:type="paragraph" w:customStyle="1" w:styleId="2ff">
    <w:name w:val="修订2"/>
    <w:hidden/>
    <w:uiPriority w:val="99"/>
    <w:semiHidden/>
    <w:rPr>
      <w:rFonts w:ascii="宋体" w:hAnsi="宋体" w:cs="宋体"/>
      <w:sz w:val="24"/>
      <w:szCs w:val="24"/>
    </w:rPr>
  </w:style>
  <w:style w:type="character" w:customStyle="1" w:styleId="fontstyle01">
    <w:name w:val="fontstyle01"/>
    <w:basedOn w:val="a3"/>
    <w:rPr>
      <w:rFonts w:ascii="黑体" w:eastAsia="黑体" w:hAnsi="黑体" w:hint="eastAsia"/>
      <w:color w:val="000000"/>
      <w:sz w:val="30"/>
      <w:szCs w:val="30"/>
    </w:rPr>
  </w:style>
  <w:style w:type="character" w:customStyle="1" w:styleId="1ff7">
    <w:name w:val="未处理的提及1"/>
    <w:basedOn w:val="a3"/>
    <w:uiPriority w:val="99"/>
    <w:semiHidden/>
    <w:unhideWhenUsed/>
    <w:rPr>
      <w:color w:val="605E5C"/>
      <w:shd w:val="clear" w:color="auto" w:fill="E1DFDD"/>
    </w:rPr>
  </w:style>
  <w:style w:type="paragraph" w:styleId="affffffff">
    <w:name w:val="Revision"/>
    <w:hidden/>
    <w:uiPriority w:val="99"/>
    <w:semiHidden/>
    <w:rsid w:val="00F677C4"/>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jpg"/><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g"/><Relationship Id="rId20" Type="http://schemas.openxmlformats.org/officeDocument/2006/relationships/image" Target="media/image5.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EF5332-E521-4B37-99A5-94EBFADDE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93</Pages>
  <Words>7720</Words>
  <Characters>44009</Characters>
  <Application>Microsoft Office Word</Application>
  <DocSecurity>0</DocSecurity>
  <Lines>366</Lines>
  <Paragraphs>103</Paragraphs>
  <ScaleCrop>false</ScaleCrop>
  <Company>Microsoft</Company>
  <LinksUpToDate>false</LinksUpToDate>
  <CharactersWithSpaces>51626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CICC</dc:creator>
  <cp:lastModifiedBy>Hu Pengcheng</cp:lastModifiedBy>
  <cp:revision>15</cp:revision>
  <cp:lastPrinted>2018-11-11T17:11:00Z</cp:lastPrinted>
  <dcterms:created xsi:type="dcterms:W3CDTF">2021-12-12T15:19:00Z</dcterms:created>
  <dcterms:modified xsi:type="dcterms:W3CDTF">2021-12-22T11:04:00Z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